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/>
          <w:noProof/>
          <w:sz w:val="28"/>
          <w:szCs w:val="28"/>
          <w:u w:val="single"/>
        </w:rPr>
        <w:t>皮卡皮卡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代理人2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新北市中和區中正路456號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正義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>
              <w:rPr>
                <w:rFonts w:eastAsia="標楷體"/>
                <w:noProof/>
                <w:sz w:val="22"/>
                <w:szCs w:val="22"/>
                <w:u w:val="single"/>
              </w:rPr>
              <w:t>1000-996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皮卡皮卡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A111111777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新竹縣尖石鄉比麟6666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9999-999-999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代理人2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05465587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新北市三重區三信路2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0973543435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>
      <w:pPr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