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900"/>
      </w:pPr>
      <w:r>
        <w:rPr>
          <w:rFonts w:ascii="Calibri" w:cs="Calibri" w:eastAsia="微软雅黑" w:hAnsi="Calibri"/>
          <w:b/>
          <w:bCs/>
          <w:color w:val="176C84"/>
          <w:sz w:val="24"/>
          <w:szCs w:val="24"/>
        </w:rPr>
        <w:t xml:space="preserve">UAV-GPR / SFCW</w:t>
      </w:r>
    </w:p>
    <w:p>
      <w:pPr>
        <w:spacing w:after="180"/>
      </w:pPr>
      <w:r>
        <w:rPr>
          <w:rFonts w:ascii="Calibri" w:cs="Calibri" w:eastAsia="微软雅黑" w:hAnsi="Calibri"/>
          <w:b/>
          <w:bCs/>
          <w:color w:val="17334A"/>
          <w:sz w:val="44"/>
          <w:szCs w:val="44"/>
        </w:rPr>
        <w:t xml:space="preserve">非显性滑坡场景下</w:t>
      </w:r>
    </w:p>
    <w:p>
      <w:pPr>
        <w:spacing w:after="360"/>
      </w:pPr>
      <w:r>
        <w:rPr>
          <w:rFonts w:ascii="Calibri" w:cs="Calibri" w:eastAsia="微软雅黑" w:hAnsi="Calibri"/>
          <w:b/>
          <w:bCs/>
          <w:color w:val="17334A"/>
          <w:sz w:val="48"/>
          <w:szCs w:val="48"/>
        </w:rPr>
        <w:t xml:space="preserve">自动处理文献综述</w:t>
      </w:r>
    </w:p>
    <w:p>
      <w:pPr>
        <w:keepLines/>
        <w:spacing w:after="500"/>
      </w:pPr>
      <w:r>
        <w:rPr>
          <w:rFonts w:ascii="Calibri" w:cs="Calibri" w:eastAsia="微软雅黑" w:hAnsi="Calibri"/>
          <w:color w:val="607080"/>
          <w:sz w:val="25"/>
          <w:szCs w:val="25"/>
        </w:rPr>
        <w:t xml:space="preserve">gprMax 仿真 · 背景抑制 · 增益补偿 · ML 配置选择</w:t>
      </w:r>
    </w:p>
    <w:p>
      <w:pPr>
        <w:keepLines/>
        <w:spacing w:after="400"/>
      </w:pPr>
      <w:r>
        <w:t xml:space="preserve">研究综述 v1.0  |  2026 年 9 月 23 日</w:t>
      </w:r>
    </w:p>
    <w:p>
      <w:pPr>
        <w:keepLines/>
        <w:spacing w:after="180"/>
      </w:pPr>
      <w:r>
        <w:t xml:space="preserve">当前决定：场景特化、仿真优先、两类算子起步。</w:t>
      </w:r>
    </w:p>
    <w:p>
      <w:pPr>
        <w:keepLines/>
        <w:spacing w:after="180"/>
      </w:pPr>
      <w:r>
        <w:t xml:space="preserve">本轮阅读：8 篇论文正文；1 份会议摘要；2 份指南草案相关条款。</w:t>
      </w:r>
    </w:p>
    <w:p>
      <w:pPr>
        <w:keepLines/>
        <w:spacing w:after="500"/>
      </w:pPr>
      <w:r>
        <w:t xml:space="preserve">SGC 全文访问受限，证据缺口单列。所有方案尚待本项目验证。</w:t>
      </w:r>
    </w:p>
    <w:p>
      <w:pPr>
        <w:pStyle w:val="Heading2"/>
        <w:keepLines/>
      </w:pPr>
      <w:r>
        <w:t xml:space="preserve">阅读导航</w:t>
      </w:r>
    </w:p>
    <w:p>
      <w:pPr>
        <w:keepLines/>
      </w:pPr>
      <w:r>
        <w:t xml:space="preserve">第 1–4 节：结论、术语与逐篇证据</w:t>
      </w:r>
    </w:p>
    <w:p>
      <w:pPr>
        <w:keepLines/>
      </w:pPr>
      <w:r>
        <w:t xml:space="preserve">第 5–6 节：仿真场景、参考定义与评价</w:t>
      </w:r>
    </w:p>
    <w:p>
      <w:pPr>
        <w:keepLines/>
      </w:pPr>
      <w:r>
        <w:t xml:space="preserve">第 7–8 节：算子契约、ML 路线与待补证据</w:t>
      </w:r>
    </w:p>
    <w:p>
      <w:pPr>
        <w:keepLines/>
      </w:pPr>
      <w:r>
        <w:t xml:space="preserve">第 9–10 节：原始来源与项目文档入口</w:t>
      </w:r>
    </w:p>
    <w:p>
      <w:pPr>
        <w:pageBreakBefore/>
        <w:spacing w:after="0"/>
      </w:pPr>
    </w:p>
    <w:p>
      <w:pPr>
        <w:pStyle w:val="Heading1"/>
        <w:keepLines/>
      </w:pPr>
      <w:r>
        <w:t xml:space="preserve">1. 研究结论与阅读范围</w:t>
      </w:r>
    </w:p>
    <w:p>
      <w:pPr>
        <w:keepNext w:val="false"/>
        <w:keepLines/>
      </w:pPr>
      <w:r>
        <w:rPr>
          <w:b/>
          <w:bCs/>
        </w:rPr>
        <w:t xml:space="preserve">建议继续采用“非显性滑坡场景特化、仿真优先、两类算子起步”的路线。</w:t>
      </w:r>
      <w:r>
        <w:t xml:space="preserve"> 已有研究分别支持：用 gprMax 建立去杂波学习数据；模拟滑坡相关地下结构；利用 UAV-GPR 探查滑坡内部；用 ML 选择处理模块与参数。但本轮没有核实到一篇同时完成“UAV-SFCW、非显性滑坡、地下结构保留、背景与增益自动配置、纯仿真开发”的论文。因此可以借鉴各环节，不能称为已经找到可直接部署的完整方案，也不能据此声称首创。</w:t>
      </w:r>
    </w:p>
    <w:p>
      <w:pPr>
        <w:keepNext w:val="false"/>
        <w:keepLines/>
      </w:pPr>
      <w:r>
        <w:t xml:space="preserve">本报告的核心判断如下。</w:t>
      </w:r>
    </w:p>
    <w:p>
      <w:pPr>
        <w:pStyle w:val="ListParagraph"/>
        <w:keepLines/>
        <w:numPr>
          <w:ilvl w:val="0"/>
          <w:numId w:val="2"/>
        </w:numPr>
        <w:spacing w:after="120"/>
      </w:pPr>
      <w:r>
        <w:rPr>
          <w:b/>
          <w:bCs/>
        </w:rPr>
        <w:t xml:space="preserve">先确定需要保护的响应，再确定网络。</w:t>
      </w:r>
      <w:r>
        <w:t xml:space="preserve"> 本场景关心覆盖层厚度、基覆界面起伏及其他有解释价值的地下结构；其中可能有弱反射、断续反射和杂乱散射。平直、连续、低秩或强能量均不能单独区分地层与杂波。</w:t>
      </w:r>
    </w:p>
    <w:p>
      <w:pPr>
        <w:pStyle w:val="ListParagraph"/>
        <w:keepLines/>
        <w:numPr>
          <w:ilvl w:val="0"/>
          <w:numId w:val="2"/>
        </w:numPr>
        <w:spacing w:after="120"/>
      </w:pPr>
      <w:r>
        <w:rPr>
          <w:b/>
          <w:bCs/>
        </w:rPr>
        <w:t xml:space="preserve">gprMax 能提供已知物理场景，不能自动提供唯一的 clean。</w:t>
      </w:r>
      <w:r>
        <w:t xml:space="preserve"> 有目标与无目标之差只定义特定目标的差异响应。若共同地层被相减消去，就不符合我们的保留目标。</w:t>
      </w:r>
    </w:p>
    <w:p>
      <w:pPr>
        <w:pStyle w:val="ListParagraph"/>
        <w:keepLines/>
        <w:numPr>
          <w:ilvl w:val="0"/>
          <w:numId w:val="2"/>
        </w:numPr>
        <w:spacing w:after="120"/>
      </w:pPr>
      <w:r>
        <w:rPr>
          <w:b/>
          <w:bCs/>
        </w:rPr>
        <w:t xml:space="preserve">背景抑制和增益应分别评价。</w:t>
      </w:r>
      <w:r>
        <w:t xml:space="preserve"> 先查增益前的结构损伤，再查增益曲线、幅度关系和干扰放大。图像变亮、全图 PSNR 变高或反射更连续，都不能单独证明有效。</w:t>
      </w:r>
    </w:p>
    <w:p>
      <w:pPr>
        <w:pStyle w:val="ListParagraph"/>
        <w:keepLines/>
        <w:numPr>
          <w:ilvl w:val="0"/>
          <w:numId w:val="2"/>
        </w:numPr>
        <w:spacing w:after="120"/>
      </w:pPr>
      <w:r>
        <w:rPr>
          <w:b/>
          <w:bCs/>
        </w:rPr>
        <w:t xml:space="preserve">先建立传统配置参照，再训练选择器。</w:t>
      </w:r>
      <w:r>
        <w:t xml:space="preserve"> 学习对象应是实际算子的效果；优先比较固定配置、规则、有限搜索与轻量模型。是否需要 CNN、连续参数预测或 RL，由独立仿真上的收益决定。</w:t>
      </w:r>
    </w:p>
    <w:p>
      <w:pPr>
        <w:pStyle w:val="ListParagraph"/>
        <w:keepLines/>
        <w:numPr>
          <w:ilvl w:val="0"/>
          <w:numId w:val="2"/>
        </w:numPr>
        <w:spacing w:after="120"/>
      </w:pPr>
      <w:r>
        <w:rPr>
          <w:b/>
          <w:bCs/>
        </w:rPr>
        <w:t xml:space="preserve">保留现有测线到后期。</w:t>
      </w:r>
      <w:r>
        <w:t xml:space="preserve"> 本轮未新增读取或处理营山/雅安原始测线、钻孔和解释剖面；未运行正演、训练或远程计算。场景设计依据公开文献及明确假设，不据本项目实测反复调整。</w:t>
      </w:r>
    </w:p>
    <w:p>
      <w:pPr>
        <w:pStyle w:val="Heading2"/>
        <w:keepLines/>
      </w:pPr>
      <w:r>
        <w:t xml:space="preserve">1.1 实际读到了哪里</w:t>
      </w:r>
    </w:p>
    <w:p>
      <w:pPr>
        <w:keepNext w:val="false"/>
        <w:keepLines/>
      </w:pPr>
      <w:r>
        <w:t xml:space="preserve">本轮完成 </w:t>
      </w:r>
      <w:r>
        <w:rPr>
          <w:b/>
          <w:bCs/>
        </w:rPr>
        <w:t xml:space="preserve">8 篇论文的正文通读</w:t>
      </w:r>
      <w:r>
        <w:t xml:space="preserve">：前轮五篇核心文献中的 CR-Net、ULCR-Net、WNNM、Qin 2024，加上中寨、Melizzano、Öschingen 三篇滑坡研究及用户最初提供的 AdaptiveISP。另读 EGU 会议摘要全文、两份指南征求意见稿的相关条款。SGC 全文未成功取得，不能列为读完。</w:t>
      </w:r>
    </w:p>
    <w:p>
      <w:pPr>
        <w:keepNext w:val="false"/>
        <w:keepLines/>
      </w:pPr>
      <w:r>
        <w:t xml:space="preserve">“正文通读”指读完可取得版本的摘要、引言、方法、实验、讨论和结论，重点核对数据、参考定义及评价；不表示逐条追读参考文献、复现代码或验证作者结果。HTML/PDF 图注及可提取表格纳入阅读，未将图片中的全部数值重新数字化。AdaptiveISP 的附录 C 已核对，其他附录不计入通读声明。</w:t>
      </w:r>
    </w:p>
    <w:p>
      <w:pPr>
        <w:pageBreakBefore/>
        <w:spacing w:after="0"/>
      </w:pP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760"/>
        <w:gridCol w:w="2480"/>
        <w:gridCol w:w="3360"/>
        <w:gridCol w:w="2426"/>
      </w:tblGrid>
      <w:tr>
        <w:trPr>
          <w:cantSplit/>
          <w:tblHeader/>
        </w:trPr>
        <w:tc>
          <w:tcPr>
            <w:tcW w:type="dxa" w:w="760"/>
            <w:shd w:fill="17334A" w:val="clear"/>
            <w:tcMar>
              <w:top w:type="dxa" w:w="95"/>
              <w:left w:type="dxa" w:w="105"/>
              <w:bottom w:type="dxa" w:w="95"/>
              <w:right w:type="dxa" w:w="105"/>
            </w:tcMar>
          </w:tcPr>
          <w:p>
            <w:pPr>
              <w:widowControl/>
              <w:spacing w:after="0" w:line="285"/>
            </w:pPr>
            <w:r>
              <w:rPr>
                <w:b/>
                <w:bCs/>
                <w:color w:val="FFFFFF"/>
                <w:sz w:val="19"/>
                <w:szCs w:val="19"/>
              </w:rPr>
              <w:t xml:space="preserve">编号</w:t>
            </w:r>
          </w:p>
        </w:tc>
        <w:tc>
          <w:tcPr>
            <w:tcW w:type="dxa" w:w="2480"/>
            <w:shd w:fill="17334A" w:val="clear"/>
            <w:tcMar>
              <w:top w:type="dxa" w:w="95"/>
              <w:left w:type="dxa" w:w="105"/>
              <w:bottom w:type="dxa" w:w="95"/>
              <w:right w:type="dxa" w:w="105"/>
            </w:tcMar>
          </w:tcPr>
          <w:p>
            <w:pPr>
              <w:widowControl/>
              <w:spacing w:after="0" w:line="285"/>
            </w:pPr>
            <w:r>
              <w:rPr>
                <w:b/>
                <w:bCs/>
                <w:color w:val="FFFFFF"/>
                <w:sz w:val="19"/>
                <w:szCs w:val="19"/>
              </w:rPr>
              <w:t xml:space="preserve">文献或资料</w:t>
            </w:r>
          </w:p>
        </w:tc>
        <w:tc>
          <w:tcPr>
            <w:tcW w:type="dxa" w:w="3360"/>
            <w:shd w:fill="17334A" w:val="clear"/>
            <w:tcMar>
              <w:top w:type="dxa" w:w="95"/>
              <w:left w:type="dxa" w:w="105"/>
              <w:bottom w:type="dxa" w:w="95"/>
              <w:right w:type="dxa" w:w="105"/>
            </w:tcMar>
          </w:tcPr>
          <w:p>
            <w:pPr>
              <w:widowControl/>
              <w:spacing w:after="0" w:line="285"/>
            </w:pPr>
            <w:r>
              <w:rPr>
                <w:b/>
                <w:bCs/>
                <w:color w:val="FFFFFF"/>
                <w:sz w:val="19"/>
                <w:szCs w:val="19"/>
              </w:rPr>
              <w:t xml:space="preserve">本轮阅读与定位</w:t>
            </w:r>
          </w:p>
        </w:tc>
        <w:tc>
          <w:tcPr>
            <w:tcW w:type="dxa" w:w="2426"/>
            <w:shd w:fill="17334A" w:val="clear"/>
            <w:tcMar>
              <w:top w:type="dxa" w:w="95"/>
              <w:left w:type="dxa" w:w="105"/>
              <w:bottom w:type="dxa" w:w="95"/>
              <w:right w:type="dxa" w:w="105"/>
            </w:tcMar>
          </w:tcPr>
          <w:p>
            <w:pPr>
              <w:widowControl/>
              <w:spacing w:after="0" w:line="285"/>
            </w:pPr>
            <w:r>
              <w:rPr>
                <w:b/>
                <w:bCs/>
                <w:color w:val="FFFFFF"/>
                <w:sz w:val="19"/>
                <w:szCs w:val="19"/>
              </w:rPr>
              <w:t xml:space="preserve">可承担的证据角色</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P01</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CR-Net，Sun 等，2022</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作者完整稿正文 PDF 第 1–13 页；数据、指标及多层案例</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gprMax 学习去杂波；检查 clean 冲突</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P02</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ULCR-Net，Dai 等，2024</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正式发表 PDF 正文第 1–12 页；第 III–IV 节、式 (9)–(13)</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非配对背景学习、数据扩充与评价</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P03</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SGC，Chen、Mizutani，2025</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期刊摘要；前轮预印本方法及数据段节选，本轮全文下载失败</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背景与增益组合线索，证据尚不完整</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P04</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WNNM，Liu 等，2023</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正文第 1–4 节；式 (10)–(11)、参数实验</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传统基线、SCR/IF 定义与调参边界</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P05</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Qin 等，2024</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正文第 1–4 节；建模、数据集与反演实验</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滑坡相关结构的 gprMax 建模先例</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A01</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AdaptiveISP，Wang 等，2024</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arXiv v1 正文第 1–5 节及附录 C</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模块、参数、流程的学习型决策</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L01</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中寨非显性滑坡，贾仕尧等，2026</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正式期刊正文第 173–182 页</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非显性滑坡的地下结构与地质依据</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L02</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Melizzano UAV-GPR，Famiglietti 等，2026</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正文第 1–5 节</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低频 UAV-GPR 滑坡探测的实测先例</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L04</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Wang 等，EGU 2026</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会议摘要全文；无完整论文可供核对</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与 UAV-SFCW、非显性滑坡直接相关的线索</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L05</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Öschingen，Sass 等，2008</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正文第 89–101 页；第 3.3、4.2、5 节重点</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低频 GPR 的能力限制与负面案例</w:t>
            </w:r>
          </w:p>
        </w:tc>
      </w:tr>
      <w:tr>
        <w:trPr>
          <w:cantSplit/>
          <w:tblHeader w:val="false"/>
        </w:trPr>
        <w:tc>
          <w:tcPr>
            <w:tcW w:type="dxa" w:w="7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D01</w:t>
            </w:r>
          </w:p>
        </w:tc>
        <w:tc>
          <w:tcPr>
            <w:tcW w:type="dxa" w:w="24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非显性滑坡无人机勘测技术指南，2025 征求意见稿</w:t>
            </w:r>
          </w:p>
        </w:tc>
        <w:tc>
          <w:tcPr>
            <w:tcW w:type="dxa" w:w="336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第 3.1.1、4.3–4.4、6.2.4–6.3、9.2.1 条；附录 F 图题</w:t>
            </w:r>
          </w:p>
        </w:tc>
        <w:tc>
          <w:tcPr>
            <w:tcW w:type="dxa" w:w="242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术语、调查目标及验证方向；不是正式验收标准</w:t>
            </w:r>
          </w:p>
        </w:tc>
      </w:tr>
      <w:tr>
        <w:trPr>
          <w:cantSplit/>
          <w:tblHeader w:val="false"/>
        </w:trPr>
        <w:tc>
          <w:tcPr>
            <w:tcW w:type="dxa" w:w="7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D02</w:t>
            </w:r>
          </w:p>
        </w:tc>
        <w:tc>
          <w:tcPr>
            <w:tcW w:type="dxa" w:w="24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降雨诱发非显性滑坡危险性评价技术指南，2025 征求意见稿</w:t>
            </w:r>
          </w:p>
        </w:tc>
        <w:tc>
          <w:tcPr>
            <w:tcW w:type="dxa" w:w="336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第 3 章术语、第 6 章及地质结构相关段落</w:t>
            </w:r>
          </w:p>
        </w:tc>
        <w:tc>
          <w:tcPr>
            <w:tcW w:type="dxa" w:w="242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地质结构、水文与稳定性评价的关系</w:t>
            </w:r>
          </w:p>
        </w:tc>
      </w:tr>
    </w:tbl>
    <w:p>
      <w:pPr>
        <w:spacing w:after="40"/>
      </w:pPr>
    </w:p>
    <w:p>
      <w:pPr>
        <w:keepNext w:val="false"/>
        <w:keepLines/>
      </w:pPr>
      <w:r>
        <w:t xml:space="preserve">检索包括“非显性滑坡、隐伏滑面、基覆界面、non-apparent / inapparent / latent landslide、UAV GPR、gprMax clutter removal / gain compensation”等，并追溯原论文与作者公开稿。上述英文词用于扩大检索召回，不预设为完全同义。此为定向研究综述，不是穷尽数据库的系统综述。此前其他跨领域线索仍按原文档的阅读等级保留，不统一升级为已通读。</w:t>
      </w:r>
    </w:p>
    <w:p>
      <w:pPr>
        <w:pStyle w:val="Heading1"/>
        <w:keepLines/>
      </w:pPr>
      <w:r>
        <w:t xml:space="preserve">2. 非显性滑坡意味着什么，应保护什么</w:t>
      </w:r>
    </w:p>
    <w:p>
      <w:pPr>
        <w:pStyle w:val="Heading2"/>
        <w:keepLines/>
      </w:pPr>
      <w:r>
        <w:t xml:space="preserve">2.1 术语应放在发生阶段和证据条件中理解</w:t>
      </w:r>
    </w:p>
    <w:p>
      <w:pPr>
        <w:keepNext w:val="false"/>
        <w:keepLines/>
      </w:pPr>
      <w:r>
        <w:t xml:space="preserve">中寨论文以滑前不易通过明显地表变形辨识的危险斜坡为研究背景，并通过灾后资料重建内部结构。[L01] 两份指南征求意见稿的定义更具体，还涉及缺少古滑坡地貌标志、具备易致滑结构及外因触发等条件。[D01，第 3.1.1 条；D02，第 3 章]</w:t>
      </w:r>
    </w:p>
    <w:p>
      <w:pPr>
        <w:keepNext w:val="false"/>
        <w:keepLines/>
      </w:pPr>
      <w:r>
        <w:t xml:space="preserve">本项目宜把“非显性滑坡”用作</w:t>
      </w:r>
      <w:r>
        <w:rPr>
          <w:b/>
          <w:bCs/>
        </w:rPr>
        <w:t xml:space="preserve">调查场景与地质关注点</w:t>
      </w:r>
      <w:r>
        <w:t xml:space="preserve">。它不等同于“所有缓慢滑坡”“所有古滑坡”，也不意味着地下必有一条现成、清晰且连续的滑动面。引用灾后或再活动案例时，应注明其阶段，不能直接当成滑前成功识别的证据。</w:t>
      </w:r>
    </w:p>
    <w:p>
      <w:pPr>
        <w:pStyle w:val="Heading2"/>
        <w:keepLines/>
      </w:pPr>
      <w:r>
        <w:t xml:space="preserve">2.2 将三个层次分开</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700"/>
        <w:gridCol w:w="3580"/>
        <w:gridCol w:w="3746"/>
      </w:tblGrid>
      <w:tr>
        <w:trPr>
          <w:cantSplit/>
          <w:tblHeader/>
        </w:trPr>
        <w:tc>
          <w:tcPr>
            <w:tcW w:type="dxa" w:w="1700"/>
            <w:shd w:fill="17334A" w:val="clear"/>
            <w:tcMar>
              <w:top w:type="dxa" w:w="95"/>
              <w:left w:type="dxa" w:w="105"/>
              <w:bottom w:type="dxa" w:w="95"/>
              <w:right w:type="dxa" w:w="105"/>
            </w:tcMar>
          </w:tcPr>
          <w:p>
            <w:pPr>
              <w:widowControl/>
              <w:spacing w:after="0" w:line="285"/>
            </w:pPr>
            <w:r>
              <w:rPr>
                <w:b/>
                <w:bCs/>
                <w:color w:val="FFFFFF"/>
                <w:sz w:val="19"/>
                <w:szCs w:val="19"/>
              </w:rPr>
              <w:t xml:space="preserve">层次</w:t>
            </w:r>
          </w:p>
        </w:tc>
        <w:tc>
          <w:tcPr>
            <w:tcW w:type="dxa" w:w="3580"/>
            <w:shd w:fill="17334A" w:val="clear"/>
            <w:tcMar>
              <w:top w:type="dxa" w:w="95"/>
              <w:left w:type="dxa" w:w="105"/>
              <w:bottom w:type="dxa" w:w="95"/>
              <w:right w:type="dxa" w:w="105"/>
            </w:tcMar>
          </w:tcPr>
          <w:p>
            <w:pPr>
              <w:widowControl/>
              <w:spacing w:after="0" w:line="285"/>
            </w:pPr>
            <w:r>
              <w:rPr>
                <w:b/>
                <w:bCs/>
                <w:color w:val="FFFFFF"/>
                <w:sz w:val="19"/>
                <w:szCs w:val="19"/>
              </w:rPr>
              <w:t xml:space="preserve">实际含义</w:t>
            </w:r>
          </w:p>
        </w:tc>
        <w:tc>
          <w:tcPr>
            <w:tcW w:type="dxa" w:w="3746"/>
            <w:shd w:fill="17334A" w:val="clear"/>
            <w:tcMar>
              <w:top w:type="dxa" w:w="95"/>
              <w:left w:type="dxa" w:w="105"/>
              <w:bottom w:type="dxa" w:w="95"/>
              <w:right w:type="dxa" w:w="105"/>
            </w:tcMar>
          </w:tcPr>
          <w:p>
            <w:pPr>
              <w:widowControl/>
              <w:spacing w:after="0" w:line="285"/>
            </w:pPr>
            <w:r>
              <w:rPr>
                <w:b/>
                <w:bCs/>
                <w:color w:val="FFFFFF"/>
                <w:sz w:val="19"/>
                <w:szCs w:val="19"/>
              </w:rPr>
              <w:t xml:space="preserve">本项目怎样使用</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地质结构</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覆盖层、基岩、风化过渡、含水变化、裂隙、局部不均匀体</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为公开场景假设提供来源，不预设全部存在于营山</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雷达响应</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电磁性质、尺度、波长、传播与采集条件共同形成的回波</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两类处理真正作用的对象；保护到时、形态、符号和适当幅度关系</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力学危险性</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强度、孔压、荷载、结构及演化共同决定的失稳可能性</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当前不预测稳定系数、不认定滑面、不建设滑坡识别系统</w:t>
            </w:r>
          </w:p>
        </w:tc>
      </w:tr>
    </w:tbl>
    <w:p>
      <w:pPr>
        <w:spacing w:after="40"/>
      </w:pPr>
    </w:p>
    <w:p>
      <w:pPr>
        <w:keepNext w:val="false"/>
        <w:keepLines/>
      </w:pPr>
      <w:r>
        <w:t xml:space="preserve">因此，“保留地层”更准确的任务表述是：</w:t>
      </w:r>
      <w:r>
        <w:rPr>
          <w:b/>
          <w:bCs/>
        </w:rPr>
        <w:t xml:space="preserve">抑制可验证的非目标相干分量，在不过度放大干扰的条件下保留场景相关地下结构响应。</w:t>
      </w:r>
      <w:r>
        <w:t xml:space="preserve"> 同时容许某些结构电性对比不足、带宽分辨不开或受强衰减而不可辨。不能让模型以补造深层纹理来满足地质期待。</w:t>
      </w:r>
    </w:p>
    <w:p>
      <w:pPr>
        <w:pStyle w:val="Heading1"/>
        <w:keepLines/>
      </w:pPr>
      <w:r>
        <w:t xml:space="preserve">3. 滑坡文献逐篇结论</w:t>
      </w:r>
    </w:p>
    <w:p>
      <w:pPr>
        <w:pStyle w:val="Heading2"/>
        <w:keepLines/>
      </w:pPr>
      <w:r>
        <w:t xml:space="preserve">3.1 L01：中寨——直接的非显性滑坡结构研究</w:t>
      </w:r>
    </w:p>
    <w:p>
      <w:pPr>
        <w:keepNext w:val="false"/>
        <w:keepLines/>
      </w:pPr>
      <w:r>
        <w:t xml:space="preserve">贾仕尧等联合高密度电阻率、钻孔、动力触探及数值分析研究中寨滑坡。作者关注覆盖层厚度和基覆界面凹槽等形态对水分汇集及稳定性的作用。其地质资料支持“地下界面几何值得调查”，而不是只寻找平直强反射。[L01，第 2–4 节]</w:t>
      </w:r>
    </w:p>
    <w:p>
      <w:pPr>
        <w:keepNext w:val="false"/>
        <w:keepLines/>
      </w:pPr>
      <w:r>
        <w:rPr>
          <w:b/>
          <w:bCs/>
        </w:rPr>
        <w:t xml:space="preserve">对本项目的启示：</w:t>
      </w:r>
      <w:r>
        <w:t xml:space="preserve">仿真可加入起伏界面、厚度变化及局部含水差异；必须同时检验这些响应在背景扣除中的损失。</w:t>
      </w:r>
      <w:r>
        <w:rPr>
          <w:b/>
          <w:bCs/>
        </w:rPr>
        <w:t xml:space="preserve">证据边界：</w:t>
      </w:r>
      <w:r>
        <w:t xml:space="preserve">这是结合灾后与再活动资料的重建研究，采用的主要物探并非 GPR。场地电阻率解释阈值和力学模拟参数不能直接变成 GPR 材料参数、自动处理评分或通用滑面标准。其稳定性分析不验证我们的处理模型。</w:t>
      </w:r>
    </w:p>
    <w:p>
      <w:pPr>
        <w:pStyle w:val="Heading2"/>
        <w:keepLines/>
      </w:pPr>
      <w:r>
        <w:t xml:space="preserve">3.2 L02：Melizzano——相近低频 UAV-GPR 的实测先例</w:t>
      </w:r>
    </w:p>
    <w:p>
      <w:pPr>
        <w:keepNext w:val="false"/>
        <w:keepLines/>
      </w:pPr>
      <w:r>
        <w:t xml:space="preserve">该研究把低频 UAV-GPR、LiDAR 和地面调查结合，采用约 20–140 MHz 的系统及一条雷达测线解释滑坡内部结构。正文讨论的有效穿透约 12 m，剖面显示范围和个别反射深度不等于普遍探测能力。[L02，采集、处理及解释章节]</w:t>
      </w:r>
    </w:p>
    <w:p>
      <w:pPr>
        <w:keepNext w:val="false"/>
        <w:keepLines/>
      </w:pPr>
      <w:r>
        <w:rPr>
          <w:b/>
          <w:bCs/>
        </w:rPr>
        <w:t xml:space="preserve">可借鉴：</w:t>
      </w:r>
      <w:r>
        <w:t xml:space="preserve">用钻孔等外部资料检查结构解释，并保留连续层状与局部复杂响应。</w:t>
      </w:r>
      <w:r>
        <w:rPr>
          <w:b/>
          <w:bCs/>
        </w:rPr>
        <w:t xml:space="preserve">不可照搬：</w:t>
      </w:r>
      <w:r>
        <w:t xml:space="preserve">钻孔也参与了速度约束，报告的约 1–2 m 吻合不能当作完全独立的盲测精度；单线结果不证明整个滑坡三维结构。该场地有可见变形表现，并非严格对应所有非显性滑坡。原文完整处理链包含当前延期模块，本项目仅借鉴背景与增益相关问题，不把整条链纳入首版。</w:t>
      </w:r>
    </w:p>
    <w:p>
      <w:pPr>
        <w:pStyle w:val="Heading2"/>
        <w:keepLines/>
      </w:pPr>
      <w:r>
        <w:t xml:space="preserve">3.3 L04：EGU 2026——最接近本系统场景，但只有摘要</w:t>
      </w:r>
    </w:p>
    <w:p>
      <w:pPr>
        <w:keepNext w:val="false"/>
        <w:keepLines/>
      </w:pPr>
      <w:r>
        <w:t xml:space="preserve">Wang、Li、Yu 的会议摘要直接涉及低频 UAV-SFCW 和非显性滑坡，提出曲线坐标逆时偏移及界面提取，并报告四川案例的深部探测结果。[L04]</w:t>
      </w:r>
    </w:p>
    <w:p>
      <w:pPr>
        <w:keepNext w:val="false"/>
        <w:keepLines/>
      </w:pPr>
      <w:r>
        <w:rPr>
          <w:b/>
          <w:bCs/>
        </w:rPr>
        <w:t xml:space="preserve">证据用途：</w:t>
      </w:r>
      <w:r>
        <w:t xml:space="preserve">确认这一采集方式与应用场景已有直接研究线索。</w:t>
      </w:r>
      <w:r>
        <w:rPr>
          <w:b/>
          <w:bCs/>
        </w:rPr>
        <w:t xml:space="preserve">证据上限：</w:t>
      </w:r>
      <w:r>
        <w:t xml:space="preserve">会议摘要没有提供足以核对的数据划分、背景/增益独立评价、误差分布和完整处理实现。摘要所述约 20 m 属于作者报告，不能成为本项目验收指标，也不据此增加成像任务；尚未核实它与用户项目是否有数据或作者关联，不当作独立外部验证。</w:t>
      </w:r>
    </w:p>
    <w:p>
      <w:pPr>
        <w:pStyle w:val="Heading2"/>
        <w:keepLines/>
      </w:pPr>
      <w:r>
        <w:t xml:space="preserve">3.4 L05：Öschingen——必须保留的受限与失败案例</w:t>
      </w:r>
    </w:p>
    <w:p>
      <w:pPr>
        <w:keepNext w:val="false"/>
        <w:keepLines/>
      </w:pPr>
      <w:r>
        <w:t xml:space="preserve">Sass 等比较钻探、贯入、测斜、ERT 与 25/50/100 MHz 地面 GPR。湿黏性介质的衰减及林木上方反射限制了雷达解释，部分测线几乎不提供有效信息，部分位置仍能看到内部层状结构；该场地 ERT 更适于获取整体范围和厚度。[L05，第 3.3、4.2、5 节]</w:t>
      </w:r>
    </w:p>
    <w:p>
      <w:pPr>
        <w:keepNext w:val="false"/>
        <w:keepLines/>
      </w:pPr>
      <w:r>
        <w:rPr>
          <w:b/>
          <w:bCs/>
        </w:rPr>
        <w:t xml:space="preserve">对本项目的启示：</w:t>
      </w:r>
      <w:r>
        <w:t xml:space="preserve">低频本身不保证深部可见；相干杂波也可能呈斜线或双曲线，不能只删水平条纹。训练与测试应包含“真实存在但不可辨”“没有深部目标”和“处理应跳过”的情况。该研究年代、地面采集与场地条件不同，不能把其方法优劣推广为所有 UAV-GPR 场景的结论。</w:t>
      </w:r>
    </w:p>
    <w:p>
      <w:pPr>
        <w:pStyle w:val="Heading2"/>
        <w:keepLines/>
      </w:pPr>
      <w:r>
        <w:t xml:space="preserve">3.5 指南草案可以支持什么</w:t>
      </w:r>
    </w:p>
    <w:p>
      <w:pPr>
        <w:keepNext w:val="false"/>
        <w:keepLines/>
      </w:pPr>
      <w:r>
        <w:t xml:space="preserve">协会公开的两份 2025 年征求意见稿把地下结构与后续危险性评价联系起来；D01 第 6.3 节明确讨论增益和背景抑制，第 9.2.1 条提出用露头、钻探等验证解释。[D01–D02]</w:t>
      </w:r>
    </w:p>
    <w:p>
      <w:pPr>
        <w:keepNext w:val="false"/>
        <w:keepLines/>
      </w:pPr>
      <w:r>
        <w:t xml:space="preserve">本轮核实到的是</w:t>
      </w:r>
      <w:r>
        <w:rPr>
          <w:b/>
          <w:bCs/>
        </w:rPr>
        <w:t xml:space="preserve">征求意见稿</w:t>
      </w:r>
      <w:r>
        <w:t xml:space="preserve">，未核实正式发布版本。草案中的复测相关系数、验证比例或建议探测深度，涉及不同对象和条件，不直接转成我们的 ML 奖励或合格阈值。尤其复测一致性可同时来自稳定杂波，不能单独证明地下结构正确。</w:t>
      </w:r>
    </w:p>
    <w:p>
      <w:pPr>
        <w:pStyle w:val="Heading1"/>
        <w:keepLines/>
      </w:pPr>
      <w:r>
        <w:t xml:space="preserve">4. gprMax、两类处理及网络文献</w:t>
      </w:r>
    </w:p>
    <w:p>
      <w:pPr>
        <w:pStyle w:val="Heading2"/>
        <w:keepLines/>
      </w:pPr>
      <w:r>
        <w:t xml:space="preserve">4.1 P01：CR-Net——参考定义比网络规模更关键</w:t>
      </w:r>
    </w:p>
    <w:p>
      <w:pPr>
        <w:keepNext w:val="false"/>
        <w:keepLines/>
      </w:pPr>
      <w:r>
        <w:t xml:space="preserve">CR-Net 用残差稠密块结合 U-Net，监督损失含 MAE 和 MS-SSIM。作者构建 1,920 幅 gprMax 三维合成 B-scan，并加入实测杂波形成混合训练数据；主要模拟对象为高频、浅埋局部目标。[P01，数据与网络章节]</w:t>
      </w:r>
    </w:p>
    <w:p>
      <w:pPr>
        <w:keepNext w:val="false"/>
        <w:keepLines/>
      </w:pPr>
      <w:r>
        <w:t xml:space="preserve">仿真评价采用 MAE、MSE、PSNR、MS-SSIM，实测另用 SCR 改善。关键是其参考来自有/无埋物之差，多层案例明确去除层间反射。</w:t>
      </w:r>
      <w:r>
        <w:rPr>
          <w:b/>
          <w:bCs/>
        </w:rPr>
        <w:t xml:space="preserve">我们可借鉴数据组织、损失对照和无目标案例，不能继承这种地层被删除的 clean。</w:t>
      </w:r>
      <w:r>
        <w:t xml:space="preserve"> 作者混合训练的实测效果也不构成纯仿真到低频 UAV 场景的证据。</w:t>
      </w:r>
    </w:p>
    <w:p>
      <w:pPr>
        <w:pStyle w:val="Heading2"/>
        <w:keepLines/>
      </w:pPr>
      <w:r>
        <w:t xml:space="preserve">4.2 P02：ULCR-Net——“无监督”仍需定义背景</w:t>
      </w:r>
    </w:p>
    <w:p>
      <w:pPr>
        <w:keepNext w:val="false"/>
        <w:keepLines/>
      </w:pPr>
      <w:r>
        <w:t xml:space="preserve">ULCR-Net 先用扩散模型扩充 B-scan，再用带对比学习约束的 GAN 估计杂波，最后由输入相减。基础模拟实验使用 100 幅训练、10 幅测试及非配对背景样本；指标包括 PSNR、SSIM、MAE、MRE，实测另用 IQS。[P02，第 III–IV 节]</w:t>
      </w:r>
    </w:p>
    <w:p>
      <w:pPr>
        <w:keepNext w:val="false"/>
        <w:keepLines/>
      </w:pPr>
      <w:r>
        <w:rPr>
          <w:b/>
          <w:bCs/>
        </w:rPr>
        <w:t xml:space="preserve">关键边界：</w:t>
      </w:r>
      <w:r>
        <w:t xml:space="preserve">实测章节另用实测数据训练；更复杂天线/地表实验也存在重新训练，不能统称同一模型的零样本泛化。“没有局部目标”的场景仍可能包含我们要保留的地层，故非配对背景的语义同样要审查。100 幅是原实验规模，不是本项目样本量结论；扩充样本不增加独立物理母模型数量。</w:t>
      </w:r>
    </w:p>
    <w:p>
      <w:pPr>
        <w:pStyle w:val="Heading2"/>
        <w:keepLines/>
      </w:pPr>
      <w:r>
        <w:t xml:space="preserve">4.3 P03：SGC——两类操作组合接近，全文仍有缺口</w:t>
      </w:r>
    </w:p>
    <w:p>
      <w:pPr>
        <w:keepNext w:val="false"/>
        <w:keepLines/>
      </w:pPr>
      <w:r>
        <w:t xml:space="preserve">已核实的摘要与前轮预印本节选显示，SGC 组合奇异值处理与时间增益，并评估 PSNR、下游 SAM 分割及开销；预印本数据段涉及 gprMax 二维模型。[P03]</w:t>
      </w:r>
    </w:p>
    <w:p>
      <w:pPr>
        <w:keepNext w:val="false"/>
        <w:keepLines/>
      </w:pPr>
      <w:r>
        <w:rPr>
          <w:b/>
          <w:bCs/>
        </w:rPr>
        <w:t xml:space="preserve">目前只用作组合方法线索。</w:t>
      </w:r>
      <w:r>
        <w:t xml:space="preserve"> SGC 本身不等于 ML 配置选择器，下游 IoU 也不等于地层保真。本轮尝试期刊、作者预印本和 DOI 入口，遭遇访问/下载失败，未取得可完整核读的终稿或预印本。不能声称已读完、已确认全部公式参数或已复现。</w:t>
      </w:r>
    </w:p>
    <w:p>
      <w:pPr>
        <w:pStyle w:val="Heading2"/>
        <w:keepLines/>
      </w:pPr>
      <w:r>
        <w:t xml:space="preserve">4.4 P04：WNNM——传统强基线与调参公平性</w:t>
      </w:r>
    </w:p>
    <w:p>
      <w:pPr>
        <w:keepNext w:val="false"/>
        <w:keepLines/>
      </w:pPr>
      <w:r>
        <w:t xml:space="preserve">WNNM 用低秩与稀疏分解处理非平行条件下的杂波，包含 gprMax 高频近地埋管仿真及 SFCW 实验，评价 PSNR、SCR 改善和开销。[P04，第 2–3 节]</w:t>
      </w:r>
    </w:p>
    <w:p>
      <w:pPr>
        <w:keepNext w:val="false"/>
        <w:keepLines/>
      </w:pPr>
      <w:r>
        <w:rPr>
          <w:b/>
          <w:bCs/>
        </w:rPr>
        <w:t xml:space="preserve">值得借鉴：</w:t>
      </w:r>
      <w:r>
        <w:t xml:space="preserve">相同方法在不同工况下需要不同参数。但论文部分实验按对应案例的 PSNR 或 IF 选参；这说明候选方法经调参的能力，不能当作部署时无需真值的自动选参性能。其“目标稀疏、背景低秩”假设也可能损伤地层。本项目先保留它为比较线索，不因此立即扩大首版算子库。</w:t>
      </w:r>
    </w:p>
    <w:p>
      <w:pPr>
        <w:pStyle w:val="Heading2"/>
        <w:keepLines/>
      </w:pPr>
      <w:r>
        <w:t xml:space="preserve">4.5 P05：Qin 2024——滑坡相关模拟先例，任务是反演</w:t>
      </w:r>
    </w:p>
    <w:p>
      <w:pPr>
        <w:keepNext w:val="false"/>
        <w:keepLines/>
      </w:pPr>
      <w:r>
        <w:t xml:space="preserve">论文用 gprMax 构建空洞、松散区、裂隙等模型，报告 1,300 个样本，并用 Pix2Pix 将 B-scan 映射到介电模型；输入经过直达波处理、增益等人工预处理。[P05，第 2–3 节]</w:t>
      </w:r>
    </w:p>
    <w:p>
      <w:pPr>
        <w:keepNext w:val="false"/>
        <w:keepLines/>
      </w:pPr>
      <w:r>
        <w:t xml:space="preserve">这为场景构造提供先例，但不能证明自动背景/增益配置有效。正文主要用反演图展示效果，本轮未找到足以直接采用的两类处理独立量化协议及明确的独立母模型划分。800 MHz 等原文条件不能照搬为我们的低频采集模型；电性异常也不必然对应力学薄弱带。</w:t>
      </w:r>
      <w:r>
        <w:rPr>
          <w:b/>
          <w:bCs/>
        </w:rPr>
        <w:t xml:space="preserve">场景可以学习，任务、频带、标签和评价需要重建。</w:t>
      </w:r>
    </w:p>
    <w:p>
      <w:pPr>
        <w:pStyle w:val="Heading2"/>
        <w:keepLines/>
      </w:pPr>
      <w:r>
        <w:t xml:space="preserve">4.6 A01：AdaptiveISP——原始问题表述与迁移限制</w:t>
      </w:r>
    </w:p>
    <w:p>
      <w:pPr>
        <w:keepNext w:val="false"/>
        <w:keepLines/>
      </w:pPr>
      <w:r>
        <w:t xml:space="preserve">用户提供的 AdaptiveISP 用 actor–critic 学习离散模块选择和连续参数，奖励结合检测误差改善与计算代价，记录已用模块及阶段。附录 C 给出四层卷积特征提取和对应输出头；论文依赖可微处理模块。[A01，第 3–5 节、附录 C]</w:t>
      </w:r>
    </w:p>
    <w:p>
      <w:pPr>
        <w:keepNext w:val="false"/>
        <w:keepLines/>
      </w:pPr>
      <w:r>
        <w:t xml:space="preserve">可借鉴“按输入配置、实际效果反馈、限制重复动作及成本”，不移植 RGB 亮度阈值、检测奖励或固定网络尺寸。我们的秩选择等决策并非天然可微，而且只有两类处理；先搜索有限合法配置更容易核查。RL 应在多步决策确有额外收益时再比较。</w:t>
      </w:r>
    </w:p>
    <w:p>
      <w:pPr>
        <w:pStyle w:val="Heading2"/>
        <w:keepLines/>
      </w:pPr>
      <w:r>
        <w:t xml:space="preserve">4.7 架构应按输出任务区分</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700"/>
        <w:gridCol w:w="3580"/>
        <w:gridCol w:w="3746"/>
      </w:tblGrid>
      <w:tr>
        <w:trPr>
          <w:cantSplit/>
          <w:tblHeader/>
        </w:trPr>
        <w:tc>
          <w:tcPr>
            <w:tcW w:type="dxa" w:w="1700"/>
            <w:shd w:fill="17334A" w:val="clear"/>
            <w:tcMar>
              <w:top w:type="dxa" w:w="95"/>
              <w:left w:type="dxa" w:w="105"/>
              <w:bottom w:type="dxa" w:w="95"/>
              <w:right w:type="dxa" w:w="105"/>
            </w:tcMar>
          </w:tcPr>
          <w:p>
            <w:pPr>
              <w:widowControl/>
              <w:spacing w:after="0" w:line="285"/>
            </w:pPr>
            <w:r>
              <w:rPr>
                <w:b/>
                <w:bCs/>
                <w:color w:val="FFFFFF"/>
                <w:sz w:val="19"/>
                <w:szCs w:val="19"/>
              </w:rPr>
              <w:t xml:space="preserve">方法</w:t>
            </w:r>
          </w:p>
        </w:tc>
        <w:tc>
          <w:tcPr>
            <w:tcW w:type="dxa" w:w="3580"/>
            <w:shd w:fill="17334A" w:val="clear"/>
            <w:tcMar>
              <w:top w:type="dxa" w:w="95"/>
              <w:left w:type="dxa" w:w="105"/>
              <w:bottom w:type="dxa" w:w="95"/>
              <w:right w:type="dxa" w:w="105"/>
            </w:tcMar>
          </w:tcPr>
          <w:p>
            <w:pPr>
              <w:widowControl/>
              <w:spacing w:after="0" w:line="285"/>
            </w:pPr>
            <w:r>
              <w:rPr>
                <w:b/>
                <w:bCs/>
                <w:color w:val="FFFFFF"/>
                <w:sz w:val="19"/>
                <w:szCs w:val="19"/>
              </w:rPr>
              <w:t xml:space="preserve">网络直接输出什么</w:t>
            </w:r>
          </w:p>
        </w:tc>
        <w:tc>
          <w:tcPr>
            <w:tcW w:type="dxa" w:w="3746"/>
            <w:shd w:fill="17334A" w:val="clear"/>
            <w:tcMar>
              <w:top w:type="dxa" w:w="95"/>
              <w:left w:type="dxa" w:w="105"/>
              <w:bottom w:type="dxa" w:w="95"/>
              <w:right w:type="dxa" w:w="105"/>
            </w:tcMar>
          </w:tcPr>
          <w:p>
            <w:pPr>
              <w:widowControl/>
              <w:spacing w:after="0" w:line="285"/>
            </w:pPr>
            <w:r>
              <w:rPr>
                <w:b/>
                <w:bCs/>
                <w:color w:val="FFFFFF"/>
                <w:sz w:val="19"/>
                <w:szCs w:val="19"/>
              </w:rPr>
              <w:t xml:space="preserve">当前采用程度</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CR-Net</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处理后的 B-scan</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借鉴监督与保真检查；不直接生成我们的输出</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ULCR-Net</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扩充数据、预测杂波</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借鉴背景语义审查；不作为首版必要架构</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Qin / Pix2Pix</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介电模型</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场景参考；反演不进入首版</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AdaptiveISP</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模块、参数及逐步决策</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借鉴配置问题；先用有限候选评分替代复杂策略</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本项目候选</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每个合法配置的质量、损伤和成本预测</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技术建议：统计特征加树模型起步，小型 CNN 作后续对照</w:t>
            </w:r>
          </w:p>
        </w:tc>
      </w:tr>
    </w:tbl>
    <w:p>
      <w:pPr>
        <w:spacing w:after="40"/>
      </w:pPr>
    </w:p>
    <w:p>
      <w:pPr>
        <w:keepNext w:val="false"/>
        <w:keepLines/>
      </w:pPr>
      <w:r>
        <w:t xml:space="preserve">第一阶段不必让网络学会“生成地层”。只需学会在真实算子组成的候选集合中选择合适配置，并允许不处理。网络预测值是代理，最终仍以实际数值输出评价。</w:t>
      </w:r>
    </w:p>
    <w:p>
      <w:pPr>
        <w:pStyle w:val="Heading1"/>
        <w:keepLines/>
      </w:pPr>
      <w:r>
        <w:t xml:space="preserve">5. 从地质依据到仿真场景</w:t>
      </w:r>
    </w:p>
    <w:p>
      <w:pPr>
        <w:keepNext/>
        <w:keepLines/>
      </w:pPr>
      <w:r>
        <w:t xml:space="preserve">下表是</w:t>
      </w:r>
      <w:r>
        <w:rPr>
          <w:b/>
          <w:bCs/>
        </w:rPr>
        <w:t xml:space="preserve">本项目提出的实验设计</w:t>
      </w:r>
      <w:r>
        <w:t xml:space="preserve">，尚未通过仿真验证。来源只支持地质关注点或建模先例，不能证明这些对象已存在于当前场地，更不证明每个对象在本系统频带内可辨。</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510"/>
        <w:gridCol w:w="2540"/>
        <w:gridCol w:w="2730"/>
        <w:gridCol w:w="2246"/>
      </w:tblGrid>
      <w:tr>
        <w:trPr>
          <w:cantSplit/>
          <w:tblHeader/>
        </w:trPr>
        <w:tc>
          <w:tcPr>
            <w:tcW w:type="dxa" w:w="1510"/>
            <w:shd w:fill="17334A" w:val="clear"/>
            <w:tcMar>
              <w:top w:type="dxa" w:w="95"/>
              <w:left w:type="dxa" w:w="105"/>
              <w:bottom w:type="dxa" w:w="95"/>
              <w:right w:type="dxa" w:w="105"/>
            </w:tcMar>
          </w:tcPr>
          <w:p>
            <w:pPr>
              <w:widowControl/>
              <w:spacing w:after="0" w:line="285"/>
            </w:pPr>
            <w:r>
              <w:rPr>
                <w:b/>
                <w:bCs/>
                <w:color w:val="FFFFFF"/>
                <w:sz w:val="19"/>
                <w:szCs w:val="19"/>
              </w:rPr>
              <w:t xml:space="preserve">场景族</w:t>
            </w:r>
          </w:p>
        </w:tc>
        <w:tc>
          <w:tcPr>
            <w:tcW w:type="dxa" w:w="2540"/>
            <w:shd w:fill="17334A" w:val="clear"/>
            <w:tcMar>
              <w:top w:type="dxa" w:w="95"/>
              <w:left w:type="dxa" w:w="105"/>
              <w:bottom w:type="dxa" w:w="95"/>
              <w:right w:type="dxa" w:w="105"/>
            </w:tcMar>
          </w:tcPr>
          <w:p>
            <w:pPr>
              <w:widowControl/>
              <w:spacing w:after="0" w:line="285"/>
            </w:pPr>
            <w:r>
              <w:rPr>
                <w:b/>
                <w:bCs/>
                <w:color w:val="FFFFFF"/>
                <w:sz w:val="19"/>
                <w:szCs w:val="19"/>
              </w:rPr>
              <w:t xml:space="preserve">要保护的响应假设</w:t>
            </w:r>
          </w:p>
        </w:tc>
        <w:tc>
          <w:tcPr>
            <w:tcW w:type="dxa" w:w="2730"/>
            <w:shd w:fill="17334A" w:val="clear"/>
            <w:tcMar>
              <w:top w:type="dxa" w:w="95"/>
              <w:left w:type="dxa" w:w="105"/>
              <w:bottom w:type="dxa" w:w="95"/>
              <w:right w:type="dxa" w:w="105"/>
            </w:tcMar>
          </w:tcPr>
          <w:p>
            <w:pPr>
              <w:widowControl/>
              <w:spacing w:after="0" w:line="285"/>
            </w:pPr>
            <w:r>
              <w:rPr>
                <w:b/>
                <w:bCs/>
                <w:color w:val="FFFFFF"/>
                <w:sz w:val="19"/>
                <w:szCs w:val="19"/>
              </w:rPr>
              <w:t xml:space="preserve">主要处理风险</w:t>
            </w:r>
          </w:p>
        </w:tc>
        <w:tc>
          <w:tcPr>
            <w:tcW w:type="dxa" w:w="2246"/>
            <w:shd w:fill="17334A" w:val="clear"/>
            <w:tcMar>
              <w:top w:type="dxa" w:w="95"/>
              <w:left w:type="dxa" w:w="105"/>
              <w:bottom w:type="dxa" w:w="95"/>
              <w:right w:type="dxa" w:w="105"/>
            </w:tcMar>
          </w:tcPr>
          <w:p>
            <w:pPr>
              <w:widowControl/>
              <w:spacing w:after="0" w:line="285"/>
            </w:pPr>
            <w:r>
              <w:rPr>
                <w:b/>
                <w:bCs/>
                <w:color w:val="FFFFFF"/>
                <w:sz w:val="19"/>
                <w:szCs w:val="19"/>
              </w:rPr>
              <w:t xml:space="preserve">依据与必要对照</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S1：平缓界面与覆盖层厚度变化</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平直或缓变界面回波，包括弱回波</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道均值、低秩删除把地层当背景</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L01；同几何弱对比、无界面对照</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S2：起伏、凹槽、倾斜界面</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到时变化与局部反射强度变化</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局部背景误删缓变结构，增益改变幅度关系</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L01、L02；连续、断续及尖灭分别设定</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S3：风化/含水过渡</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渐变、局部增强或明显衰减</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将渐变强制成边界，把低能量区补成结构</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L01、L05；无明显电性对比与高损耗对照</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S4：裂隙、松散与不均匀体</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局部响应、断续及杂乱散射</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将“不平滑、不连续”一律删除</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P05、L02；多个尺度及带宽不可分辨对照</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S5：普通非危险地层、无深部目标</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可保留的普通地层，或没有可信深部回波</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增益抬升晚时干扰，制造假结构</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地质结构不等于危险性的逻辑负控</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S6：相干干扰变化</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在预先定义的结构之上改变相干成分</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过拟合固定水平条纹；有用响应与干扰重叠</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P01–P04、L05；含非水平干扰及无需抑制对照</w:t>
            </w:r>
          </w:p>
        </w:tc>
      </w:tr>
    </w:tbl>
    <w:p>
      <w:pPr>
        <w:spacing w:after="40"/>
      </w:pPr>
    </w:p>
    <w:p>
      <w:pPr>
        <w:keepNext w:val="false"/>
        <w:keepLines/>
      </w:pPr>
      <w:r>
        <w:t xml:space="preserve">S3 中的含水变化必须通过明确介质模型表达，记录适用频带及材料依据；不能把 ERT 电阻率直接当成 GPR 全频段材料参数。S4 不要求首批就完整实现复杂裂隙系统，先做少量机制案例。随机噪声只作为增益风险因素，不扩展为去噪任务。</w:t>
      </w:r>
    </w:p>
    <w:p>
      <w:pPr>
        <w:pStyle w:val="Heading2"/>
        <w:keepLines/>
      </w:pPr>
      <w:r>
        <w:t xml:space="preserve">5.1 由浅入深的三层实验</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510"/>
        <w:gridCol w:w="2540"/>
        <w:gridCol w:w="2730"/>
        <w:gridCol w:w="2246"/>
      </w:tblGrid>
      <w:tr>
        <w:trPr>
          <w:cantSplit/>
          <w:tblHeader/>
        </w:trPr>
        <w:tc>
          <w:tcPr>
            <w:tcW w:type="dxa" w:w="1510"/>
            <w:shd w:fill="17334A" w:val="clear"/>
            <w:tcMar>
              <w:top w:type="dxa" w:w="95"/>
              <w:left w:type="dxa" w:w="105"/>
              <w:bottom w:type="dxa" w:w="95"/>
              <w:right w:type="dxa" w:w="105"/>
            </w:tcMar>
          </w:tcPr>
          <w:p>
            <w:pPr>
              <w:widowControl/>
              <w:spacing w:after="0" w:line="285"/>
            </w:pPr>
            <w:r>
              <w:rPr>
                <w:b/>
                <w:bCs/>
                <w:color w:val="FFFFFF"/>
                <w:sz w:val="19"/>
                <w:szCs w:val="19"/>
              </w:rPr>
              <w:t xml:space="preserve">层次</w:t>
            </w:r>
          </w:p>
        </w:tc>
        <w:tc>
          <w:tcPr>
            <w:tcW w:type="dxa" w:w="2540"/>
            <w:shd w:fill="17334A" w:val="clear"/>
            <w:tcMar>
              <w:top w:type="dxa" w:w="95"/>
              <w:left w:type="dxa" w:w="105"/>
              <w:bottom w:type="dxa" w:w="95"/>
              <w:right w:type="dxa" w:w="105"/>
            </w:tcMar>
          </w:tcPr>
          <w:p>
            <w:pPr>
              <w:widowControl/>
              <w:spacing w:after="0" w:line="285"/>
            </w:pPr>
            <w:r>
              <w:rPr>
                <w:b/>
                <w:bCs/>
                <w:color w:val="FFFFFF"/>
                <w:sz w:val="19"/>
                <w:szCs w:val="19"/>
              </w:rPr>
              <w:t xml:space="preserve">构造与参考</w:t>
            </w:r>
          </w:p>
        </w:tc>
        <w:tc>
          <w:tcPr>
            <w:tcW w:type="dxa" w:w="2730"/>
            <w:shd w:fill="17334A" w:val="clear"/>
            <w:tcMar>
              <w:top w:type="dxa" w:w="95"/>
              <w:left w:type="dxa" w:w="105"/>
              <w:bottom w:type="dxa" w:w="95"/>
              <w:right w:type="dxa" w:w="105"/>
            </w:tcMar>
          </w:tcPr>
          <w:p>
            <w:pPr>
              <w:widowControl/>
              <w:spacing w:after="0" w:line="285"/>
            </w:pPr>
            <w:r>
              <w:rPr>
                <w:b/>
                <w:bCs/>
                <w:color w:val="FFFFFF"/>
                <w:sz w:val="19"/>
                <w:szCs w:val="19"/>
              </w:rPr>
              <w:t xml:space="preserve">可检验的问题</w:t>
            </w:r>
          </w:p>
        </w:tc>
        <w:tc>
          <w:tcPr>
            <w:tcW w:type="dxa" w:w="2246"/>
            <w:shd w:fill="17334A" w:val="clear"/>
            <w:tcMar>
              <w:top w:type="dxa" w:w="95"/>
              <w:left w:type="dxa" w:w="105"/>
              <w:bottom w:type="dxa" w:w="95"/>
              <w:right w:type="dxa" w:w="105"/>
            </w:tcMar>
          </w:tcPr>
          <w:p>
            <w:pPr>
              <w:widowControl/>
              <w:spacing w:after="0" w:line="285"/>
            </w:pPr>
            <w:r>
              <w:rPr>
                <w:b/>
                <w:bCs/>
                <w:color w:val="FFFFFF"/>
                <w:sz w:val="19"/>
                <w:szCs w:val="19"/>
              </w:rPr>
              <w:t xml:space="preserve">不能宣称什么</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A：已知成分控制</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明确的带符号响应 S，加已知相干成分 C 和扰动 N；另设已知正衰减 a(t)</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算子作用、地层误删、指标反例、增益代价</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不代表完整电磁耦合与实际介质吸收</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B：完整电磁正演</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已知几何、材料与采集模型；成对对照仅定义指定物理变化</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 的简化在物理场景中是否失效</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不自动拥有全图“无杂波地下波形”真值</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C：独立仿真测试</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未参与调参的母模型及材料/干扰组合</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固定配置、规则和 ML 的条件内泛化</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不等于营山实测、跨系统或普遍滑坡验证</w:t>
            </w:r>
          </w:p>
        </w:tc>
      </w:tr>
    </w:tbl>
    <w:p>
      <w:pPr>
        <w:spacing w:after="40"/>
      </w:pPr>
    </w:p>
    <w:p>
      <w:pPr>
        <w:keepNext w:val="false"/>
        <w:keepLines/>
      </w:pPr>
      <w:r>
        <w:t xml:space="preserve">最初从 S1、S2、S5 和简单 S6 起步，再按失败原因增加复杂度。物理正演需先检查几何、到时、网格、PML、动态范围和开销；二维筛选后以少量三维模型核查有限目标与侧向散射。官方 gprMax 文档是求解器操作依据，不能用图像效果代替数值检查。[R01]</w:t>
      </w:r>
    </w:p>
    <w:p>
      <w:pPr>
        <w:keepNext w:val="false"/>
        <w:keepLines/>
      </w:pPr>
      <w:r>
        <w:t xml:space="preserve">SFCW 导出链未锁定时，可明确标注为“时域机制仿真”，但不能称为已经匹配本系统。Ricker 输出、冲激响应、逐频 CW 和导出的带符号 A-scan 不可任意替换。首版处理接口仍是约定的实数 B-scan，不新增复频域处理产品。</w:t>
      </w:r>
    </w:p>
    <w:p>
      <w:pPr>
        <w:pStyle w:val="Heading2"/>
        <w:keepLines/>
      </w:pPr>
      <w:r>
        <w:t xml:space="preserve">5.2 clean 的三条规则</w:t>
      </w:r>
    </w:p>
    <w:p>
      <w:pPr>
        <w:pStyle w:val="ListParagraph"/>
        <w:keepLines/>
        <w:numPr>
          <w:ilvl w:val="0"/>
          <w:numId w:val="3"/>
        </w:numPr>
        <w:spacing w:after="120"/>
      </w:pPr>
      <w:r>
        <w:rPr>
          <w:color w:val="176C84"/>
        </w:rPr>
        <w:t xml:space="preserve">H1 − H0</w:t>
      </w:r>
      <w:r>
        <w:t xml:space="preserve"> 只对应 H1 与 H0 的物理差异。若两者均含待保护地层，共同响应会相消；改变目标又会影响相互作用项，不能无条件解释成孤立目标回波。</w:t>
      </w:r>
    </w:p>
    <w:p>
      <w:pPr>
        <w:pStyle w:val="ListParagraph"/>
        <w:keepLines/>
        <w:numPr>
          <w:ilvl w:val="0"/>
          <w:numId w:val="3"/>
        </w:numPr>
        <w:spacing w:after="120"/>
      </w:pPr>
      <w:r>
        <w:t xml:space="preserve">没有完整参考的全波场景，应报告明确窗口内的保护、干扰及负控指标；不强行以删掉地层后的图计算全图 PSNR。</w:t>
      </w:r>
    </w:p>
    <w:p>
      <w:pPr>
        <w:pStyle w:val="ListParagraph"/>
        <w:keepLines/>
        <w:numPr>
          <w:ilvl w:val="0"/>
          <w:numId w:val="3"/>
        </w:numPr>
        <w:spacing w:after="120"/>
      </w:pPr>
      <w:r>
        <w:t xml:space="preserve">改变介质损耗可能改变传播、相位和反射。无损模型不是时间增益必能恢复的真值；已知乘性衰减实验只检验特定数学模型。</w:t>
      </w:r>
    </w:p>
    <w:p>
      <w:pPr>
        <w:pStyle w:val="Heading1"/>
        <w:keepLines/>
      </w:pPr>
      <w:r>
        <w:t xml:space="preserve">6. 评价标准：文献指标与本项目约束</w:t>
      </w:r>
    </w:p>
    <w:p>
      <w:pPr>
        <w:pStyle w:val="Heading2"/>
        <w:keepLines/>
      </w:pPr>
      <w:r>
        <w:t xml:space="preserve">6.1 分开评价处理效果与配置选择</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510"/>
        <w:gridCol w:w="2540"/>
        <w:gridCol w:w="2730"/>
        <w:gridCol w:w="2246"/>
      </w:tblGrid>
      <w:tr>
        <w:trPr>
          <w:cantSplit/>
          <w:tblHeader/>
        </w:trPr>
        <w:tc>
          <w:tcPr>
            <w:tcW w:type="dxa" w:w="1510"/>
            <w:shd w:fill="17334A" w:val="clear"/>
            <w:tcMar>
              <w:top w:type="dxa" w:w="95"/>
              <w:left w:type="dxa" w:w="105"/>
              <w:bottom w:type="dxa" w:w="95"/>
              <w:right w:type="dxa" w:w="105"/>
            </w:tcMar>
          </w:tcPr>
          <w:p>
            <w:pPr>
              <w:widowControl/>
              <w:spacing w:after="0" w:line="285"/>
            </w:pPr>
            <w:r>
              <w:rPr>
                <w:b/>
                <w:bCs/>
                <w:color w:val="FFFFFF"/>
                <w:sz w:val="19"/>
                <w:szCs w:val="19"/>
              </w:rPr>
              <w:t xml:space="preserve">评价对象</w:t>
            </w:r>
          </w:p>
        </w:tc>
        <w:tc>
          <w:tcPr>
            <w:tcW w:type="dxa" w:w="2540"/>
            <w:shd w:fill="17334A" w:val="clear"/>
            <w:tcMar>
              <w:top w:type="dxa" w:w="95"/>
              <w:left w:type="dxa" w:w="105"/>
              <w:bottom w:type="dxa" w:w="95"/>
              <w:right w:type="dxa" w:w="105"/>
            </w:tcMar>
          </w:tcPr>
          <w:p>
            <w:pPr>
              <w:widowControl/>
              <w:spacing w:after="0" w:line="285"/>
            </w:pPr>
            <w:r>
              <w:rPr>
                <w:b/>
                <w:bCs/>
                <w:color w:val="FFFFFF"/>
                <w:sz w:val="19"/>
                <w:szCs w:val="19"/>
              </w:rPr>
              <w:t xml:space="preserve">主指标建议</w:t>
            </w:r>
          </w:p>
        </w:tc>
        <w:tc>
          <w:tcPr>
            <w:tcW w:type="dxa" w:w="2730"/>
            <w:shd w:fill="17334A" w:val="clear"/>
            <w:tcMar>
              <w:top w:type="dxa" w:w="95"/>
              <w:left w:type="dxa" w:w="105"/>
              <w:bottom w:type="dxa" w:w="95"/>
              <w:right w:type="dxa" w:w="105"/>
            </w:tcMar>
          </w:tcPr>
          <w:p>
            <w:pPr>
              <w:widowControl/>
              <w:spacing w:after="0" w:line="285"/>
            </w:pPr>
            <w:r>
              <w:rPr>
                <w:b/>
                <w:bCs/>
                <w:color w:val="FFFFFF"/>
                <w:sz w:val="19"/>
                <w:szCs w:val="19"/>
              </w:rPr>
              <w:t xml:space="preserve">依据及适用条件</w:t>
            </w:r>
          </w:p>
        </w:tc>
        <w:tc>
          <w:tcPr>
            <w:tcW w:type="dxa" w:w="2246"/>
            <w:shd w:fill="17334A" w:val="clear"/>
            <w:tcMar>
              <w:top w:type="dxa" w:w="95"/>
              <w:left w:type="dxa" w:w="105"/>
              <w:bottom w:type="dxa" w:w="95"/>
              <w:right w:type="dxa" w:w="105"/>
            </w:tcMar>
          </w:tcPr>
          <w:p>
            <w:pPr>
              <w:widowControl/>
              <w:spacing w:after="0" w:line="285"/>
            </w:pPr>
            <w:r>
              <w:rPr>
                <w:b/>
                <w:bCs/>
                <w:color w:val="FFFFFF"/>
                <w:sz w:val="19"/>
                <w:szCs w:val="19"/>
              </w:rPr>
              <w:t xml:space="preserve">必须配套检查</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背景处理</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增益前 MAE / NRMSE；PSNR、SSIM 作辅助</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P01、P02、P04；需要语义正确且尺度一致的参考</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弱结构幅度、极性、到时与负控</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杂波改善</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固定 ROI 的功率 SCR 改善；已知成分时另报真实成分比</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P01、P04 使用不同口径，须统一</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ROI 不由候选结果选择，SCR 不冒充 SNR</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增益</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已知乘性模型下的恢复误差；否则报告增益曲线、噪声放大及结构保留</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P03 支持组合研究；具体组合为本项目设计</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增益上限、触顶比例、幅度比及晚时干扰</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配置选择</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输出质量、约束违反率、相对有限搜索差距、耗时</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A01 的任务反馈思想；本项目重新定义效用</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强固定基线、公平调参、分场景报告</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解释相关保护</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预定义事件窗口内的到时/极性/幅度损伤</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场景来源 L01、L02、L04、L05；具体测量协议由本项目定义</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不把雷达事件直接当滑动面，不奖励伪连续</w:t>
            </w:r>
          </w:p>
        </w:tc>
      </w:tr>
    </w:tbl>
    <w:p>
      <w:pPr>
        <w:spacing w:after="40"/>
      </w:pPr>
    </w:p>
    <w:p>
      <w:pPr>
        <w:pStyle w:val="Heading2"/>
        <w:keepLines/>
      </w:pPr>
      <w:r>
        <w:t xml:space="preserve">6.2 指标定义应能直接核查</w:t>
      </w:r>
    </w:p>
    <w:p>
      <w:pPr>
        <w:keepNext w:val="false"/>
        <w:keepLines/>
      </w:pPr>
      <w:r>
        <w:t xml:space="preserve">在同一数值尺度上，参考为 S、输出为 Z、有效元素数为 n：</w:t>
      </w:r>
    </w:p>
    <w:p>
      <w:pPr>
        <w:pStyle w:val="ListParagraph"/>
        <w:keepLines/>
        <w:numPr>
          <w:ilvl w:val="0"/>
          <w:numId w:val="4"/>
        </w:numPr>
        <w:spacing w:after="120"/>
      </w:pPr>
      <w:r>
        <w:rPr>
          <w:color w:val="176C84"/>
        </w:rPr>
        <w:t xml:space="preserve">MAE = Σ|Z − S| / n</w:t>
      </w:r>
      <w:r>
        <w:t xml:space="preserve">；</w:t>
      </w:r>
      <w:r>
        <w:rPr>
          <w:color w:val="176C84"/>
        </w:rPr>
        <w:t xml:space="preserve">NRMSE = ||Z − S||F / ||S||F</w:t>
      </w:r>
      <w:r>
        <w:t xml:space="preserve">。P02 式 (12) 的 MRE 是该归一化二范数误差乘 100%，不是逐点百分比误差。</w:t>
      </w:r>
    </w:p>
    <w:p>
      <w:pPr>
        <w:pStyle w:val="ListParagraph"/>
        <w:keepLines/>
        <w:numPr>
          <w:ilvl w:val="0"/>
          <w:numId w:val="4"/>
        </w:numPr>
        <w:spacing w:after="120"/>
      </w:pPr>
      <w:r>
        <w:rPr>
          <w:color w:val="176C84"/>
        </w:rPr>
        <w:t xml:space="preserve">PSNR = 10 log10(L² / MSE)</w:t>
      </w:r>
      <w:r>
        <w:t xml:space="preserve">。L 必须按固定数据范围约定；不得每幅输出单独归一化后比较。S 全零时不能硬算 NRMSE，应另报绝对误差和输出能量。</w:t>
      </w:r>
    </w:p>
    <w:p>
      <w:pPr>
        <w:pStyle w:val="ListParagraph"/>
        <w:keepLines/>
        <w:numPr>
          <w:ilvl w:val="0"/>
          <w:numId w:val="4"/>
        </w:numPr>
        <w:spacing w:after="120"/>
      </w:pPr>
      <w:r>
        <w:t xml:space="preserve">推荐统一区域功率口径：</w:t>
      </w:r>
      <w:r>
        <w:rPr>
          <w:color w:val="176C84"/>
        </w:rPr>
        <w:t xml:space="preserve">SCRP = mean(Z_target²) / mean(Z_clutter²)</w:t>
      </w:r>
      <w:r>
        <w:t xml:space="preserve">，</w:t>
      </w:r>
      <w:r>
        <w:rPr>
          <w:color w:val="176C84"/>
        </w:rPr>
        <w:t xml:space="preserve">IFP = 10 log10(SCRP,out / SCRP,in)</w:t>
      </w:r>
      <w:r>
        <w:t xml:space="preserve">。P01 的峰值幅度比使用 20log，P04 的功率比使用 10log；二者不能混表。</w:t>
      </w:r>
    </w:p>
    <w:p>
      <w:pPr>
        <w:pStyle w:val="ListParagraph"/>
        <w:keepLines/>
        <w:numPr>
          <w:ilvl w:val="0"/>
          <w:numId w:val="4"/>
        </w:numPr>
        <w:spacing w:after="120"/>
      </w:pPr>
      <w:r>
        <w:t xml:space="preserve">P02 的 IQS 基于输入与预测杂波、输入与保留输出两张局部 SSIM 图的负相关（式 13）。它不是地下结构真值，不作为唯一评分。</w:t>
      </w:r>
    </w:p>
    <w:p>
      <w:pPr>
        <w:keepNext w:val="false"/>
        <w:keepLines/>
      </w:pPr>
      <w:r>
        <w:t xml:space="preserve">事件保护可先采用固定参考窗口内的到时差、符号翻转率，以及投影系数 </w:t>
      </w:r>
      <w:r>
        <w:rPr>
          <w:color w:val="176C84"/>
        </w:rPr>
        <w:t xml:space="preserve">α = &lt;Z,S&gt;/&lt;S,S&gt;</w:t>
      </w:r>
      <w:r>
        <w:t xml:space="preserve"> 和剩余误差共同检查。投影系数不是完整物理幅度恢复，也不能掩盖错误波形。这些是</w:t>
      </w:r>
      <w:r>
        <w:rPr>
          <w:b/>
          <w:bCs/>
        </w:rPr>
        <w:t xml:space="preserve">待验证的项目诊断定义</w:t>
      </w:r>
      <w:r>
        <w:t xml:space="preserve">，不宣称已有统一行业阈值。到时不明或参考能量不足的窗口标记不可评，不以零误差代替。</w:t>
      </w:r>
    </w:p>
    <w:p>
      <w:pPr>
        <w:keepNext w:val="false"/>
        <w:keepLines/>
      </w:pPr>
      <w:r>
        <w:t xml:space="preserve">增益实验设 </w:t>
      </w:r>
      <w:r>
        <w:rPr>
          <w:color w:val="176C84"/>
        </w:rPr>
        <w:t xml:space="preserve">X = a(t)⊙S0 + N</w:t>
      </w:r>
      <w:r>
        <w:t xml:space="preserve">，分别报告无噪声可恢复对照与含噪声结果。只要信号和噪声同处一个样本并同乘 g，局部成分功率比不变；时变增益可以重分配全图权重，因此全局代理分数可能变化。这不等于新增地下信息或提高物理穿透深度。AGC 能改变幅度关系，也不能自动称为保幅补偿。</w:t>
      </w:r>
    </w:p>
    <w:p>
      <w:pPr>
        <w:pStyle w:val="Heading2"/>
        <w:keepLines/>
      </w:pPr>
      <w:r>
        <w:t xml:space="preserve">6.3 在训练前先让指标通过反例</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700"/>
        <w:gridCol w:w="3580"/>
        <w:gridCol w:w="3746"/>
      </w:tblGrid>
      <w:tr>
        <w:trPr>
          <w:cantSplit/>
          <w:tblHeader/>
        </w:trPr>
        <w:tc>
          <w:tcPr>
            <w:tcW w:type="dxa" w:w="1700"/>
            <w:shd w:fill="17334A" w:val="clear"/>
            <w:tcMar>
              <w:top w:type="dxa" w:w="95"/>
              <w:left w:type="dxa" w:w="105"/>
              <w:bottom w:type="dxa" w:w="95"/>
              <w:right w:type="dxa" w:w="105"/>
            </w:tcMar>
          </w:tcPr>
          <w:p>
            <w:pPr>
              <w:widowControl/>
              <w:spacing w:after="0" w:line="285"/>
            </w:pPr>
            <w:r>
              <w:rPr>
                <w:b/>
                <w:bCs/>
                <w:color w:val="FFFFFF"/>
                <w:sz w:val="19"/>
                <w:szCs w:val="19"/>
              </w:rPr>
              <w:t xml:space="preserve">反例</w:t>
            </w:r>
          </w:p>
        </w:tc>
        <w:tc>
          <w:tcPr>
            <w:tcW w:type="dxa" w:w="3580"/>
            <w:shd w:fill="17334A" w:val="clear"/>
            <w:tcMar>
              <w:top w:type="dxa" w:w="95"/>
              <w:left w:type="dxa" w:w="105"/>
              <w:bottom w:type="dxa" w:w="95"/>
              <w:right w:type="dxa" w:w="105"/>
            </w:tcMar>
          </w:tcPr>
          <w:p>
            <w:pPr>
              <w:widowControl/>
              <w:spacing w:after="0" w:line="285"/>
            </w:pPr>
            <w:r>
              <w:rPr>
                <w:b/>
                <w:bCs/>
                <w:color w:val="FFFFFF"/>
                <w:sz w:val="19"/>
                <w:szCs w:val="19"/>
              </w:rPr>
              <w:t xml:space="preserve">指标应暴露的问题</w:t>
            </w:r>
          </w:p>
        </w:tc>
        <w:tc>
          <w:tcPr>
            <w:tcW w:type="dxa" w:w="3746"/>
            <w:shd w:fill="17334A" w:val="clear"/>
            <w:tcMar>
              <w:top w:type="dxa" w:w="95"/>
              <w:left w:type="dxa" w:w="105"/>
              <w:bottom w:type="dxa" w:w="95"/>
              <w:right w:type="dxa" w:w="105"/>
            </w:tcMar>
          </w:tcPr>
          <w:p>
            <w:pPr>
              <w:widowControl/>
              <w:spacing w:after="0" w:line="285"/>
            </w:pPr>
            <w:r>
              <w:rPr>
                <w:b/>
                <w:bCs/>
                <w:color w:val="FFFFFF"/>
                <w:sz w:val="19"/>
                <w:szCs w:val="19"/>
              </w:rPr>
              <w:t xml:space="preserve">是否需要真值</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输出全零</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杂波消失但所有结构丢失</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有响应参考时必须判为损伤</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整体乘常数</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更亮不应获得真实 SNR 收益</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已知成分或代数检查</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删除平直弱界面</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全图平均误差可能小，但关键响应消失</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预先定义的弱界面窗口</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极性翻转或轻微错位</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视觉相似仍存在物理响应错误</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带符号参考与到时约定</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将真实断续补成连续</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“更平滑”可能是伪结构</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断续/尖灭控制模型</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无目标输入加大晚时增益</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输出出现可误认的强纹理</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无目标/强衰减负控及固定判读规则</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恒等输出</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在需要处理时收益不足，在干净输入时应被允许</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必须同时有干扰与无需处理案例</w:t>
            </w:r>
          </w:p>
        </w:tc>
      </w:tr>
    </w:tbl>
    <w:p>
      <w:pPr>
        <w:spacing w:after="40"/>
      </w:pPr>
    </w:p>
    <w:p>
      <w:pPr>
        <w:keepNext w:val="false"/>
        <w:keepLines/>
      </w:pPr>
      <w:r>
        <w:t xml:space="preserve">现阶段不指定未经论证的 PSNR 合格值、统一增益上限或指标权重。容限应结合采样、带宽、数值误差和开发集确定，然后冻结于独立测试之前。草案条款、其他场地深度误差和论文最高分都不能代替这一过程。</w:t>
      </w:r>
    </w:p>
    <w:p>
      <w:pPr>
        <w:pStyle w:val="Heading1"/>
        <w:keepLines/>
      </w:pPr>
      <w:r>
        <w:t xml:space="preserve">7. 最小算子与 ML 决策方案</w:t>
      </w:r>
    </w:p>
    <w:p>
      <w:pPr>
        <w:pStyle w:val="Heading2"/>
        <w:keepLines/>
      </w:pPr>
      <w:r>
        <w:t xml:space="preserve">7.1 算子契约草案</w:t>
      </w:r>
    </w:p>
    <w:p>
      <w:pPr>
        <w:keepNext/>
        <w:keepLines/>
      </w:pPr>
      <w:r>
        <w:t xml:space="preserve">输入统一为 </w:t>
      </w:r>
      <w:r>
        <w:rPr>
          <w:color w:val="176C84"/>
        </w:rPr>
        <w:t xml:space="preserve">X[sample, trace]</w:t>
      </w:r>
      <w:r>
        <w:t xml:space="preserve"> 的带符号数值 B-scan，携带轴约定、尺度、已有掩码和上游处理状态；输出保留相同域与轴。以下是候选定义，尚未实现或验证。</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510"/>
        <w:gridCol w:w="2540"/>
        <w:gridCol w:w="2730"/>
        <w:gridCol w:w="2246"/>
      </w:tblGrid>
      <w:tr>
        <w:trPr>
          <w:cantSplit/>
          <w:tblHeader/>
        </w:trPr>
        <w:tc>
          <w:tcPr>
            <w:tcW w:type="dxa" w:w="1510"/>
            <w:shd w:fill="17334A" w:val="clear"/>
            <w:tcMar>
              <w:top w:type="dxa" w:w="95"/>
              <w:left w:type="dxa" w:w="105"/>
              <w:bottom w:type="dxa" w:w="95"/>
              <w:right w:type="dxa" w:w="105"/>
            </w:tcMar>
          </w:tcPr>
          <w:p>
            <w:pPr>
              <w:widowControl/>
              <w:spacing w:after="0" w:line="285"/>
            </w:pPr>
            <w:r>
              <w:rPr>
                <w:b/>
                <w:bCs/>
                <w:color w:val="FFFFFF"/>
                <w:sz w:val="19"/>
                <w:szCs w:val="19"/>
              </w:rPr>
              <w:t xml:space="preserve">候选</w:t>
            </w:r>
          </w:p>
        </w:tc>
        <w:tc>
          <w:tcPr>
            <w:tcW w:type="dxa" w:w="2540"/>
            <w:shd w:fill="17334A" w:val="clear"/>
            <w:tcMar>
              <w:top w:type="dxa" w:w="95"/>
              <w:left w:type="dxa" w:w="105"/>
              <w:bottom w:type="dxa" w:w="95"/>
              <w:right w:type="dxa" w:w="105"/>
            </w:tcMar>
          </w:tcPr>
          <w:p>
            <w:pPr>
              <w:widowControl/>
              <w:spacing w:after="0" w:line="285"/>
            </w:pPr>
            <w:r>
              <w:rPr>
                <w:b/>
                <w:bCs/>
                <w:color w:val="FFFFFF"/>
                <w:sz w:val="19"/>
                <w:szCs w:val="19"/>
              </w:rPr>
              <w:t xml:space="preserve">数学形式或参数</w:t>
            </w:r>
          </w:p>
        </w:tc>
        <w:tc>
          <w:tcPr>
            <w:tcW w:type="dxa" w:w="2730"/>
            <w:shd w:fill="17334A" w:val="clear"/>
            <w:tcMar>
              <w:top w:type="dxa" w:w="95"/>
              <w:left w:type="dxa" w:w="105"/>
              <w:bottom w:type="dxa" w:w="95"/>
              <w:right w:type="dxa" w:w="105"/>
            </w:tcMar>
          </w:tcPr>
          <w:p>
            <w:pPr>
              <w:widowControl/>
              <w:spacing w:after="0" w:line="285"/>
            </w:pPr>
            <w:r>
              <w:rPr>
                <w:b/>
                <w:bCs/>
                <w:color w:val="FFFFFF"/>
                <w:sz w:val="19"/>
                <w:szCs w:val="19"/>
              </w:rPr>
              <w:t xml:space="preserve">必须输出</w:t>
            </w:r>
          </w:p>
        </w:tc>
        <w:tc>
          <w:tcPr>
            <w:tcW w:type="dxa" w:w="2246"/>
            <w:shd w:fill="17334A" w:val="clear"/>
            <w:tcMar>
              <w:top w:type="dxa" w:w="95"/>
              <w:left w:type="dxa" w:w="105"/>
              <w:bottom w:type="dxa" w:w="95"/>
              <w:right w:type="dxa" w:w="105"/>
            </w:tcMar>
          </w:tcPr>
          <w:p>
            <w:pPr>
              <w:widowControl/>
              <w:spacing w:after="0" w:line="285"/>
            </w:pPr>
            <w:r>
              <w:rPr>
                <w:b/>
                <w:bCs/>
                <w:color w:val="FFFFFF"/>
                <w:sz w:val="19"/>
                <w:szCs w:val="19"/>
              </w:rPr>
              <w:t xml:space="preserve">主要失败反例</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identity</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Z = X</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跳过原因</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作为真实合法选项，不能人为惩罚</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全局/局部道背景扣除</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Z = X − λb</w:t>
            </w:r>
            <w:r>
              <w:rPr>
                <w:b w:val="false"/>
                <w:bCs w:val="false"/>
                <w:color w:val="243746"/>
                <w:sz w:val="19"/>
                <w:szCs w:val="19"/>
              </w:rPr>
              <w:t xml:space="preserve">；窗口与 λ</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背景估计、去除分量、边界规则</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与道无关的真实界面被扣除</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受限 SVD 抑制</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X = UΣVᵀ</w:t>
            </w:r>
            <w:r>
              <w:rPr>
                <w:b w:val="false"/>
                <w:bCs w:val="false"/>
                <w:color w:val="243746"/>
                <w:sz w:val="19"/>
                <w:szCs w:val="19"/>
              </w:rPr>
              <w:t xml:space="preserve">；指定奇异分量权重</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权重、去除分量、分解设置</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主要奇异分量包含地层</w:t>
            </w:r>
          </w:p>
        </w:tc>
      </w:tr>
      <w:tr>
        <w:trPr>
          <w:cantSplit/>
          <w:tblHeader w:val="false"/>
        </w:trPr>
        <w:tc>
          <w:tcPr>
            <w:tcW w:type="dxa" w:w="151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受限正时间增益</w:t>
            </w:r>
          </w:p>
        </w:tc>
        <w:tc>
          <w:tcPr>
            <w:tcW w:type="dxa" w:w="254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Z = g(t)⊙X</w:t>
            </w:r>
            <w:r>
              <w:rPr>
                <w:b w:val="false"/>
                <w:bCs w:val="false"/>
                <w:color w:val="243746"/>
                <w:sz w:val="19"/>
                <w:szCs w:val="19"/>
              </w:rPr>
              <w:t xml:space="preserve">；曲线参数、上限</w:t>
            </w:r>
          </w:p>
        </w:tc>
        <w:tc>
          <w:tcPr>
            <w:tcW w:type="dxa" w:w="273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增益前结果、完整曲线、触顶比例</w:t>
            </w:r>
          </w:p>
        </w:tc>
        <w:tc>
          <w:tcPr>
            <w:tcW w:type="dxa" w:w="22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晚时噪声放大、弱对比被误解</w:t>
            </w:r>
          </w:p>
        </w:tc>
      </w:tr>
      <w:tr>
        <w:trPr>
          <w:cantSplit/>
          <w:tblHeader w:val="false"/>
        </w:trPr>
        <w:tc>
          <w:tcPr>
            <w:tcW w:type="dxa" w:w="151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AGC 比较项</w:t>
            </w:r>
          </w:p>
        </w:tc>
        <w:tc>
          <w:tcPr>
            <w:tcW w:type="dxa" w:w="254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明确窗口、稳定项、增益上限</w:t>
            </w:r>
          </w:p>
        </w:tc>
        <w:tc>
          <w:tcPr>
            <w:tcW w:type="dxa" w:w="273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逐位置增益与幅度关系变化</w:t>
            </w:r>
          </w:p>
        </w:tc>
        <w:tc>
          <w:tcPr>
            <w:tcW w:type="dxa" w:w="22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相对反射强弱被抹平</w:t>
            </w:r>
          </w:p>
        </w:tc>
      </w:tr>
    </w:tbl>
    <w:p>
      <w:pPr>
        <w:spacing w:after="40"/>
      </w:pPr>
    </w:p>
    <w:p>
      <w:pPr>
        <w:keepNext w:val="false"/>
        <w:keepLines/>
      </w:pPr>
      <w:r>
        <w:t xml:space="preserve">AGC 只作为可选比较项，不默认纳入物理衰减补偿。任何局部背景窗口都需明确按道数还是距离计；元数据不足时只在样本/道坐标下解释。每步保留参数、版本、输入输出标识、耗时、异常及停止理由。去除分量不能未经核验就全称噪声。</w:t>
      </w:r>
    </w:p>
    <w:p>
      <w:pPr>
        <w:pStyle w:val="Heading2"/>
        <w:keepLines/>
      </w:pPr>
      <w:r>
        <w:t xml:space="preserve">7.2 不为学习顺序制造无效动作</w:t>
      </w:r>
    </w:p>
    <w:p>
      <w:pPr>
        <w:keepNext w:val="false"/>
        <w:keepLines/>
      </w:pPr>
      <w:r>
        <w:t xml:space="preserve">对固定背景扣除 </w:t>
      </w:r>
      <w:r>
        <w:rPr>
          <w:color w:val="176C84"/>
        </w:rPr>
        <w:t xml:space="preserve">B(X)=X−λX11ᵀ/m</w:t>
      </w:r>
      <w:r>
        <w:t xml:space="preserve">，其中 m 为道数、1 为 m 维全 1 列向量，若固定时间增益 G 对所有道相同，则 </w:t>
      </w:r>
      <w:r>
        <w:rPr>
          <w:color w:val="176C84"/>
        </w:rPr>
        <w:t xml:space="preserve">B(GX)=G B(X)</w:t>
      </w:r>
      <w:r>
        <w:t xml:space="preserve">。因此这种组合的先后顺序在所列条件下无区别，无需作为两个动作。缺失值处理、数据相关权重、逐道增益或重新估计参数会改变条件；SVD 和 AGC 等数据相关算子应另做实际算子运行对照。此处是代数结论，不是所有背景方法与增益均可交换。</w:t>
      </w:r>
    </w:p>
    <w:p>
      <w:pPr>
        <w:pStyle w:val="Heading2"/>
        <w:keepLines/>
      </w:pPr>
      <w:r>
        <w:t xml:space="preserve">7.3 自动选择器学什么</w:t>
      </w:r>
    </w:p>
    <w:p>
      <w:pPr>
        <w:keepNext w:val="false"/>
        <w:keepLines/>
      </w:pPr>
      <w:r>
        <w:t xml:space="preserve">先对每个开发场景运行同一有限合法配置集合，记录实际输出的结构损伤、干扰变化、增益风险和开销。对满足保护约束的配置排序；性能接近时允许多个合理选择，不强造唯一算法标签。</w:t>
      </w:r>
    </w:p>
    <w:p>
      <w:pPr>
        <w:keepNext w:val="false"/>
        <w:keepLines/>
      </w:pPr>
      <w:r>
        <w:t xml:space="preserve">建议先比较统计特征加树模型，再比较小型二维 CNN 与沿时间/道方向的统计汇聚。输出为完整配置的评分或若干质量分量，而不是分别猜两个“最佳算法”后拼接。连续参数头仅在离散候选效果稳定后研究。当前不冻结层数、损失权重或训练规模。</w:t>
      </w:r>
    </w:p>
    <w:p>
      <w:pPr>
        <w:keepNext w:val="false"/>
        <w:keepLines/>
      </w:pPr>
      <w:r>
        <w:t xml:space="preserve">若定义了固定效用 U，可报告 </w:t>
      </w:r>
      <w:r>
        <w:rPr>
          <w:color w:val="176C84"/>
        </w:rPr>
        <w:t xml:space="preserve">regret = max(U(c)) − U(c_selected)</w:t>
      </w:r>
      <w:r>
        <w:t xml:space="preserve">，最大值只在同一合法候选集合内取得。离线使用测试真值枚举所得的是</w:t>
      </w:r>
      <w:r>
        <w:rPr>
          <w:b/>
          <w:bCs/>
        </w:rPr>
        <w:t xml:space="preserve">候选集合内参考上限</w:t>
      </w:r>
      <w:r>
        <w:t xml:space="preserve">，不是可部署方法或连续参数全局最优；测试枚举结果只用于最终评价，不反向选择模型、阈值或算子。</w:t>
      </w:r>
    </w:p>
    <w:p>
      <w:pPr>
        <w:keepNext w:val="false"/>
        <w:keepLines/>
      </w:pPr>
      <w:r>
        <w:t xml:space="preserve">最好的固定配置必须在开发/验证集公平选择，不能拿未经调优的传统方法陪衬 ML。报告整体及分场景失败率，并按地质母模型汇总不确定性；同母模型的多个窗、噪声版本和配对对照不得被当成独立样本。模型选择也会对评价数据过拟合，独立测试需覆盖这一环节。[R02]</w:t>
      </w:r>
    </w:p>
    <w:p>
      <w:pPr>
        <w:pStyle w:val="Heading1"/>
        <w:keepLines/>
      </w:pPr>
      <w:r>
        <w:t xml:space="preserve">8. 研究推进顺序与待补证据</w:t>
      </w:r>
    </w:p>
    <w:p>
      <w:pPr>
        <w:pStyle w:val="Heading2"/>
        <w:keepLines/>
      </w:pPr>
      <w:r>
        <w:t xml:space="preserve">8.1 建议的下一步产物</w:t>
      </w:r>
    </w:p>
    <w:tbl>
      <w:tblPr>
        <w:tblW w:type="dxa" w:w="9026"/>
        <w:tblBorders>
          <w:top w:val="single" w:color="D8E2E8" w:sz="4"/>
          <w:left w:val="single" w:color="D8E2E8" w:sz="4"/>
          <w:bottom w:val="single" w:color="D8E2E8" w:sz="4"/>
          <w:right w:val="single" w:color="D8E2E8" w:sz="4"/>
          <w:insideH w:val="single" w:color="D8E2E8" w:sz="4"/>
          <w:insideV w:val="single" w:color="D8E2E8" w:sz="4"/>
        </w:tblBorders>
        <w:tblLayout w:type="fixed"/>
      </w:tblPr>
      <w:tblGrid>
        <w:gridCol w:w="1700"/>
        <w:gridCol w:w="3580"/>
        <w:gridCol w:w="3746"/>
      </w:tblGrid>
      <w:tr>
        <w:trPr>
          <w:cantSplit/>
          <w:tblHeader/>
        </w:trPr>
        <w:tc>
          <w:tcPr>
            <w:tcW w:type="dxa" w:w="1700"/>
            <w:shd w:fill="17334A" w:val="clear"/>
            <w:tcMar>
              <w:top w:type="dxa" w:w="95"/>
              <w:left w:type="dxa" w:w="105"/>
              <w:bottom w:type="dxa" w:w="95"/>
              <w:right w:type="dxa" w:w="105"/>
            </w:tcMar>
          </w:tcPr>
          <w:p>
            <w:pPr>
              <w:widowControl/>
              <w:spacing w:after="0" w:line="285"/>
            </w:pPr>
            <w:r>
              <w:rPr>
                <w:b/>
                <w:bCs/>
                <w:color w:val="FFFFFF"/>
                <w:sz w:val="19"/>
                <w:szCs w:val="19"/>
              </w:rPr>
              <w:t xml:space="preserve">顺序</w:t>
            </w:r>
          </w:p>
        </w:tc>
        <w:tc>
          <w:tcPr>
            <w:tcW w:type="dxa" w:w="3580"/>
            <w:shd w:fill="17334A" w:val="clear"/>
            <w:tcMar>
              <w:top w:type="dxa" w:w="95"/>
              <w:left w:type="dxa" w:w="105"/>
              <w:bottom w:type="dxa" w:w="95"/>
              <w:right w:type="dxa" w:w="105"/>
            </w:tcMar>
          </w:tcPr>
          <w:p>
            <w:pPr>
              <w:widowControl/>
              <w:spacing w:after="0" w:line="285"/>
            </w:pPr>
            <w:r>
              <w:rPr>
                <w:b/>
                <w:bCs/>
                <w:color w:val="FFFFFF"/>
                <w:sz w:val="19"/>
                <w:szCs w:val="19"/>
              </w:rPr>
              <w:t xml:space="preserve">具体产物</w:t>
            </w:r>
          </w:p>
        </w:tc>
        <w:tc>
          <w:tcPr>
            <w:tcW w:type="dxa" w:w="3746"/>
            <w:shd w:fill="17334A" w:val="clear"/>
            <w:tcMar>
              <w:top w:type="dxa" w:w="95"/>
              <w:left w:type="dxa" w:w="105"/>
              <w:bottom w:type="dxa" w:w="95"/>
              <w:right w:type="dxa" w:w="105"/>
            </w:tcMar>
          </w:tcPr>
          <w:p>
            <w:pPr>
              <w:widowControl/>
              <w:spacing w:after="0" w:line="285"/>
            </w:pPr>
            <w:r>
              <w:rPr>
                <w:b/>
                <w:bCs/>
                <w:color w:val="FFFFFF"/>
                <w:sz w:val="19"/>
                <w:szCs w:val="19"/>
              </w:rPr>
              <w:t xml:space="preserve">进入下一步前要回答的问题</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1</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场景卡、参考定义、算子卡与指标反例清单</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我们是否把应保护的结构标成了背景？</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2</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少量控制实验与本地 gprMax 试算设计</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算子与评分自洽吗，正演数值结果可信且开销可控吗？</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3</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固定配置、规则和有限搜索对照</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是否确实需要逐场景自适应，收益来自哪里？</w:t>
            </w:r>
          </w:p>
        </w:tc>
      </w:tr>
      <w:tr>
        <w:trPr>
          <w:cantSplit/>
          <w:tblHeader w:val="false"/>
        </w:trPr>
        <w:tc>
          <w:tcPr>
            <w:tcW w:type="dxa" w:w="170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4</w:t>
            </w:r>
          </w:p>
        </w:tc>
        <w:tc>
          <w:tcPr>
            <w:tcW w:type="dxa" w:w="3580"/>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轻量选择器及必要的 CNN 对照</w:t>
            </w:r>
          </w:p>
        </w:tc>
        <w:tc>
          <w:tcPr>
            <w:tcW w:type="dxa" w:w="3746"/>
            <w:shd w:fill="FFFFFF" w:val="clear"/>
            <w:tcMar>
              <w:top w:type="dxa" w:w="95"/>
              <w:left w:type="dxa" w:w="105"/>
              <w:bottom w:type="dxa" w:w="95"/>
              <w:right w:type="dxa" w:w="105"/>
            </w:tcMar>
          </w:tcPr>
          <w:p>
            <w:pPr>
              <w:widowControl/>
              <w:spacing w:after="0" w:line="285"/>
            </w:pPr>
            <w:r>
              <w:rPr>
                <w:b w:val="false"/>
                <w:bCs w:val="false"/>
                <w:color w:val="243746"/>
                <w:sz w:val="19"/>
                <w:szCs w:val="19"/>
              </w:rPr>
              <w:t xml:space="preserve">同一独立测试上是否改善质量/成本，失败是否可回退？</w:t>
            </w:r>
          </w:p>
        </w:tc>
      </w:tr>
      <w:tr>
        <w:trPr>
          <w:cantSplit/>
          <w:tblHeader w:val="false"/>
        </w:trPr>
        <w:tc>
          <w:tcPr>
            <w:tcW w:type="dxa" w:w="170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5</w:t>
            </w:r>
          </w:p>
        </w:tc>
        <w:tc>
          <w:tcPr>
            <w:tcW w:type="dxa" w:w="3580"/>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冻结后启用保留测线的验证方案</w:t>
            </w:r>
          </w:p>
        </w:tc>
        <w:tc>
          <w:tcPr>
            <w:tcW w:type="dxa" w:w="3746"/>
            <w:shd w:fill="F1F6F8" w:val="clear"/>
            <w:tcMar>
              <w:top w:type="dxa" w:w="95"/>
              <w:left w:type="dxa" w:w="105"/>
              <w:bottom w:type="dxa" w:w="95"/>
              <w:right w:type="dxa" w:w="105"/>
            </w:tcMar>
          </w:tcPr>
          <w:p>
            <w:pPr>
              <w:widowControl/>
              <w:spacing w:after="0" w:line="285"/>
            </w:pPr>
            <w:r>
              <w:rPr>
                <w:b w:val="false"/>
                <w:bCs w:val="false"/>
                <w:color w:val="243746"/>
                <w:sz w:val="19"/>
                <w:szCs w:val="19"/>
              </w:rPr>
              <w:t xml:space="preserve">哪些属于直接检查，哪些属于场地适配？</w:t>
            </w:r>
          </w:p>
        </w:tc>
      </w:tr>
    </w:tbl>
    <w:p>
      <w:pPr>
        <w:spacing w:after="40"/>
      </w:pPr>
    </w:p>
    <w:p>
      <w:pPr>
        <w:keepNext w:val="false"/>
        <w:keepLines/>
      </w:pPr>
      <w:r>
        <w:t xml:space="preserve">本表是研究建议，不表示已经启动计算或批准大批量仿真。当前无需先消耗有限实测数据。此前已有资料审计与有限预览，后期不能写成“从未查看过的完全盲测”；若再用钻孔拟合仿真或调参，必须单列场地适配。</w:t>
      </w:r>
    </w:p>
    <w:p>
      <w:pPr>
        <w:pStyle w:val="Heading2"/>
        <w:keepLines/>
      </w:pPr>
      <w:r>
        <w:t xml:space="preserve">8.2 明确保留的证据缺口</w:t>
      </w:r>
    </w:p>
    <w:p>
      <w:pPr>
        <w:pStyle w:val="ListParagraph"/>
        <w:keepLines/>
        <w:numPr>
          <w:ilvl w:val="0"/>
          <w:numId w:val="4"/>
        </w:numPr>
        <w:spacing w:after="120"/>
      </w:pPr>
      <w:r>
        <w:rPr>
          <w:b/>
          <w:bCs/>
        </w:rPr>
        <w:t xml:space="preserve">SGC：</w:t>
      </w:r>
      <w:r>
        <w:t xml:space="preserve">需要完整预印本或终稿，才能确定全部参数、参考、增益定义及版本差异；本次不填补未知细节。</w:t>
      </w:r>
    </w:p>
    <w:p>
      <w:pPr>
        <w:pStyle w:val="ListParagraph"/>
        <w:keepLines/>
        <w:numPr>
          <w:ilvl w:val="0"/>
          <w:numId w:val="4"/>
        </w:numPr>
        <w:spacing w:after="120"/>
      </w:pPr>
      <w:r>
        <w:rPr>
          <w:b/>
          <w:bCs/>
        </w:rPr>
        <w:t xml:space="preserve">场景直接证据：</w:t>
      </w:r>
      <w:r>
        <w:t xml:space="preserve">UAV-SFCW 非显性滑坡的 EGU 摘要需要完整论文/报告及验证细节；不把摘要探深当保证。</w:t>
      </w:r>
    </w:p>
    <w:p>
      <w:pPr>
        <w:pStyle w:val="ListParagraph"/>
        <w:keepLines/>
        <w:numPr>
          <w:ilvl w:val="0"/>
          <w:numId w:val="4"/>
        </w:numPr>
        <w:spacing w:after="120"/>
      </w:pPr>
      <w:r>
        <w:rPr>
          <w:b/>
          <w:bCs/>
        </w:rPr>
        <w:t xml:space="preserve">标准状态：</w:t>
      </w:r>
      <w:r>
        <w:t xml:space="preserve">两份指南当前阅读版本为征求意见稿；正式使用其中条款前须核对正式版本与适用范围。</w:t>
      </w:r>
    </w:p>
    <w:p>
      <w:pPr>
        <w:pStyle w:val="ListParagraph"/>
        <w:keepLines/>
        <w:numPr>
          <w:ilvl w:val="0"/>
          <w:numId w:val="4"/>
        </w:numPr>
        <w:spacing w:after="120"/>
      </w:pPr>
      <w:r>
        <w:rPr>
          <w:b/>
          <w:bCs/>
        </w:rPr>
        <w:t xml:space="preserve">自动增益与自动配置：</w:t>
      </w:r>
      <w:r>
        <w:t xml:space="preserve">此前 TGC-Net、GPR Multi-Task Learning 等仍有全文访问缺口，详见跨领域研究；它们不计入本轮正文通读数量。</w:t>
      </w:r>
    </w:p>
    <w:p>
      <w:pPr>
        <w:pStyle w:val="ListParagraph"/>
        <w:keepLines/>
        <w:numPr>
          <w:ilvl w:val="0"/>
          <w:numId w:val="4"/>
        </w:numPr>
        <w:spacing w:after="120"/>
      </w:pPr>
      <w:r>
        <w:rPr>
          <w:b/>
          <w:bCs/>
        </w:rPr>
        <w:t xml:space="preserve">物理与现场适用性：</w:t>
      </w:r>
      <w:r>
        <w:t xml:space="preserve">采集/导出链、相关材料参数与仿真到实测差异仍需后续验证。本文没有生成训练集、实现处理模型或验证实测性能。</w:t>
      </w:r>
    </w:p>
    <w:p>
      <w:pPr>
        <w:keepNext w:val="false"/>
        <w:keepLines/>
      </w:pPr>
      <w:r>
        <w:t xml:space="preserve">当前证据足以支撑开始建立可审查的小型基准，尚不足以承诺某种网络最佳、固定样本量充分、探测深度提高或人工成本下降比例。</w:t>
      </w:r>
    </w:p>
    <w:p>
      <w:pPr>
        <w:pStyle w:val="Heading1"/>
        <w:keepLines/>
      </w:pPr>
      <w:r>
        <w:t xml:space="preserve">9. 原始来源与复核入口</w:t>
      </w:r>
    </w:p>
    <w:p>
      <w:pPr>
        <w:keepNext w:val="false"/>
        <w:keepLines/>
      </w:pPr>
      <w:r>
        <w:t xml:space="preserve">所有链接核查日期为 2026-09-23。编号用于定位证据，不代表质量排名。PDF 页码以所链接版本为准；正式版、作者稿、会议摘要与草案已分开。源文件校验信息另存 </w:t>
      </w:r>
      <w:r>
        <w:rPr>
          <w:color w:val="176C84"/>
        </w:rPr>
        <w:t xml:space="preserve">2026-09-23_literature_reading_ledger.json</w:t>
      </w:r>
      <w:r>
        <w:t xml:space="preserve">，哈希识别本次取得版本，不代表论文结论已经验证。</w:t>
      </w:r>
    </w:p>
    <w:p>
      <w:pPr>
        <w:pStyle w:val="ListParagraph"/>
        <w:keepLines/>
        <w:numPr>
          <w:ilvl w:val="0"/>
          <w:numId w:val="4"/>
        </w:numPr>
        <w:spacing w:after="120"/>
      </w:pPr>
      <w:r>
        <w:rPr>
          <w:b/>
          <w:bCs/>
        </w:rPr>
        <w:t xml:space="preserve">P01</w:t>
      </w:r>
      <w:r>
        <w:t xml:space="preserve"> Sun H.-H., Cheng W., Fan Z. </w:t>
      </w:r>
      <w:r>
        <w:rPr>
          <w:i/>
          <w:iCs/>
        </w:rPr>
        <w:t xml:space="preserve">Learning to Remove Clutter in Real-World GPR Images Using Hybrid Data</w:t>
      </w:r>
      <w:r>
        <w:t xml:space="preserve">. IEEE TGRS, 2022. DOI: 10.1109/TGRS.2022.3176029。</w:t>
      </w:r>
      <w:hyperlink w:history="1" r:id="rIdopyxvlees7ec6ktiydlxt">
        <w:r>
          <w:rPr>
            <w:rStyle w:val="Hyperlink"/>
          </w:rPr>
          <w:t xml:space="preserve">作者全文</w:t>
        </w:r>
      </w:hyperlink>
      <w:r>
        <w:t xml:space="preserve">；</w:t>
      </w:r>
      <w:hyperlink w:history="1" r:id="rIdfuyqhn01mj5a0pvslcony">
        <w:r>
          <w:rPr>
            <w:rStyle w:val="Hyperlink"/>
          </w:rPr>
          <w:t xml:space="preserve">arXiv</w:t>
        </w:r>
      </w:hyperlink>
      <w:r>
        <w:t xml:space="preserve">。</w:t>
      </w:r>
    </w:p>
    <w:p>
      <w:pPr>
        <w:pStyle w:val="ListParagraph"/>
        <w:keepLines/>
        <w:numPr>
          <w:ilvl w:val="0"/>
          <w:numId w:val="4"/>
        </w:numPr>
        <w:spacing w:after="120"/>
      </w:pPr>
      <w:r>
        <w:rPr>
          <w:b/>
          <w:bCs/>
        </w:rPr>
        <w:t xml:space="preserve">P02</w:t>
      </w:r>
      <w:r>
        <w:t xml:space="preserve"> Dai Q. et al. </w:t>
      </w:r>
      <w:r>
        <w:rPr>
          <w:i/>
          <w:iCs/>
        </w:rPr>
        <w:t xml:space="preserve">Learning From Clutter: An Unsupervised Learning-Based Clutter Removal Scheme for GPR B-Scans</w:t>
      </w:r>
      <w:r>
        <w:t xml:space="preserve">. IEEE JSTARS, 17:19668–19681, 2024. DOI: 10.1109/JSTARS.2024.3486535。</w:t>
      </w:r>
      <w:hyperlink w:history="1" r:id="rIdgal6shxtnwfiy4hs5iivh">
        <w:r>
          <w:rPr>
            <w:rStyle w:val="Hyperlink"/>
          </w:rPr>
          <w:t xml:space="preserve">机构库正式全文</w:t>
        </w:r>
      </w:hyperlink>
      <w:r>
        <w:t xml:space="preserve">。</w:t>
      </w:r>
    </w:p>
    <w:p>
      <w:pPr>
        <w:pStyle w:val="ListParagraph"/>
        <w:keepLines/>
        <w:numPr>
          <w:ilvl w:val="0"/>
          <w:numId w:val="4"/>
        </w:numPr>
        <w:spacing w:after="120"/>
      </w:pPr>
      <w:r>
        <w:rPr>
          <w:b/>
          <w:bCs/>
        </w:rPr>
        <w:t xml:space="preserve">P03</w:t>
      </w:r>
      <w:r>
        <w:t xml:space="preserve"> Chen, Mizutani. </w:t>
      </w:r>
      <w:r>
        <w:rPr>
          <w:i/>
          <w:iCs/>
        </w:rPr>
        <w:t xml:space="preserve">Singular-value Gain Compensation: Robust and efficient GPR preprocessing method enhancing zero-shot underground object segmentation by Segment-Anything Model</w:t>
      </w:r>
      <w:r>
        <w:t xml:space="preserve">. NDT &amp; E International, 154:103366, 2025. DOI: 10.1016/j.ndteint.2025.103366。</w:t>
      </w:r>
      <w:hyperlink w:history="1" r:id="rIdmsouzkynp8u5wrgta0col">
        <w:r>
          <w:rPr>
            <w:rStyle w:val="Hyperlink"/>
          </w:rPr>
          <w:t xml:space="preserve">期刊页</w:t>
        </w:r>
      </w:hyperlink>
      <w:r>
        <w:t xml:space="preserve">；</w:t>
      </w:r>
      <w:hyperlink w:history="1" r:id="rIdpw3mxo045glledqlmxr-s">
        <w:r>
          <w:rPr>
            <w:rStyle w:val="Hyperlink"/>
          </w:rPr>
          <w:t xml:space="preserve">2024 预印本 DOI</w:t>
        </w:r>
      </w:hyperlink>
      <w:r>
        <w:t xml:space="preserve">。</w:t>
      </w:r>
    </w:p>
    <w:p>
      <w:pPr>
        <w:pStyle w:val="ListParagraph"/>
        <w:keepLines/>
        <w:numPr>
          <w:ilvl w:val="0"/>
          <w:numId w:val="4"/>
        </w:numPr>
        <w:spacing w:after="120"/>
      </w:pPr>
      <w:r>
        <w:rPr>
          <w:b/>
          <w:bCs/>
        </w:rPr>
        <w:t xml:space="preserve">P04</w:t>
      </w:r>
      <w:r>
        <w:t xml:space="preserve"> Liu L. et al. </w:t>
      </w:r>
      <w:r>
        <w:rPr>
          <w:i/>
          <w:iCs/>
        </w:rPr>
        <w:t xml:space="preserve">GPR Clutter Removal Based on Weighted Nuclear Norm Minimization for Nonparallel Cases</w:t>
      </w:r>
      <w:r>
        <w:t xml:space="preserve">. Sensors, 23(11):5078, 2023. DOI: 10.3390/s23115078。</w:t>
      </w:r>
      <w:hyperlink w:history="1" r:id="rId4iy6rb5xec_ivilx2iczs">
        <w:r>
          <w:rPr>
            <w:rStyle w:val="Hyperlink"/>
          </w:rPr>
          <w:t xml:space="preserve">全文</w:t>
        </w:r>
      </w:hyperlink>
      <w:r>
        <w:t xml:space="preserve">；</w:t>
      </w:r>
      <w:hyperlink w:history="1" r:id="rIdsgdcbfrmmc_7s4cuvqifk">
        <w:r>
          <w:rPr>
            <w:rStyle w:val="Hyperlink"/>
          </w:rPr>
          <w:t xml:space="preserve">PMC</w:t>
        </w:r>
      </w:hyperlink>
      <w:r>
        <w:t xml:space="preserve">。</w:t>
      </w:r>
    </w:p>
    <w:p>
      <w:pPr>
        <w:pStyle w:val="ListParagraph"/>
        <w:keepLines/>
        <w:numPr>
          <w:ilvl w:val="0"/>
          <w:numId w:val="4"/>
        </w:numPr>
        <w:spacing w:after="120"/>
      </w:pPr>
      <w:r>
        <w:rPr>
          <w:b/>
          <w:bCs/>
        </w:rPr>
        <w:t xml:space="preserve">P05</w:t>
      </w:r>
      <w:r>
        <w:t xml:space="preserve"> Qin et al. </w:t>
      </w:r>
      <w:r>
        <w:rPr>
          <w:i/>
          <w:iCs/>
        </w:rPr>
        <w:t xml:space="preserve">Deep learning–based inverse analysis of GPR data for landslide hazards</w:t>
      </w:r>
      <w:r>
        <w:t xml:space="preserve">. Frontiers in Earth Science, 2024-01-22. DOI: 10.3389/feart.2023.1340484。</w:t>
      </w:r>
      <w:hyperlink w:history="1" r:id="rIdrh0zzz2n2tb3zqlvlpsmb">
        <w:r>
          <w:rPr>
            <w:rStyle w:val="Hyperlink"/>
          </w:rPr>
          <w:t xml:space="preserve">全文</w:t>
        </w:r>
      </w:hyperlink>
      <w:r>
        <w:t xml:space="preserve">。年份按发表日期，不按 DOI 中的 2023 推定。</w:t>
      </w:r>
    </w:p>
    <w:p>
      <w:pPr>
        <w:pStyle w:val="ListParagraph"/>
        <w:keepLines/>
        <w:numPr>
          <w:ilvl w:val="0"/>
          <w:numId w:val="4"/>
        </w:numPr>
        <w:spacing w:after="120"/>
      </w:pPr>
      <w:r>
        <w:rPr>
          <w:b/>
          <w:bCs/>
        </w:rPr>
        <w:t xml:space="preserve">A01</w:t>
      </w:r>
      <w:r>
        <w:t xml:space="preserve"> Wang Y. et al. </w:t>
      </w:r>
      <w:r>
        <w:rPr>
          <w:i/>
          <w:iCs/>
        </w:rPr>
        <w:t xml:space="preserve">AdaptiveISP: Learning an Adaptive Image Signal Processor for Object Detection</w:t>
      </w:r>
      <w:r>
        <w:t xml:space="preserve">. NeurIPS 2024；本轮阅读 arXiv:2410.22939v1。</w:t>
      </w:r>
      <w:hyperlink w:history="1" r:id="rId6xzw4l2a-b9noe8iknw06">
        <w:r>
          <w:rPr>
            <w:rStyle w:val="Hyperlink"/>
          </w:rPr>
          <w:t xml:space="preserve">正文与附录</w:t>
        </w:r>
      </w:hyperlink>
      <w:r>
        <w:t xml:space="preserve">；</w:t>
      </w:r>
      <w:hyperlink w:history="1" r:id="rIdpwokgvcziqzu-lazkz1bn">
        <w:r>
          <w:rPr>
            <w:rStyle w:val="Hyperlink"/>
          </w:rPr>
          <w:t xml:space="preserve">作者代码</w:t>
        </w:r>
      </w:hyperlink>
      <w:r>
        <w:t xml:space="preserve">。仅提供复现入口，本轮未运行代码。</w:t>
      </w:r>
    </w:p>
    <w:p>
      <w:pPr>
        <w:pStyle w:val="ListParagraph"/>
        <w:keepLines/>
        <w:numPr>
          <w:ilvl w:val="0"/>
          <w:numId w:val="4"/>
        </w:numPr>
        <w:spacing w:after="120"/>
      </w:pPr>
      <w:r>
        <w:rPr>
          <w:b/>
          <w:bCs/>
        </w:rPr>
        <w:t xml:space="preserve">L01</w:t>
      </w:r>
      <w:r>
        <w:t xml:space="preserve"> 贾仕尧、许强、陈婉琳等. 非显性滑坡三维结构探测与稳定性评价——以甘肃中寨滑坡为例. 水文地质工程地质, 2026, 53(1):173–183. DOI: 10.16030/j.heg.202401058。</w:t>
      </w:r>
      <w:hyperlink w:history="1" r:id="rIdehcril5y9ppksebz7rj9x">
        <w:r>
          <w:rPr>
            <w:rStyle w:val="Hyperlink"/>
          </w:rPr>
          <w:t xml:space="preserve">期刊页</w:t>
        </w:r>
      </w:hyperlink>
      <w:r>
        <w:t xml:space="preserve">；</w:t>
      </w:r>
      <w:hyperlink w:history="1" r:id="rId2j1vtcgzrg6upg8vbessm">
        <w:r>
          <w:rPr>
            <w:rStyle w:val="Hyperlink"/>
          </w:rPr>
          <w:t xml:space="preserve">正式 PDF</w:t>
        </w:r>
      </w:hyperlink>
      <w:r>
        <w:t xml:space="preserve">。</w:t>
      </w:r>
    </w:p>
    <w:p>
      <w:pPr>
        <w:pStyle w:val="ListParagraph"/>
        <w:keepLines/>
        <w:numPr>
          <w:ilvl w:val="0"/>
          <w:numId w:val="4"/>
        </w:numPr>
        <w:spacing w:after="120"/>
      </w:pPr>
      <w:r>
        <w:rPr>
          <w:b/>
          <w:bCs/>
        </w:rPr>
        <w:t xml:space="preserve">L02</w:t>
      </w:r>
      <w:r>
        <w:t xml:space="preserve"> Famiglietti N. A. et al. </w:t>
      </w:r>
      <w:r>
        <w:rPr>
          <w:i/>
          <w:iCs/>
        </w:rPr>
        <w:t xml:space="preserve">Integrated UAV-Borne GPR and LiDAR for Investigating Slope Deformation Processes: The Melizzano Case Study (Southern Italy)</w:t>
      </w:r>
      <w:r>
        <w:t xml:space="preserve">. Drones, 10(5):331, 2026-04-28. DOI: 10.3390/drones10050331。</w:t>
      </w:r>
      <w:hyperlink w:history="1" r:id="rIdgicspunw8l4rwluadrjwh">
        <w:r>
          <w:rPr>
            <w:rStyle w:val="Hyperlink"/>
          </w:rPr>
          <w:t xml:space="preserve">全文</w:t>
        </w:r>
      </w:hyperlink>
      <w:r>
        <w:t xml:space="preserve">。</w:t>
      </w:r>
    </w:p>
    <w:p>
      <w:pPr>
        <w:pStyle w:val="ListParagraph"/>
        <w:keepLines/>
        <w:numPr>
          <w:ilvl w:val="0"/>
          <w:numId w:val="4"/>
        </w:numPr>
        <w:spacing w:after="120"/>
      </w:pPr>
      <w:r>
        <w:rPr>
          <w:b/>
          <w:bCs/>
        </w:rPr>
        <w:t xml:space="preserve">L04</w:t>
      </w:r>
      <w:r>
        <w:t xml:space="preserve"> Wang W., Li T., Yu N. </w:t>
      </w:r>
      <w:r>
        <w:rPr>
          <w:i/>
          <w:iCs/>
        </w:rPr>
        <w:t xml:space="preserve">Deep-Penetrating UAV-GPR Imaging for Inapparent Landslide Investigation in Rugged Terrain</w:t>
      </w:r>
      <w:r>
        <w:t xml:space="preserve">. EGU General Assembly 2026, EGU26-16505. DOI: 10.5194/egusphere-egu26-16505。</w:t>
      </w:r>
      <w:hyperlink w:history="1" r:id="rIdchjey1j1l9zqyh2krpuwu">
        <w:r>
          <w:rPr>
            <w:rStyle w:val="Hyperlink"/>
          </w:rPr>
          <w:t xml:space="preserve">会议摘要</w:t>
        </w:r>
      </w:hyperlink>
      <w:r>
        <w:t xml:space="preserve">。此条为会议摘要，不列作期刊全文。</w:t>
      </w:r>
    </w:p>
    <w:p>
      <w:pPr>
        <w:pStyle w:val="ListParagraph"/>
        <w:keepLines/>
        <w:numPr>
          <w:ilvl w:val="0"/>
          <w:numId w:val="4"/>
        </w:numPr>
        <w:spacing w:after="120"/>
      </w:pPr>
      <w:r>
        <w:rPr>
          <w:b/>
          <w:bCs/>
        </w:rPr>
        <w:t xml:space="preserve">L05</w:t>
      </w:r>
      <w:r>
        <w:t xml:space="preserve"> Sass O., Bell R., Glade T. </w:t>
      </w:r>
      <w:r>
        <w:rPr>
          <w:i/>
          <w:iCs/>
        </w:rPr>
        <w:t xml:space="preserve">Comparison of GPR, 2D-resistivity and traditional techniques for the subsurface exploration of the Öschingen landslide, Swabian Alb (Germany)</w:t>
      </w:r>
      <w:r>
        <w:t xml:space="preserve">. Geomorphology, 93:89–103, 2008. DOI: 10.1016/j.geomorph.2006.12.019。</w:t>
      </w:r>
      <w:hyperlink w:history="1" r:id="rIdwfu2x1yfthhqgbx25ehii">
        <w:r>
          <w:rPr>
            <w:rStyle w:val="Hyperlink"/>
          </w:rPr>
          <w:t xml:space="preserve">作者公开 PDF</w:t>
        </w:r>
      </w:hyperlink>
      <w:r>
        <w:t xml:space="preserve">。在线年份为 2007，卷期年份为 2008。</w:t>
      </w:r>
    </w:p>
    <w:p>
      <w:pPr>
        <w:pStyle w:val="ListParagraph"/>
        <w:keepLines/>
        <w:numPr>
          <w:ilvl w:val="0"/>
          <w:numId w:val="4"/>
        </w:numPr>
        <w:spacing w:after="120"/>
      </w:pPr>
      <w:r>
        <w:rPr>
          <w:b/>
          <w:bCs/>
        </w:rPr>
        <w:t xml:space="preserve">D01–D02</w:t>
      </w:r>
      <w:r>
        <w:t xml:space="preserve"> 中国地质灾害防治与生态修复协会. 《非显性滑坡无人机勘测技术指南》《降雨诱发非显性滑坡危险性评价技术指南》征求意见稿，2025。</w:t>
      </w:r>
      <w:hyperlink w:history="1" r:id="rIdru1plf_u70v1k9gjwke15">
        <w:r>
          <w:rPr>
            <w:rStyle w:val="Hyperlink"/>
          </w:rPr>
          <w:t xml:space="preserve">协会发布通知及附件</w:t>
        </w:r>
      </w:hyperlink>
      <w:r>
        <w:t xml:space="preserve">。阅读范围见第 1 节，未作为现行正式规范使用。</w:t>
      </w:r>
    </w:p>
    <w:p>
      <w:pPr>
        <w:pStyle w:val="ListParagraph"/>
        <w:keepLines/>
        <w:numPr>
          <w:ilvl w:val="0"/>
          <w:numId w:val="4"/>
        </w:numPr>
        <w:spacing w:after="120"/>
      </w:pPr>
      <w:r>
        <w:rPr>
          <w:b/>
          <w:bCs/>
        </w:rPr>
        <w:t xml:space="preserve">R01</w:t>
      </w:r>
      <w:r>
        <w:t xml:space="preserve"> gprMax 官方文档：</w:t>
      </w:r>
      <w:hyperlink w:history="1" r:id="rIdghhzblr_4e0sbxkq3d65i">
        <w:r>
          <w:rPr>
            <w:rStyle w:val="Hyperlink"/>
          </w:rPr>
          <w:t xml:space="preserve">项目说明与使用入口</w:t>
        </w:r>
      </w:hyperlink>
      <w:r>
        <w:t xml:space="preserve">；原始软件论文 DOI: </w:t>
      </w:r>
      <w:hyperlink w:history="1" r:id="rId3a5i5wcpsh4u7dlb8a9lf">
        <w:r>
          <w:rPr>
            <w:rStyle w:val="Hyperlink"/>
          </w:rPr>
          <w:t xml:space="preserve">10.1016/j.cpc.2016.08.020</w:t>
        </w:r>
      </w:hyperlink>
      <w:r>
        <w:t xml:space="preserve">。沿用前轮工具依据，本轮未审计求解器实现。</w:t>
      </w:r>
    </w:p>
    <w:p>
      <w:pPr>
        <w:pStyle w:val="ListParagraph"/>
        <w:keepLines/>
        <w:numPr>
          <w:ilvl w:val="0"/>
          <w:numId w:val="4"/>
        </w:numPr>
        <w:spacing w:after="120"/>
      </w:pPr>
      <w:r>
        <w:rPr>
          <w:b/>
          <w:bCs/>
        </w:rPr>
        <w:t xml:space="preserve">R02</w:t>
      </w:r>
      <w:r>
        <w:t xml:space="preserve"> Cawley G. C., Talbot N. L. C. </w:t>
      </w:r>
      <w:r>
        <w:rPr>
          <w:i/>
          <w:iCs/>
        </w:rPr>
        <w:t xml:space="preserve">On Over-fitting in Model Selection and Subsequent Selection Bias in Performance Evaluation</w:t>
      </w:r>
      <w:r>
        <w:t xml:space="preserve">. JMLR, 11:2079–2107, 2010。</w:t>
      </w:r>
      <w:hyperlink w:history="1" r:id="rId11fbpf7bk6iknga-dolpo">
        <w:r>
          <w:rPr>
            <w:rStyle w:val="Hyperlink"/>
          </w:rPr>
          <w:t xml:space="preserve">原始论文入口</w:t>
        </w:r>
      </w:hyperlink>
      <w:r>
        <w:t xml:space="preserve">。沿用前轮摘要及节选阅读，不计入本轮通读数量。</w:t>
      </w:r>
    </w:p>
    <w:p>
      <w:pPr>
        <w:pStyle w:val="Heading1"/>
        <w:keepLines/>
      </w:pPr>
      <w:r>
        <w:t xml:space="preserve">10. 与已有项目文档的关系</w:t>
      </w:r>
    </w:p>
    <w:p>
      <w:pPr>
        <w:keepNext w:val="false"/>
        <w:keepLines/>
      </w:pPr>
      <w:r>
        <w:t xml:space="preserve">本综述补充了滑坡地质依据、全文阅读发现、场景矩阵和最小算子契约，不改变用户确定的两类处理范围。配套的详细定义继续见：</w:t>
      </w:r>
      <w:hyperlink w:history="1" r:id="rIdqbf7-qtxwpnlsshl7qr6m">
        <w:r>
          <w:rPr>
            <w:rStyle w:val="Hyperlink"/>
          </w:rPr>
          <w:t xml:space="preserve">首版范围</w:t>
        </w:r>
      </w:hyperlink>
      <w:r>
        <w:t xml:space="preserve">、</w:t>
      </w:r>
      <w:hyperlink w:history="1" r:id="rIdretz7x08q7gw-pkhp-koq">
        <w:r>
          <w:rPr>
            <w:rStyle w:val="Hyperlink"/>
          </w:rPr>
          <w:t xml:space="preserve">评价协议</w:t>
        </w:r>
      </w:hyperlink>
      <w:r>
        <w:t xml:space="preserve">、</w:t>
      </w:r>
      <w:hyperlink w:history="1" r:id="rIdox2sshbo9d-ddfrsi0uub">
        <w:r>
          <w:rPr>
            <w:rStyle w:val="Hyperlink"/>
          </w:rPr>
          <w:t xml:space="preserve">仿真优先依据</w:t>
        </w:r>
      </w:hyperlink>
      <w:r>
        <w:t xml:space="preserve">、</w:t>
      </w:r>
      <w:hyperlink w:history="1" r:id="rId1vakyx8gr9qydakbynl3_">
        <w:r>
          <w:rPr>
            <w:rStyle w:val="Hyperlink"/>
          </w:rPr>
          <w:t xml:space="preserve">跨领域架构证据</w:t>
        </w:r>
      </w:hyperlink>
      <w:r>
        <w:t xml:space="preserve">。历史文档保留其当时阅读状态，本报告是本轮阅读进展的记录。</w:t>
      </w:r>
    </w:p>
    <w:sectPr>
      <w:headerReference w:type="default" r:id="rId7"/>
      <w:footerReference w:type="default" r:id="rId8"/>
      <w:pgSz w:w="11906" w:h="16838" w:orient="portrait"/>
      <w:pgMar w:top="1134" w:right="1440" w:bottom="1134" w:left="1440" w:header="550" w:footer="5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7080"/>
        <w:sz w:val="17"/>
        <w:szCs w:val="17"/>
      </w:rPr>
      <w:t xml:space="preserve">研究方案 · 尚待验证    |    </w:t>
    </w:r>
    <w:r>
      <w:rPr>
        <w:color w:val="607080"/>
        <w:sz w:val="17"/>
        <w:szCs w:val="17"/>
      </w:rPr>
      <w:fldChar w:fldCharType="begin"/>
      <w:instrText xml:space="preserve">PAGE</w:instrText>
      <w:fldChar w:fldCharType="separate"/>
      <w:fldChar w:fldCharType="end"/>
    </w:r>
    <w:r>
      <w:rPr>
        <w:color w:val="607080"/>
        <w:sz w:val="17"/>
        <w:szCs w:val="17"/>
      </w:rPr>
      <w:t xml:space="preserve"> / </w:t>
    </w:r>
    <w:r>
      <w:rPr>
        <w:color w:val="607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7DF" w:sz="4"/>
      </w:pBdr>
      <w:spacing w:after="100"/>
    </w:pPr>
    <w:r>
      <w:rPr>
        <w:color w:val="607080"/>
        <w:sz w:val="17"/>
        <w:szCs w:val="17"/>
      </w:rPr>
      <w:t xml:space="preserve">UAV-GPR 自动处理研究   /   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20"/>
      </w:pPr>
    </w:lvl>
  </w:abstractNum>
  <w:abstractNum w:abstractNumId="3" w15:restartNumberingAfterBreak="0">
    <w:multiLevelType w:val="hybridMultilevel"/>
    <w:lvl w:ilvl="0" w15:tentative="1">
      <w:start w:val="1"/>
      <w:numFmt w:val="decimal"/>
      <w:lvlText w:val="%1."/>
      <w:lvlJc w:val="left"/>
      <w:pPr>
        <w:ind w:left="33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宋体" w:hAnsi="Calibri"/>
        <w:color w:val="243746"/>
        <w:sz w:val="21"/>
        <w:szCs w:val="21"/>
      </w:rPr>
    </w:rPrDefault>
    <w:pPrDefault>
      <w:pPr>
        <w:widowControl/>
        <w:spacing w:after="140"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80" w:before="260"/>
      <w:outlineLvl w:val="0"/>
    </w:pPr>
    <w:rPr>
      <w:rFonts w:ascii="Calibri" w:cs="Calibri" w:eastAsia="微软雅黑" w:hAnsi="Calibri"/>
      <w:b/>
      <w:bCs/>
      <w:color w:val="17334A"/>
      <w:sz w:val="32"/>
      <w:szCs w:val="32"/>
    </w:rPr>
  </w:style>
  <w:style w:type="paragraph" w:styleId="Heading2">
    <w:name w:val="heading 2"/>
    <w:basedOn w:val="Normal"/>
    <w:next w:val="Normal"/>
    <w:qFormat/>
    <w:pPr>
      <w:keepNext/>
      <w:keepLines/>
      <w:spacing w:after="140" w:before="220"/>
      <w:outlineLvl w:val="1"/>
    </w:pPr>
    <w:rPr>
      <w:rFonts w:ascii="Calibri" w:cs="Calibri" w:eastAsia="微软雅黑" w:hAnsi="Calibri"/>
      <w:b/>
      <w:bCs/>
      <w:color w:val="176C8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pyxvlees7ec6ktiydlxt" Type="http://schemas.openxmlformats.org/officeDocument/2006/relationships/hyperlink" Target="https://haihan-sun.github.io/files/GPR7.pdf" TargetMode="External"/><Relationship Id="rIdfuyqhn01mj5a0pvslcony" Type="http://schemas.openxmlformats.org/officeDocument/2006/relationships/hyperlink" Target="https://arxiv.org/abs/2205.08135" TargetMode="External"/><Relationship Id="rIdgal6shxtnwfiy4hs5iivh" Type="http://schemas.openxmlformats.org/officeDocument/2006/relationships/hyperlink" Target="https://dr.ntu.edu.sg/server/api/core/bitstreams/5f42b223-5d6b-466a-81fb-1a8b00a7eec3/content" TargetMode="External"/><Relationship Id="rIdmsouzkynp8u5wrgta0col" Type="http://schemas.openxmlformats.org/officeDocument/2006/relationships/hyperlink" Target="https://www.sciencedirect.com/science/article/pii/S0963869525000477" TargetMode="External"/><Relationship Id="rIdpw3mxo045glledqlmxr-s" Type="http://schemas.openxmlformats.org/officeDocument/2006/relationships/hyperlink" Target="https://doi.org/10.36227/techrxiv.172651467.73793605/v1" TargetMode="External"/><Relationship Id="rId4iy6rb5xec_ivilx2iczs" Type="http://schemas.openxmlformats.org/officeDocument/2006/relationships/hyperlink" Target="https://www.mdpi.com/1424-8220/23/11/5078" TargetMode="External"/><Relationship Id="rIdsgdcbfrmmc_7s4cuvqifk" Type="http://schemas.openxmlformats.org/officeDocument/2006/relationships/hyperlink" Target="https://pmc.ncbi.nlm.nih.gov/articles/PMC10255216/" TargetMode="External"/><Relationship Id="rIdrh0zzz2n2tb3zqlvlpsmb" Type="http://schemas.openxmlformats.org/officeDocument/2006/relationships/hyperlink" Target="https://www.frontiersin.org/journals/earth-science/articles/10.3389/feart.2023.1340484/full" TargetMode="External"/><Relationship Id="rId6xzw4l2a-b9noe8iknw06" Type="http://schemas.openxmlformats.org/officeDocument/2006/relationships/hyperlink" Target="https://arxiv.org/html/2410.22939v1" TargetMode="External"/><Relationship Id="rIdpwokgvcziqzu-lazkz1bn" Type="http://schemas.openxmlformats.org/officeDocument/2006/relationships/hyperlink" Target="https://github.com/OpenImagingLab/AdaptiveISP" TargetMode="External"/><Relationship Id="rIdehcril5y9ppksebz7rj9x" Type="http://schemas.openxmlformats.org/officeDocument/2006/relationships/hyperlink" Target="https://swdzgcdz.com/article/doi/10.16030/j.heg.202401058" TargetMode="External"/><Relationship Id="rId2j1vtcgzrg6upg8vbessm" Type="http://schemas.openxmlformats.org/officeDocument/2006/relationships/hyperlink" Target="https://www.swdzgcdz.com/cn/article/pdf/preview/10.16030/j.heg.202401058.pdf" TargetMode="External"/><Relationship Id="rIdgicspunw8l4rwluadrjwh" Type="http://schemas.openxmlformats.org/officeDocument/2006/relationships/hyperlink" Target="https://www.mdpi.com/2504-446X/10/5/331" TargetMode="External"/><Relationship Id="rIdchjey1j1l9zqyh2krpuwu" Type="http://schemas.openxmlformats.org/officeDocument/2006/relationships/hyperlink" Target="https://meetingorganizer.copernicus.org/EGU26/EGU26-16505.html" TargetMode="External"/><Relationship Id="rIdwfu2x1yfthhqgbx25ehii" Type="http://schemas.openxmlformats.org/officeDocument/2006/relationships/hyperlink" Target="https://homepage.univie.ac.at/thomas.glade/Publications/SassEtAl2007.pdf" TargetMode="External"/><Relationship Id="rIdru1plf_u70v1k9gjwke15" Type="http://schemas.openxmlformats.org/officeDocument/2006/relationships/hyperlink" Target="https://www.caghp.org.cn/detail/5616.html" TargetMode="External"/><Relationship Id="rIdghhzblr_4e0sbxkq3d65i" Type="http://schemas.openxmlformats.org/officeDocument/2006/relationships/hyperlink" Target="https://docs.gprmax.com/en/latest/inc_README.html" TargetMode="External"/><Relationship Id="rId3a5i5wcpsh4u7dlb8a9lf" Type="http://schemas.openxmlformats.org/officeDocument/2006/relationships/hyperlink" Target="https://doi.org/10.1016/j.cpc.2016.08.020" TargetMode="External"/><Relationship Id="rId11fbpf7bk6iknga-dolpo" Type="http://schemas.openxmlformats.org/officeDocument/2006/relationships/hyperlink" Target="https://www.jmlr.org/papers/v11/cawley10a.html" TargetMode="External"/><Relationship Id="rIdqbf7-qtxwpnlsshl7qr6m" Type="http://schemas.openxmlformats.org/officeDocument/2006/relationships/hyperlink" Target="2026-09-23_v1_scope.md" TargetMode="External"/><Relationship Id="rIdretz7x08q7gw-pkhp-koq" Type="http://schemas.openxmlformats.org/officeDocument/2006/relationships/hyperlink" Target="2026-09-23_v1_evaluation_protocol.md" TargetMode="External"/><Relationship Id="rIdox2sshbo9d-ddfrsi0uub" Type="http://schemas.openxmlformats.org/officeDocument/2006/relationships/hyperlink" Target="2026-09-23_gprmax_simulation_first_evidence.md" TargetMode="External"/><Relationship Id="rId1vakyx8gr9qydakbynl3_" Type="http://schemas.openxmlformats.org/officeDocument/2006/relationships/hyperlink" Target="2026-09-23_cross_domain_ml_evidence.md"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非显性滑坡场景下 UAV-GPR 自动处理文献综述</dc:title>
  <dc:creator>UAV-GPR 自动处理研究</dc:creator>
  <dc:description>公开文献证据、仿真设计与两类处理评价；非性能报告</dc:description>
  <cp:lastModifiedBy>Un-named</cp:lastModifiedBy>
  <cp:revision>1</cp:revision>
  <dcterms:created xsi:type="dcterms:W3CDTF">2026-09-23T14:19:23.123Z</dcterms:created>
  <dcterms:modified xsi:type="dcterms:W3CDTF">2026-09-23T14:19:23.124Z</dcterms:modified>
</cp:coreProperties>
</file>

<file path=docProps/custom.xml><?xml version="1.0" encoding="utf-8"?>
<Properties xmlns="http://schemas.openxmlformats.org/officeDocument/2006/custom-properties" xmlns:vt="http://schemas.openxmlformats.org/officeDocument/2006/docPropsVTypes"/>
</file>