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282F5" w14:textId="77777777" w:rsidR="00490E45" w:rsidRDefault="00490E45" w:rsidP="00490E45">
      <w:pPr>
        <w:rPr>
          <w:rFonts w:hint="eastAsia"/>
        </w:rPr>
      </w:pPr>
      <w:r>
        <w:rPr>
          <w:rFonts w:hint="eastAsia"/>
        </w:rPr>
        <w:t>探地雷达（GPR）数据处理算法与现代GUI软件架构深度解析报告探地雷达（Ground Penetrating Radar, GPR）作为一种高分辨率、非破坏性的地球物理探测技术，已在市政管线探测、结构健康监测、考古勘探及地质调查等领域成为不可或缺的核心工具 。然而，现场采集的原始GPR数据（B-scan）通常表现出极度的复杂性与混乱性。高频电磁波在地下介质中传播时，会不可避免地遭遇几何球面发散、介质电导率吸收、非均匀介质散射以及强烈的背景杂波干扰 。这种复杂的物理交互导致深部目标信号严重衰减，且有效微弱的回波往往被掩盖在振幅大几个数量级的直达波、多次波或地层强反射之中 。为了将这种高度失真的电磁波场转化为物理位置准确、几何形态清晰的地下三维结构图像，现代GPR图形用户界面（GUI）软件必须依赖于一套严密、高度模块化的数学算法处理链路 。该处理链路在逻辑上严格遵循从“一维单道时域预处理”到“二维/三维空间频域杂波抑制”，再到“能量物理补偿”，最后进入“全波场偏移成像”的递进架构 。本报告将对现代GPR数据处理架构中的核心算法模块进行详尽的理论剖析与工程应用评估，特别聚焦于背景杂波抑制（Clutter Suppression）与增益控制（Gain Control）不同数学模型的优劣势分析，并探讨这些算法在现代云计算与人工智能驱动下的演进范式。一、 基础预处理与信号调节模块 (Fundamental Pre-processing and Signal Conditioning)在引入复杂的二维空间滤波器或矩阵降维算法之前，任何导入GPR GUI软件的原始数据都必须经过严谨的一维单道预处理 。基础预处理的唯一目的是校正由硬件系统不稳定性、天线物理状态变化以及电磁感应特性引入的系统性误差，从而为后续的定量分析确立一个绝对可靠的数学基线 。1. 零时校正 (Time-Zero Alignment and Drift Correction)在GPR探测的物理实践中，电磁波发射脉冲的真实物理起点极少与记录时间轴的绝对零点（0 ns）完美重合。这种时间轴的偏移主要源于三个维度的系统误差：仪器内部电子元器件的触发延迟、系统长时间运行导致的温度漂移，以及天线在起伏地表拖蔽时与地面之间不断变化的空气间隙 。如果忽略这一偏移，后续所有基于时间-深度转换（Time-to-Depth Conversion）的计算都将产生系统的几何平移误差，且会直接破坏用于偏移成像的反射双曲线渐近线结构 。零时校正算法的核心逻辑是通过对直达波（Direct Wave）的自动化追踪，强行将所有数据道在时间轴上进行物理对齐 。在GUI软件的底层实现中，通常采用阈值检测法（Thresholding）或峰值检测法（Peak Detection）。阈值检测法通过设定一个振幅门限，寻找信号首次超过该门限的相位点；而峰值检测法则利用微分算法寻找首个负峰值或过零点 。获取每道的偏移量后，软件会运用高阶插值算法（如辛格函数 Sinc Interpolation 或样条插值）对整道数据进行时间轴重采样。这种处理方式能够保证剖面层位的绝对准确性，尤其是针对多条测线拼接或天线贴地状态极不稳定的场景。然而，该算法的脆弱性在于，当直达波因地表介质突变（如经过局部积水区或金属井盖）而发生严重相位畸变时，自动拾取算法极易发生跳跃错误，导致剖面出现人为的垂向错断伪影 。2. 去漂移与低频基线滤除 (Dewow / Baseline Correction)GPR接收天线在记录微弱的地下反射信号之前，不可避免地会受到发射天线高压脉冲的强烈近场冲击。这种被称为“仪器感应耦合”（Inductive Kick）的物理现象，会导致接收器的电子放大电路在极早期时间达到饱和，进而产生一种随时间缓慢衰减的低频直流偏置（DC Bias）。在雷达剖面上，这种现象表现为信号基线偏离零点。若不予以消除，在后续应用指数增益放大深部信号时，这种微小的低频偏置将被放大成极其刺眼的水平带状伪影，彻底摧毁数据的可视性 。Dewow 处理本质上是针对极低频成分的数学截断。在GUI算法库中，其实现通常分为两种路径：一种是设计极低截止频率的一维高通滤波器（High-pass Filter）；另一种是基于滑动时间窗口的均值减法操作 。该算法最关键的用户输入参数是“时间窗口长度”。根据电磁波传播理论（Haupt准则），该窗口长度通常被设定为天线主频中心周期的1至2倍 。合理的窗口选择能够极其有效地拉平信号基线，恢复波形的零均值特性。然而，这一参数的调节充满博弈：若窗口设置过小（即高通截止频率过高），算法将具备极强的侵</w:t>
      </w:r>
      <w:r>
        <w:rPr>
          <w:rFonts w:hint="eastAsia"/>
        </w:rPr>
        <w:lastRenderedPageBreak/>
        <w:t>略性，在消除漂移的同时，会无可挽回地削弱或抹除地下深部真实存在的有效低频地层反射信号，造成物理信息的永久性丢失。二、 频带滤波与核心去噪机制 (Filtering and Denoising Mechanisms)GPR数据的核心挑战在于信噪比（SNR）的提升。由于接收天线的超宽带特性，记录的信号中不仅包含目标回波，还充斥着高频热噪声、环境电磁干扰以及空间分布的几何杂波 。通过在时间域、频率域及空间域的联合数学变换，可以最大程度地剥离这些干扰成分。1. 常规一维/二维频带滤波 (1D/2D Bandpass Filter)频带滤波是任何GPR处理流程中绝对不可逾越的基础模块。其数学原理是通过快速傅里叶变换（FFT）将时间域信号映射至频率域，强制切除超出天线有效发射频带的频率成分 。在低频端，它可以进一步消除Dewow未能彻底清理的残余直流偏置；在高频端，它负责斩断设备电子元器件产生的白噪声以及外部高频无线电干扰 。在高级GUI软件中，带通滤波器的设计通常需要用户定义四个节点（低切、低通、高通、高切频率），以构建一个梯形或钟形的滤波窗口 。底层的数字滤波器实现主要区分为无限脉冲响应（IIR）和有限脉冲响应（FIR）两种架构。IIR滤波器利用递归反馈环路，能够在极低的计算成本下实现极其陡峭的频率截断；但其致命弱点是会引入非线性相位畸变，导致雷达子波的形状发生变形，甚至使得目标的视深度发生偏移 。相反，FIR滤波器不依赖反馈，能够保证绝对的线性相位，确保目标双曲线的对称性和物理位置不被篡改 。因此，在追求极致保真度的数据处理分析中，尽管FIR滤波器的计算耗时庞大且需要海量的系数节点，但它始终是专业人员的唯一选择 。2. F-K 域倾角与速度滤波 (F-K Dip / Velocity Filter)当GPR剖面中存在强烈的线性斜向干扰时（如空中高压电缆在移动测量中产生的多次抛物线反射、沿着地表传播的表面波，或倾斜岩层内部的层间多次波），传统的一维或二维空间滤波往往无能为力。此时，必须引入起源于地震勘探的 F-K 域滤波技术 。F-K滤波通过二维傅里叶变换，将时空域（t-x）的雷达矩阵整体映射至频率-波数域（F-K域）。在这个全新的数学空间中，时空域内不同倾角（即不同视速度）的波场会呈现为穿过原点、斜率各异的能量辐射带 。通过在F-K谱上精心设计多边形或扇形的掩膜（Mask），操作者可以精准地“手术刀式”切除代表特定传播角度和速度的干扰能量 。F-K滤波分离特定方向波场的能力是无可替代的。然而，这种高级工具对数据质量和操作者经验提出了极高要求：首先，操作者必须具备解读F-K谱的物理直觉；其次，为了防止由边界截断引起的吉布斯振铃效应（Gibbs Ringing），必须在掩膜边缘设置平滑的高斯过渡带 ；最后，如果原始数据的空间采样率不足以满足空间奈奎斯特准则，F-K谱上将出现严重的空间假叠（Spatial Aliasing），此时强制滤波不仅无法消除干扰，反而会创造出漫山遍野的交叉虚假信号 。3. Hankel-SVD 与多奇异谱分析 (Hankel-SVD and MSSA)针对单道数据中极度强烈的随机非平稳白噪声，传统的频带滤波在保留有效带宽的同时无法对其进行有效剥离。Hankel-SVD 和多通道奇异谱分析（MSSA）提供了一种极具独创性的降维打击策略 。该算法的核心思想是将一维的非平稳时间序列信号，通过滑动空间窗口重构成一个高维的轨迹矩阵（即汉克尔矩阵 Hankel Matrix）。在此高维空间内，有效的雷达回波由于具有内在的几何相关性，会投影到前几个主要成分上；而随机白噪声则均匀散布在所有次要成分中 。通过对其进行局部奇异值分解，提取特定的主成分进行逆变换重构，即可在丝毫不损伤雷达子波边缘和结构细节的前提下，实现对随机噪声的极致压制 。其实际测试的信噪比提升幅度是惊人的。然而，在工程GUI应用中，这一技术的普及受到了计算成本的严重制约。将动辄数万道的长测线逐一转化为汉克尔矩阵并进行迭代分解，极易导致软件卡顿甚至内存溢出 。此外，窗口长度和保留主成分阶数的选择对最终结果极其敏感，自动化难度极大，目前仅局限于局部精细分析阶段 。三、 背景杂波抑制的核心算法博弈 (Trade-offs in Background Clutter Removal)在GPR探测中，真正的目标（如孤立的管线、钢筋或地雷）其回波能量往往比不过空气-地面交界面的直达波反射、天线内部的强耦合振荡，以及地下横向连续地层的反射。这些在空间上高度相关、沿水平方向大面</w:t>
      </w:r>
      <w:r>
        <w:rPr>
          <w:rFonts w:hint="eastAsia"/>
        </w:rPr>
        <w:lastRenderedPageBreak/>
        <w:t>积延伸的高能量信号统称为背景杂波（Background Clutter）。剥离这些杂波，使隐藏的微弱双曲线浮现，是数据处理中最考验算法功底的环节。1. 滑动平均与空间滤波 (Running Average / Background Subtraction)在绝大多数入门级及现场实时GUI软件中，基于统计学均值的空间滤波是最普遍的实现方式 。其最简形态为全局均值相减（Mean Subtraction, MS）：计算整条测线的平均道，并从每一道中将其扣除 。此方法计算复杂度为 $O(N)$，速度极快，对大范围、绝对平直稳定的水平条纹干扰（如恒定的天线耦合）有着完美的抑制效果 。但现实地质环境往往起伏不定，介质含水率变化会导致直达波产生剧烈的波峰抖动。在非平坦或介质异质环境下，MS算法将完全失效，留下大量的残余杂波 。为了增强自适应性，指数滑动平均法（Exponential Moving Average, EMA）被引入 。EMA不再计算全局均值，而是沿着空间测线方向设定一个动态的滑动道窗（Trace Window），计算局部平均并予以扣除，本质上构成了一个二维空间高通滤波器 。虽然EMA能有效适应快速变化的起伏背景，但其固有的数学缺陷不容忽视：当滑动窗口掠过一个能量极强的目标双曲线时，该高能量会被摊入局部平均值中；随后在相减操作时，目标两侧的空白区域会被错误地扣除过多的能量，从而在目标双曲线的左右两侧产生巨大的负振幅“伪影阴影” 。这种伪影会严重干扰下游的自动化AI目标识别算法。2. 经典子空间分解：SVD 与 PCA (Singular Value Decomposition &amp; PCA)为了从根本上解决滑动平均的伪影问题，信号处理界将GPR B-scan 视为一个二维图像矩阵 $D$，并引入了线性代数中的子空间分解技术，最著名的是奇异值分解（SVD）和主成分分析（PCA）。SVD 将雷达数据矩阵分解为相互正交的子空间：$D = U \Sigma V^T$。在这个数学投影下，能量巨大且在空间上高度平展相关的背景直达波、耦合波等，毫无意外地占据了对角矩阵 $\Sigma$ 中前几个最大的奇异值（即低阶成分）；而能量微弱、空间分布受限的目标双曲线，则分布在较小的中高阶奇异值中 。操作者只需在GUI中设定阈值 $k$，强行将前 $k$ 个最大的奇异值抛弃（置零），再进行矩阵重构，即可得到一个背景极其干净、毫无阴影伪影的优质剖面 。然而，SVD与PCA存在一个致命的“秩缺陷”盲区：它们无法从物理意义上区分“杂波”与“有效目标”，只能通过“能量和空间相关性”进行盲分 。如果在地下埋设的是一条与地表完全平行的长直管线，或者探测目的是为了寻找水平的地层分界面，这些水平状的有效反射在SVD看来，其数学特征与背景杂波完全一致 。一旦执行阈值切除，SVD会毫不留情地将这些真实的水平或近水平反射连同杂波一起彻底“误伤”抹除 。过度抑制导致的信号丢失，使得SVD在探测连续地质层位时被视为禁忌。3. 低秩与稀疏矩阵分解的革命 (Low-Rank and Sparse Decomposition: RPCA &amp; WNNM)为突破传统SVD的局限，近年来GPR处理领域掀起了一场非凸优化的革命，即低秩与稀疏矩阵分解（LRSD）技术 。该理论假设原始雷达矩阵 $X$ 可以被完美拆解为一个低秩矩阵 $L$（代表背景杂波）和一个稀疏矩阵 $S$（代表局部的目标双曲线），即 $X = L + S$ 。鲁棒主成分分析 (RPCA) 是这一领域的先驱。它通过最小化 $L$ 的核范数以强制其保持低秩特性，同时最小化 $S$ 的 L1-范数以强制其保持稀疏性，两者通过一个正则化参数 $\lambda$ 进行平衡 。与传统PCA容易受到极端异常值干扰不同，RPCA极其强健，能够在极其复杂的异质土壤环境中，完美抽离出清晰的管线双曲线，且不对周边背景造成任何伪影污染 。但RPCA的短板在于其迭代求解过程极其缓慢，并且对参数 $\lambda$ 的依赖度过高；参数给错，要么杂波残留，要么吃掉目标 。加权核范数最小化 (WNNM) 则是当前杂波抑制的最优解之一 。RPCA 在优化时对所有奇异值一视同仁，而 WNNM 深刻认识到：较大的奇异值往往包含主要的结构信息，较小的奇异值则多为噪声。因此，WNNM 为不同的奇异值分配了动态变化的权重 。这种降维打击的优势在于面对非平行/倾斜表面场景时表现出统治力。当GPR天线在倾斜的坡面上扫描时，直达波和耦合波在矩阵中不再是水平的，传统的MS、SVD甚至PCA会瞬间崩溃，留下灾难性的斜向条纹 。而 WNNM 依然能够精准地剥离倾斜的杂波矩阵，同时保留纯净的目标反射 。测试表明，WNNM 不</w:t>
      </w:r>
      <w:r>
        <w:rPr>
          <w:rFonts w:hint="eastAsia"/>
        </w:rPr>
        <w:lastRenderedPageBreak/>
        <w:t>仅在峰值信噪比（PSNR）上碾压其他方法，其收敛速度更是达到了传统 RPCA 的五倍，极大提升了其实用性 。背景杂波抑制算法综合性能对比如下：算法模型数学机制核心优势关键劣势与局限最优适用场景滑动均值 (MS / EMA)一维/二维局部空间平均 算法极简，计算时间复杂度为 $O(N)$，处理飞快 。遇到强反射目标时会在两侧产生“负伪影阴影”；无法处理倾斜背景 。地形平坦、需求实时快速出图的浅层探测。奇异值分解 (SVD)子空间正交投影与低阶特征值切除 背景去除彻底，不损伤目标子波频带，数学鲁棒性好 。“秩缺陷”导致极易误伤水平或近水平的有效物理地层和管线 。存在强水平直达波干扰、且需突显孤立双曲线的场景。鲁棒主成分分析 (RPCA)低秩矩阵与稀疏矩阵凸优化分离 对异常值极度鲁棒，能处理复杂异质土壤杂波，无空间伪影 。迭代计算成本极高，运行缓慢；对正则化参数 $\lambda$ 的选择极度敏感 。具有极强且不规则地质背景干扰的复杂市政环境。加权核范数最小化 (WNNM)差异化权重的非凸核范数逼近 在非平行/倾斜地表探测中表现出统治级优势；计算速度是RPCA的5倍 。数学实现复杂，仍需一定迭代时间，对自动化处理流水线的集成难度较高 。地形起伏巨大、天线姿态不稳定且追求极致目标保真的工程。高斯曲率分解 (PCGCD)PCA域的二维曲率特征提取 能够根据双曲线的曲率特征进行精准切割，边缘保真度极高，SSIM得分最高 。处理时间显著长于经典SVD，需要预先进行主成分空间转换 。需要提取精确结构轮廓进行三维反演的无损检测。四、 能量补偿与物理保真增益架构 (Energy Compensation and Gain Recovery)在复杂多孔介质中，电磁波的能量随传播距离的增加呈断崖式下跌。衰减的物理根源有二：一是几何扩散引起的球面发散（能量密度随距离平方成反比衰减）；二是介质电导率引起的欧姆热损耗（高频能量被转化为热能吸收）。这就导致深部目标的真实回波振幅可能只有浅层直达波的万分之一。为了在动态范围受限的数字屏幕上同时显示深浅信号，必须施加随时间递增的数学放大乘子，即增益（Gain）。增益算法的设计哲学在GPR领域存在巨大的分歧：一派追求极致的视觉呈现，另一派则死守物理振幅的定量保真。1. 视觉驱动：自动增益控制 (AGC - Automatic Gain Control)自动增益控制（AGC）是一种自适应的非线性动态缩放算法，其核心目标是强行将剖面上所有时间段的振幅分布拉平到同一个绝对视觉水平 。运作机制：AGC沿着每个数据道的时间轴向下滑动一个固定长度的分析窗口。在每个窗口内，算法计算信号的平均能量（如均方根 RMS）。随后，算法对窗口中心的数据点施加一个乘子，该乘子与局部平均能量完全成反比 。换言之，如果在浅部遇到强直达波，AGC会将其死死压制；如果在深部遇到微弱的信号，AGC会将其疯狂放大 。AGC的唯一控制参数是窗口长度，通常建议取主频周期的1.5到3倍 。窗口太短，波形会被完全摧毁成为高频白噪；窗口太长，则无法有效均衡相邻的强弱信号 。致命缺陷：AGC 被普遍誉为“可视化神器”，它能让深部几乎不可见的细小构造瞬间跃然屏上，非常适合快速的连续性地质诊断 。然而，它对物理数据的破坏是毁灭性的。由于每个数据点的放大倍数完全取决于其邻域的能量，AGC彻底粉毁了地下介质真实的相对反射系数（Relative Reflection Coefficient）。一根强反射的金属管和一根弱反射的PVC塑料管，在AGC处理后会呈现出完全相同的亮度，使得通过振幅进行材质判别的努力化为泡影。更严重的是，在没有真实目标的极深区域，AGC会捕获微小的仪器热噪声并将其放大数千倍，创造出满屏的虚假深层地层（常被称为“雪花噪声”）。因此，凡是经过AGC处理的数据，绝对不能用于后续的含水率反演、介电常数计算等定量属性分析（Quantitative Attribute Analysis）。2. 物理保真：球面指数补偿增益 (SEC - Spherical and Exponential Compensation)为了在补偿深部能量的同时严格保全物性参数，基于电磁波衰减物理模型的 SEC 增益成为了专业学界的黄金标准 。运作机制：与AGC的动态自适应不同，SEC对整个数据集施加一条硬性的、基于先验物理模型的增益曲线。该曲线在时间轴的前段主要呈现线性增长，以补偿几何球面发散；在时间轴的后段则无缝切换为指数增长，以暴力对抗介质的欧姆吸收损耗 。核心优势与局限：因为SEC对所有道的相同时刻施加的</w:t>
      </w:r>
      <w:r>
        <w:rPr>
          <w:rFonts w:hint="eastAsia"/>
        </w:rPr>
        <w:lastRenderedPageBreak/>
        <w:t>是完全一致的常数乘子，它完美地保留了真实地层的相对反射系数大小 。高亮度的强反射体必然对应着地下真实存在的高阻抗物理边界，这为雷达波阻抗反演和无损检测中的结构完整性评估提供了唯一可靠的数据基石 。但SEC同样面临挑战：指数级的后期放大使得其不可避免地会将深层底部的系统背景噪声随时间呈指数级爆音放大 。为了防止底层数据被指数增益撑爆，现代GUI在SEC模块中必须引入一个“最大增益钳制（Gain Limit/Clip）”参数，将其最大放大倍数锁定在一定分贝（dB）阈值之下 。增益机制对比总结：增益方法核心逻辑与物理机制核心优势致命缺陷下游分析适用性自动增益控制 (AGC)基于局部滑动窗口的逆能量动态自适应重缩放 。画面均衡度极佳，能瞬间突显深浅所有连续构造和微小异常 。彻底摧毁绝对物理保真度；强压制导致目标周边出现晕影；在深部无目标区指数级放大纯噪声 。仅限视觉连续性诊断和地层走向判断，绝对禁止用于定量分析。球面指数补偿 (SEC)基于几何发散（线性）和电介质吸收（指数）理论的全局确定性放大 。完美保留了地下不同介质之间的相对反射系数差异，忠实反映真实物性 。指数特性会导致晚期旅行时间内的系统本底噪声被同步放大至失真，需设定上限阈值 。物理属性反演、介电常数计算及结构阻抗分析的首选依据 。时变增益 (TVG / User Gain)允许操作者手动绘制基于多段折线的自定义时间-振幅放大曲线 。高度灵活，能够精准瞄准特定深度的关注层位进行靶向强化放大 。强烈的操作者主观偏差；缺乏统一物理依据，容易引入人工解释的伪影 。针对特定已知深度的目标（如桥面固定深度的钢筋层）的专题汇报呈现。五、 全波场重构：高级偏移成像技术 (Advanced Migration and Imaging)在完成背景纯化与能量恢复后，GPR剖面中的管线与空洞依然以宽阔的倒双曲线（Hyperbola）形式存在。这是因为GPR天线波束并非激光般的细线，而是一个具有特定辐射角的圆锥体 。当天线靠近但尚未正对地下点目标时，前向辐射波已触及目标并产生回波，导致目标在剖面上被拉宽和深延 。偏移成像（Migration） 是一种逆向散射数学反演算法，其物理意义是将散布在双曲线上的弥散能量重新“收敛（Collapse）”回其真实的地下空间位置，将其还原为一个高分辨率的物理点，并恢复倾斜地层的真实倾角 。现代GUI中最常使用的是 克希霍夫积分偏移（Kirchhoff Migration） 和 F-K相移偏移（Phase-Shift）。Kirchhoff通过沿着理论双曲线轨迹进行能量叠加求和，运算稳定且适应性强；而F-K偏移在波数域通过相位旋转实现聚焦，速度极快但要求介质速度相对均匀 。</w:t>
      </w:r>
    </w:p>
    <w:p w14:paraId="32FA0FC4" w14:textId="51B6C2C0" w:rsidR="00B0190B" w:rsidRPr="00490E45" w:rsidRDefault="00490E45" w:rsidP="00490E45">
      <w:pPr>
        <w:rPr>
          <w:rFonts w:hint="eastAsia"/>
        </w:rPr>
      </w:pPr>
      <w:r>
        <w:rPr>
          <w:rFonts w:hint="eastAsia"/>
        </w:rPr>
        <w:t>决定偏移成败的**唯一核心指标是介质电磁波速（Velocity）**的准确性 。速度估计过低，双曲线收敛不足，留下残余的宽尾；速度估计过高，双曲线会发生“过度偏移”，向上反转形成被称为“笑脸（Smiles）”的虚假伪影 。高级GUI软件通常配备交互式的双曲线拟合工具，允许工程师在偏移前对剖面上的多个衍射波进行速度测定，从而构建精确的一维或二维速度场 。六、 现代软件架构演进与人工智能（AI）融合流水线随着3D高密度多通道雷达阵列的普及，单次采集的数据量从几兆字节飙升至几十甚至上百吉字节（GB），传统的GPR数据处理范式正在经历架构级的重构 。1. 从桌面单体架构到云原生分布式管线传统的工业标准软件（如 ReflexW, GPR-SLICE, RADAN）是典型的桌面单体架构 。它们提供极度深度的参数控制，但严重受限于本地PC的CPU算力和内存瓶颈。在处理海量3D数据体的复杂运算（如 Hankel-SVD 或全三维偏移）时，常面临崩溃或数小时的等待 。现代平台（如 Geolitix 等）则转向了浏览器端的云原生（Cloud-native）分布式计算架构 。这些平台将庞大的矩阵运算卸载至云端服务器集群，并引入了“非破坏性编辑（Non-destructive Editing）”与“有向无环图（DAG）”的设计模式 。在现代GUI中，所有处理算法不再直接覆盖修改原始数据，而是作为元数据（Metadata）步骤被记录在一个称为“处理组（Processing Group）”的流水线列表中 。这种架构保证了操作的幂等性（Idempotency）：流水线可以被无限次暂停、修改参数并重新运行，而不用担心数据底层的累积损坏 。由于空间位置是后续算法的核心，这类软件在逻辑层面上强制规定了优先级：诸如零时校正、</w:t>
      </w:r>
      <w:r>
        <w:rPr>
          <w:rFonts w:hint="eastAsia"/>
        </w:rPr>
        <w:lastRenderedPageBreak/>
        <w:t>轨迹空间等距重采样等改变几何坐标的预处理模块，被系统硬性锁定在处理链条的绝对顶层，杜绝了由于操作顺序颠倒导致的物理空间扭曲 。2. 深度学习与AI自动化特征提取最激动人心的技术飞跃是深度神经网络（DNN）在GPR工作流中的深度融合 。针对GPR图像极具几何特征的双曲线，基于计算机视觉的目标检测架构（如 YOLOv8 和融合双向特征金字塔的 EfficientDet）被引入，实现了从繁重的参数微调向自动识别的跃迁 。模型通过海量合成与真实实测数据集的训练，能够瞬间定位复杂噪声中的管线与钢筋节点，其计算耗时甚至低于传统SVD降维算法 。在背景杂波压制方面，前沿研究提出了基于小波生成对抗网络（Wavelet-GAN）的去噪模型 。该模型先利用离散小波变换（DWT）将B-scan图像分解至多频带子图，接着通过GAN网络分别重建低频和高频目标信号，并在重构（IDWT）过程中自动剥离杂波特征 。与高度依赖手动调节参数 $\lambda$ 的 RPCA 或 WNNM 相比，AI模型具备“端到端”的自主参数优化能力，能够在极其恶劣的未知异质介质中提供超越解析算法的纯净度，为GPR GUI最终实现“一键式智能化出图”铺平了道路 。七、 GUI 综合操作流最佳实践建议 (Best Practices Workflow)基于上述严密的算法物理与数学机制剖析，针对现代GPR GUI软件的用户交互，推荐在不同的工程目标下采用以下定制化的“组合拳”处理管线：场景一：快速现场诊断与地质分层普查流 (主打高连续性、高出图效率)管线逻辑：零时校正 $\rightarrow$ Dewow $\rightarrow$ FIR频带滤波 $\rightarrow$ 指数滑动平均 (EMA) $\rightarrow$ 自动增益控制 (AGC)。实施依据：此类任务重在宏观结构的识别而非定量反演。EMA 提供极速的局部去背底能力，不占用算力 ；随后利用 AGC 强制压平全局振幅，使得地表的浅层裂缝与深部的岩性交界面能在同一视觉维度上爆发式显现，极大降低了肉眼解译的门槛 。场景二：高保真市政管线定位与3D反演流 (主打去平层留曲线、物理参数极度保真)管线逻辑：零时校正 $\rightarrow$ Dewow $\rightarrow$ IIR带通滤波 $\rightarrow$ WNNM / RPCA 矩阵降维抑制 $\rightarrow$ 球面指数补偿 (SEC) $\rightarrow$ 速度分析拟合 $\rightarrow$ 克希霍夫偏移成像。实施依据：面对复杂的城市地下介质，决不能使用均值扣除（会产生阴影）和SVD（会删除平行管线）。引入WNNM能完美应对不平整地表的杂波剔除 。在增益阶段，严禁使用AGC，必须采用SEC补偿，以忠实保留金属管与塑料管的波阻抗反射率差异 。最终在纯净且保真的数据基础上，进行精确的偏移聚焦，将双曲线收敛为高分辨率的三维空间点坐标 。</w:t>
      </w:r>
    </w:p>
    <w:sectPr w:rsidR="00B0190B" w:rsidRPr="00490E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B0E67"/>
    <w:rsid w:val="00294CAE"/>
    <w:rsid w:val="00304CBE"/>
    <w:rsid w:val="003B0E67"/>
    <w:rsid w:val="00490E45"/>
    <w:rsid w:val="0083408B"/>
    <w:rsid w:val="00A5332D"/>
    <w:rsid w:val="00B019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3939034-93E5-4B4F-A98E-063EEDD19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B0E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B0E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B0E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B0E6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B0E6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B0E6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B0E6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0E6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B0E6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0E6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B0E6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B0E6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B0E67"/>
    <w:rPr>
      <w:rFonts w:cstheme="majorBidi"/>
      <w:color w:val="0F4761" w:themeColor="accent1" w:themeShade="BF"/>
      <w:sz w:val="28"/>
      <w:szCs w:val="28"/>
    </w:rPr>
  </w:style>
  <w:style w:type="character" w:customStyle="1" w:styleId="50">
    <w:name w:val="标题 5 字符"/>
    <w:basedOn w:val="a0"/>
    <w:link w:val="5"/>
    <w:uiPriority w:val="9"/>
    <w:semiHidden/>
    <w:rsid w:val="003B0E67"/>
    <w:rPr>
      <w:rFonts w:cstheme="majorBidi"/>
      <w:color w:val="0F4761" w:themeColor="accent1" w:themeShade="BF"/>
      <w:sz w:val="24"/>
      <w:szCs w:val="24"/>
    </w:rPr>
  </w:style>
  <w:style w:type="character" w:customStyle="1" w:styleId="60">
    <w:name w:val="标题 6 字符"/>
    <w:basedOn w:val="a0"/>
    <w:link w:val="6"/>
    <w:uiPriority w:val="9"/>
    <w:semiHidden/>
    <w:rsid w:val="003B0E67"/>
    <w:rPr>
      <w:rFonts w:cstheme="majorBidi"/>
      <w:b/>
      <w:bCs/>
      <w:color w:val="0F4761" w:themeColor="accent1" w:themeShade="BF"/>
    </w:rPr>
  </w:style>
  <w:style w:type="character" w:customStyle="1" w:styleId="70">
    <w:name w:val="标题 7 字符"/>
    <w:basedOn w:val="a0"/>
    <w:link w:val="7"/>
    <w:uiPriority w:val="9"/>
    <w:semiHidden/>
    <w:rsid w:val="003B0E67"/>
    <w:rPr>
      <w:rFonts w:cstheme="majorBidi"/>
      <w:b/>
      <w:bCs/>
      <w:color w:val="595959" w:themeColor="text1" w:themeTint="A6"/>
    </w:rPr>
  </w:style>
  <w:style w:type="character" w:customStyle="1" w:styleId="80">
    <w:name w:val="标题 8 字符"/>
    <w:basedOn w:val="a0"/>
    <w:link w:val="8"/>
    <w:uiPriority w:val="9"/>
    <w:semiHidden/>
    <w:rsid w:val="003B0E67"/>
    <w:rPr>
      <w:rFonts w:cstheme="majorBidi"/>
      <w:color w:val="595959" w:themeColor="text1" w:themeTint="A6"/>
    </w:rPr>
  </w:style>
  <w:style w:type="character" w:customStyle="1" w:styleId="90">
    <w:name w:val="标题 9 字符"/>
    <w:basedOn w:val="a0"/>
    <w:link w:val="9"/>
    <w:uiPriority w:val="9"/>
    <w:semiHidden/>
    <w:rsid w:val="003B0E67"/>
    <w:rPr>
      <w:rFonts w:eastAsiaTheme="majorEastAsia" w:cstheme="majorBidi"/>
      <w:color w:val="595959" w:themeColor="text1" w:themeTint="A6"/>
    </w:rPr>
  </w:style>
  <w:style w:type="paragraph" w:styleId="a3">
    <w:name w:val="Title"/>
    <w:basedOn w:val="a"/>
    <w:next w:val="a"/>
    <w:link w:val="a4"/>
    <w:uiPriority w:val="10"/>
    <w:qFormat/>
    <w:rsid w:val="003B0E6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0E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0E6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0E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0E67"/>
    <w:pPr>
      <w:spacing w:before="160" w:after="160"/>
      <w:jc w:val="center"/>
    </w:pPr>
    <w:rPr>
      <w:i/>
      <w:iCs/>
      <w:color w:val="404040" w:themeColor="text1" w:themeTint="BF"/>
    </w:rPr>
  </w:style>
  <w:style w:type="character" w:customStyle="1" w:styleId="a8">
    <w:name w:val="引用 字符"/>
    <w:basedOn w:val="a0"/>
    <w:link w:val="a7"/>
    <w:uiPriority w:val="29"/>
    <w:rsid w:val="003B0E67"/>
    <w:rPr>
      <w:i/>
      <w:iCs/>
      <w:color w:val="404040" w:themeColor="text1" w:themeTint="BF"/>
    </w:rPr>
  </w:style>
  <w:style w:type="paragraph" w:styleId="a9">
    <w:name w:val="List Paragraph"/>
    <w:basedOn w:val="a"/>
    <w:uiPriority w:val="34"/>
    <w:qFormat/>
    <w:rsid w:val="003B0E67"/>
    <w:pPr>
      <w:ind w:left="720"/>
      <w:contextualSpacing/>
    </w:pPr>
  </w:style>
  <w:style w:type="character" w:styleId="aa">
    <w:name w:val="Intense Emphasis"/>
    <w:basedOn w:val="a0"/>
    <w:uiPriority w:val="21"/>
    <w:qFormat/>
    <w:rsid w:val="003B0E67"/>
    <w:rPr>
      <w:i/>
      <w:iCs/>
      <w:color w:val="0F4761" w:themeColor="accent1" w:themeShade="BF"/>
    </w:rPr>
  </w:style>
  <w:style w:type="paragraph" w:styleId="ab">
    <w:name w:val="Intense Quote"/>
    <w:basedOn w:val="a"/>
    <w:next w:val="a"/>
    <w:link w:val="ac"/>
    <w:uiPriority w:val="30"/>
    <w:qFormat/>
    <w:rsid w:val="003B0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B0E67"/>
    <w:rPr>
      <w:i/>
      <w:iCs/>
      <w:color w:val="0F4761" w:themeColor="accent1" w:themeShade="BF"/>
    </w:rPr>
  </w:style>
  <w:style w:type="character" w:styleId="ad">
    <w:name w:val="Intense Reference"/>
    <w:basedOn w:val="a0"/>
    <w:uiPriority w:val="32"/>
    <w:qFormat/>
    <w:rsid w:val="003B0E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1617</Words>
  <Characters>9221</Characters>
  <Application>Microsoft Office Word</Application>
  <DocSecurity>0</DocSecurity>
  <Lines>76</Lines>
  <Paragraphs>21</Paragraphs>
  <ScaleCrop>false</ScaleCrop>
  <Company/>
  <LinksUpToDate>false</LinksUpToDate>
  <CharactersWithSpaces>10817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Hao Di</dc:creator>
  <cp:keywords/>
  <dc:description/>
  <cp:lastModifiedBy>Jian Hao Di</cp:lastModifiedBy>
  <cp:revision>2</cp:revision>
  <dcterms:created xsi:type="dcterms:W3CDTF">2026-03-03T18:47:00Z</dcterms:created>
  <dcterms:modified xsi:type="dcterms:W3CDTF">2026-03-03T18:48:00Z</dcterms:modified>
</cp:coreProperties>
</file>