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11AC0" w14:textId="77777777" w:rsidR="0044532A" w:rsidRDefault="00000000">
      <w:pPr>
        <w:pStyle w:val="Title"/>
        <w:spacing w:after="160"/>
        <w:jc w:val="left"/>
      </w:pPr>
      <w:bookmarkStart w:id="0" w:name="X0e0a6c0a182c24a4528c9a7292c79037f8650c1"/>
      <w:r>
        <w:t>CasSama — Technical Architecture and Implementation Report</w:t>
      </w:r>
    </w:p>
    <w:p w14:paraId="62BC0CA4" w14:textId="47F7AD65" w:rsidR="0044532A" w:rsidRDefault="00000000">
      <w:pPr>
        <w:pStyle w:val="FirstParagraph"/>
      </w:pPr>
      <w:r>
        <w:rPr>
          <w:b/>
          <w:bCs/>
        </w:rPr>
        <w:t>GreenGru · Sime Darby Property University Hackathon 2026</w:t>
      </w:r>
      <w:r>
        <w:br/>
      </w:r>
      <w:r>
        <w:rPr>
          <w:b/>
          <w:bCs/>
        </w:rPr>
        <w:t>Scope:</w:t>
      </w:r>
      <w:r>
        <w:t xml:space="preserve"> Implemented hackathon MVP, isolated OCPP demonstrations and proposed 2–4-bay field pilot</w:t>
      </w:r>
      <w:r>
        <w:br/>
      </w:r>
      <w:r>
        <w:rPr>
          <w:b/>
          <w:bCs/>
        </w:rPr>
        <w:t>Evidence basis:</w:t>
      </w:r>
      <w:r>
        <w:t xml:space="preserve"> Latest available repository snapshot (after booking-notification fix); project README and specialist documents; automated report; user-reported manual acceptance completion. </w:t>
      </w:r>
    </w:p>
    <w:p w14:paraId="633DE810" w14:textId="77777777" w:rsidR="0044532A" w:rsidRDefault="00000000">
      <w:pPr>
        <w:pStyle w:val="BlockText"/>
      </w:pPr>
      <w:r>
        <w:rPr>
          <w:b/>
          <w:bCs/>
        </w:rPr>
        <w:t>Prototype disclosure.</w:t>
      </w:r>
      <w:r>
        <w:t xml:space="preserve"> The condominium sites, charger use, OCPP energy and month-ahead financial dashboards include simulated data. Booking-linked OCPP transactions generate </w:t>
      </w:r>
      <w:r>
        <w:rPr>
          <w:b/>
          <w:bCs/>
        </w:rPr>
        <w:t>calculated receipts</w:t>
      </w:r>
      <w:r>
        <w:t>, not independently confirmed collected payments. Resident votes are demonstration governance rules, not legal strata resolutions. No field commissioning, settlement integration or production security certification is claimed.</w:t>
      </w:r>
    </w:p>
    <w:p w14:paraId="58FC8AA6" w14:textId="77777777" w:rsidR="0044532A" w:rsidRDefault="00000000">
      <w:pPr>
        <w:pStyle w:val="Heading2"/>
      </w:pPr>
      <w:bookmarkStart w:id="1" w:name="executive-summary"/>
      <w:r>
        <w:t>Executive summary</w:t>
      </w:r>
    </w:p>
    <w:p w14:paraId="6B5FDE2A" w14:textId="77777777" w:rsidR="0044532A" w:rsidRDefault="00000000">
      <w:pPr>
        <w:pStyle w:val="FirstParagraph"/>
      </w:pPr>
      <w:r>
        <w:t>CasSama is a shared EV-charging management and planning prototype for residential townships. It addresses two connected inefficiencies: residential AC chargers may sit unused when residents are away, while drivers need accessible, compatible and cost-conscious charging options. A Joint Management Body (JMB) or Management Corporation (MC) can define limited visitor access to idle condominium bays without surrendering resident priority. Drivers can discover, compare and reserve eligible chargers; the system can link a reservation to a simulator-driven OCPP charging session and show calculated financial outcomes to the JMB.</w:t>
      </w:r>
    </w:p>
    <w:p w14:paraId="57DAE59F" w14:textId="01148A4B" w:rsidR="0044532A" w:rsidRDefault="00000000">
      <w:pPr>
        <w:pStyle w:val="BodyText"/>
      </w:pPr>
      <w:proofErr w:type="gramStart"/>
      <w:r>
        <w:t>A</w:t>
      </w:r>
      <w:proofErr w:type="gramEnd"/>
      <w:r>
        <w:t xml:space="preserve"> </w:t>
      </w:r>
      <w:r w:rsidR="00823E7C">
        <w:t>AI</w:t>
      </w:r>
      <w:r>
        <w:t xml:space="preserve">-powered conversational assistant supports charger recommendations, cost estimation, time-window suggestions, journey planning and booking proposals. It delegates factual calculations to deterministic application engines, uses a curated searchable knowledge base, and does </w:t>
      </w:r>
      <w:r>
        <w:rPr>
          <w:b/>
          <w:bCs/>
        </w:rPr>
        <w:t>not</w:t>
      </w:r>
      <w:r>
        <w:t xml:space="preserve"> independently create bookings or charge payments. The same product also includes unit-linked resident credentials, a demonstrative sharing-policy vote, OCPP fault/recovery handling and a maintenance-cost-recovery model.</w:t>
      </w:r>
    </w:p>
    <w:p w14:paraId="03A7E20D" w14:textId="77777777" w:rsidR="0044532A" w:rsidRDefault="00000000">
      <w:pPr>
        <w:pStyle w:val="BodyText"/>
      </w:pPr>
      <w:r>
        <w:rPr>
          <w:b/>
          <w:bCs/>
        </w:rPr>
        <w:t>Hackathon acceptance position:</w:t>
      </w:r>
      <w:r>
        <w:t xml:space="preserve"> isolated automated scenarios were reported passing and the owner has stated that all Phase 8 manual checks have been completed. These demonstrate prototype readiness for a controlled, simulated demo. Live equipment safety, contractual payments and statutory governance require separate validation.</w:t>
      </w:r>
    </w:p>
    <w:p w14:paraId="5A97C5AB" w14:textId="77777777" w:rsidR="0044532A" w:rsidRDefault="00000000">
      <w:pPr>
        <w:pStyle w:val="Heading2"/>
      </w:pPr>
      <w:bookmarkStart w:id="2" w:name="problem-objectives-and-boundaries"/>
      <w:bookmarkEnd w:id="1"/>
      <w:r>
        <w:t>1. Problem, objectives and boundaries</w:t>
      </w:r>
    </w:p>
    <w:p w14:paraId="0B870CC3" w14:textId="77777777" w:rsidR="0044532A" w:rsidRDefault="00000000">
      <w:pPr>
        <w:pStyle w:val="Heading3"/>
      </w:pPr>
      <w:bookmarkStart w:id="3" w:name="problem"/>
      <w:r>
        <w:t>1.1 Problem</w:t>
      </w:r>
    </w:p>
    <w:p w14:paraId="57014DEF" w14:textId="77777777" w:rsidR="0044532A" w:rsidRDefault="00000000">
      <w:pPr>
        <w:pStyle w:val="FirstParagraph"/>
      </w:pPr>
      <w:r>
        <w:t>Residential EV chargers involve capital, maintenance and electrical-capacity commitments. Their utilisation varies over the day; reserving all bays exclusively for residents can waste usable capacity, but unconstrained public access risks leaving returning residents without charging. Drivers, meanwhile, must consider connector compatibility, battery level, charging duration, price, detour, reliability and availability. JMBs require clear auditability before consenting to shared use.</w:t>
      </w:r>
    </w:p>
    <w:p w14:paraId="6817B365" w14:textId="77777777" w:rsidR="0044532A" w:rsidRDefault="00000000">
      <w:pPr>
        <w:pStyle w:val="Heading3"/>
      </w:pPr>
      <w:bookmarkStart w:id="4" w:name="technical-objectives"/>
      <w:bookmarkEnd w:id="3"/>
      <w:r>
        <w:t>1.2 Technical objectives</w:t>
      </w:r>
    </w:p>
    <w:p w14:paraId="704A2745" w14:textId="77777777" w:rsidR="0044532A" w:rsidRDefault="00000000">
      <w:pPr>
        <w:pStyle w:val="Compact"/>
        <w:numPr>
          <w:ilvl w:val="0"/>
          <w:numId w:val="2"/>
        </w:numPr>
      </w:pPr>
      <w:r>
        <w:t>Surface public and residential charging options with comparable estimated prices, compatibility and charging usefulness.</w:t>
      </w:r>
    </w:p>
    <w:p w14:paraId="67D16C63" w14:textId="77777777" w:rsidR="0044532A" w:rsidRDefault="00000000">
      <w:pPr>
        <w:pStyle w:val="Compact"/>
        <w:numPr>
          <w:ilvl w:val="0"/>
          <w:numId w:val="2"/>
        </w:numPr>
      </w:pPr>
      <w:r>
        <w:t>Allow visitor bookings only within JMB-approved sharing rules and protect designated resident capacity across the entire requested interval.</w:t>
      </w:r>
    </w:p>
    <w:p w14:paraId="68380893" w14:textId="77777777" w:rsidR="0044532A" w:rsidRDefault="00000000">
      <w:pPr>
        <w:pStyle w:val="Compact"/>
        <w:numPr>
          <w:ilvl w:val="0"/>
          <w:numId w:val="2"/>
        </w:numPr>
      </w:pPr>
      <w:r>
        <w:t>Track a residential booking from confirmation through bay check-in and OCPP transaction completion, including fault handling.</w:t>
      </w:r>
    </w:p>
    <w:p w14:paraId="48ADDDD9" w14:textId="77777777" w:rsidR="0044532A" w:rsidRDefault="00000000">
      <w:pPr>
        <w:pStyle w:val="Compact"/>
        <w:numPr>
          <w:ilvl w:val="0"/>
          <w:numId w:val="2"/>
        </w:numPr>
      </w:pPr>
      <w:r>
        <w:t xml:space="preserve">Separate forecast maintenance recovery from a ledger of booking-linked </w:t>
      </w:r>
      <w:r>
        <w:rPr>
          <w:b/>
          <w:bCs/>
        </w:rPr>
        <w:t>simulated, calculated</w:t>
      </w:r>
      <w:r>
        <w:t xml:space="preserve"> charging receipts.</w:t>
      </w:r>
    </w:p>
    <w:p w14:paraId="51249DA1" w14:textId="77777777" w:rsidR="0044532A" w:rsidRDefault="00000000">
      <w:pPr>
        <w:pStyle w:val="Compact"/>
        <w:numPr>
          <w:ilvl w:val="0"/>
          <w:numId w:val="2"/>
        </w:numPr>
      </w:pPr>
      <w:r>
        <w:t>Use AI to interpret charging requests and invoke bounded deterministic tools; require the driver to confirm any booking.</w:t>
      </w:r>
    </w:p>
    <w:p w14:paraId="04C0147D" w14:textId="77777777" w:rsidR="0044532A" w:rsidRDefault="00000000">
      <w:pPr>
        <w:pStyle w:val="Compact"/>
        <w:numPr>
          <w:ilvl w:val="0"/>
          <w:numId w:val="2"/>
        </w:numPr>
      </w:pPr>
      <w:r>
        <w:lastRenderedPageBreak/>
        <w:t>Demonstrate resident credential verification and one-vote-per-verified-unit policy decisions without representing a demo vote as legal consent.</w:t>
      </w:r>
    </w:p>
    <w:p w14:paraId="57DEC192" w14:textId="77777777" w:rsidR="0044532A" w:rsidRDefault="00000000">
      <w:pPr>
        <w:pStyle w:val="Heading3"/>
      </w:pPr>
      <w:bookmarkStart w:id="5" w:name="out-of-scope-for-the-implemented-mvp"/>
      <w:bookmarkEnd w:id="4"/>
      <w:r>
        <w:t>1.3 Out-of-scope for the implemented MVP</w:t>
      </w:r>
    </w:p>
    <w:p w14:paraId="17B4E6CB" w14:textId="77777777" w:rsidR="0044532A" w:rsidRDefault="00000000">
      <w:pPr>
        <w:pStyle w:val="FirstParagraph"/>
      </w:pPr>
      <w:r>
        <w:t>The system does not provide payment collection or verified bank settlement, independent residency verification, production-grade charger commissioning, multi-replica transactional persistence, legally binding JMB voting, verified vehicle state of charge, or a live physical charger pilot. Real site permitting, contractual CPO terms, grid assessments and privacy obligations remain future pilot dependencies.</w:t>
      </w:r>
    </w:p>
    <w:p w14:paraId="1206AAAD" w14:textId="77777777" w:rsidR="0044532A" w:rsidRDefault="00000000">
      <w:pPr>
        <w:pStyle w:val="Heading2"/>
      </w:pPr>
      <w:bookmarkStart w:id="6" w:name="solution-overview-and-stakeholders"/>
      <w:bookmarkEnd w:id="2"/>
      <w:bookmarkEnd w:id="5"/>
      <w:r>
        <w:t>2. Solution overview and stakeholders</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41BD0EB0"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24CE79C7" w14:textId="77777777" w:rsidR="0044532A" w:rsidRDefault="00000000">
            <w:pPr>
              <w:pStyle w:val="Compact"/>
              <w:spacing w:before="20" w:after="20"/>
            </w:pPr>
            <w:r>
              <w:rPr>
                <w:b/>
                <w:sz w:val="16"/>
              </w:rPr>
              <w:t>Stakeholder</w:t>
            </w:r>
          </w:p>
        </w:tc>
        <w:tc>
          <w:tcPr>
            <w:tcW w:w="2640" w:type="dxa"/>
            <w:shd w:val="clear" w:color="auto" w:fill="DFEFE9"/>
            <w:vAlign w:val="center"/>
          </w:tcPr>
          <w:p w14:paraId="20229359" w14:textId="77777777" w:rsidR="0044532A" w:rsidRDefault="00000000">
            <w:pPr>
              <w:pStyle w:val="Compact"/>
              <w:spacing w:before="20" w:after="20"/>
            </w:pPr>
            <w:r>
              <w:rPr>
                <w:b/>
                <w:sz w:val="16"/>
              </w:rPr>
              <w:t>What CasSama provides</w:t>
            </w:r>
          </w:p>
        </w:tc>
        <w:tc>
          <w:tcPr>
            <w:tcW w:w="2640" w:type="dxa"/>
            <w:shd w:val="clear" w:color="auto" w:fill="DFEFE9"/>
            <w:vAlign w:val="center"/>
          </w:tcPr>
          <w:p w14:paraId="697B7ED1" w14:textId="77777777" w:rsidR="0044532A" w:rsidRDefault="00000000">
            <w:pPr>
              <w:pStyle w:val="Compact"/>
              <w:spacing w:before="20" w:after="20"/>
            </w:pPr>
            <w:r>
              <w:rPr>
                <w:b/>
                <w:sz w:val="16"/>
              </w:rPr>
              <w:t>Critical boundary</w:t>
            </w:r>
          </w:p>
        </w:tc>
      </w:tr>
      <w:tr w:rsidR="0044532A" w14:paraId="49E04825" w14:textId="77777777" w:rsidTr="0044532A">
        <w:trPr>
          <w:jc w:val="center"/>
        </w:trPr>
        <w:tc>
          <w:tcPr>
            <w:tcW w:w="2640" w:type="dxa"/>
            <w:vAlign w:val="center"/>
          </w:tcPr>
          <w:p w14:paraId="0CE94BF5" w14:textId="77777777" w:rsidR="0044532A" w:rsidRDefault="00000000">
            <w:pPr>
              <w:pStyle w:val="Compact"/>
              <w:spacing w:before="20" w:after="20"/>
            </w:pPr>
            <w:r>
              <w:rPr>
                <w:sz w:val="16"/>
              </w:rPr>
              <w:t>EV driver / visitor</w:t>
            </w:r>
          </w:p>
        </w:tc>
        <w:tc>
          <w:tcPr>
            <w:tcW w:w="2640" w:type="dxa"/>
            <w:vAlign w:val="center"/>
          </w:tcPr>
          <w:p w14:paraId="6D13BD8F" w14:textId="77777777" w:rsidR="0044532A" w:rsidRDefault="00000000">
            <w:pPr>
              <w:pStyle w:val="Compact"/>
              <w:spacing w:before="20" w:after="20"/>
            </w:pPr>
            <w:r>
              <w:rPr>
                <w:sz w:val="16"/>
              </w:rPr>
              <w:t>Map and Plan views, price comparison, reservation, charge progress</w:t>
            </w:r>
          </w:p>
        </w:tc>
        <w:tc>
          <w:tcPr>
            <w:tcW w:w="2640" w:type="dxa"/>
            <w:vAlign w:val="center"/>
          </w:tcPr>
          <w:p w14:paraId="295C02B3" w14:textId="77777777" w:rsidR="0044532A" w:rsidRDefault="00000000">
            <w:pPr>
              <w:pStyle w:val="Compact"/>
              <w:spacing w:before="20" w:after="20"/>
            </w:pPr>
            <w:r>
              <w:rPr>
                <w:sz w:val="16"/>
              </w:rPr>
              <w:t>Booking success is checked by server; public prices/occupancy may be estimated</w:t>
            </w:r>
          </w:p>
        </w:tc>
      </w:tr>
      <w:tr w:rsidR="0044532A" w14:paraId="3712AEA7" w14:textId="77777777" w:rsidTr="0044532A">
        <w:trPr>
          <w:jc w:val="center"/>
        </w:trPr>
        <w:tc>
          <w:tcPr>
            <w:tcW w:w="2640" w:type="dxa"/>
            <w:vAlign w:val="center"/>
          </w:tcPr>
          <w:p w14:paraId="3C3C9958" w14:textId="77777777" w:rsidR="0044532A" w:rsidRDefault="00000000">
            <w:pPr>
              <w:pStyle w:val="Compact"/>
              <w:spacing w:before="20" w:after="20"/>
            </w:pPr>
            <w:r>
              <w:rPr>
                <w:sz w:val="16"/>
              </w:rPr>
              <w:t>Resident</w:t>
            </w:r>
          </w:p>
        </w:tc>
        <w:tc>
          <w:tcPr>
            <w:tcW w:w="2640" w:type="dxa"/>
            <w:vAlign w:val="center"/>
          </w:tcPr>
          <w:p w14:paraId="7BD3A001" w14:textId="77777777" w:rsidR="0044532A" w:rsidRDefault="00000000">
            <w:pPr>
              <w:pStyle w:val="Compact"/>
              <w:spacing w:before="20" w:after="20"/>
            </w:pPr>
            <w:r>
              <w:rPr>
                <w:sz w:val="16"/>
              </w:rPr>
              <w:t>Home-condominium profile, resident-key booking, proposed-policy vote</w:t>
            </w:r>
          </w:p>
        </w:tc>
        <w:tc>
          <w:tcPr>
            <w:tcW w:w="2640" w:type="dxa"/>
            <w:vAlign w:val="center"/>
          </w:tcPr>
          <w:p w14:paraId="00AE3ACE" w14:textId="77777777" w:rsidR="0044532A" w:rsidRDefault="00000000">
            <w:pPr>
              <w:pStyle w:val="Compact"/>
              <w:spacing w:before="20" w:after="20"/>
            </w:pPr>
            <w:r>
              <w:rPr>
                <w:sz w:val="16"/>
              </w:rPr>
              <w:t>A selected home condo is not proof of residence; a JMB-issued key is required</w:t>
            </w:r>
          </w:p>
        </w:tc>
      </w:tr>
      <w:tr w:rsidR="0044532A" w14:paraId="43720647" w14:textId="77777777" w:rsidTr="0044532A">
        <w:trPr>
          <w:jc w:val="center"/>
        </w:trPr>
        <w:tc>
          <w:tcPr>
            <w:tcW w:w="2640" w:type="dxa"/>
            <w:vAlign w:val="center"/>
          </w:tcPr>
          <w:p w14:paraId="62C310E3" w14:textId="77777777" w:rsidR="0044532A" w:rsidRDefault="00000000">
            <w:pPr>
              <w:pStyle w:val="Compact"/>
              <w:spacing w:before="20" w:after="20"/>
            </w:pPr>
            <w:r>
              <w:rPr>
                <w:sz w:val="16"/>
              </w:rPr>
              <w:t>JMB / MC</w:t>
            </w:r>
          </w:p>
        </w:tc>
        <w:tc>
          <w:tcPr>
            <w:tcW w:w="2640" w:type="dxa"/>
            <w:vAlign w:val="center"/>
          </w:tcPr>
          <w:p w14:paraId="706BC00F" w14:textId="77777777" w:rsidR="0044532A" w:rsidRDefault="00000000">
            <w:pPr>
              <w:pStyle w:val="Compact"/>
              <w:spacing w:before="20" w:after="20"/>
            </w:pPr>
            <w:r>
              <w:rPr>
                <w:sz w:val="16"/>
              </w:rPr>
              <w:t>Sharing hours, retained resident bays, maintenance, visitor manifest, recorded-revenue report, policy proposals</w:t>
            </w:r>
          </w:p>
        </w:tc>
        <w:tc>
          <w:tcPr>
            <w:tcW w:w="2640" w:type="dxa"/>
            <w:vAlign w:val="center"/>
          </w:tcPr>
          <w:p w14:paraId="70B3F95B" w14:textId="77777777" w:rsidR="0044532A" w:rsidRDefault="00000000">
            <w:pPr>
              <w:pStyle w:val="Compact"/>
              <w:spacing w:before="20" w:after="20"/>
            </w:pPr>
            <w:r>
              <w:rPr>
                <w:sz w:val="16"/>
              </w:rPr>
              <w:t>Demo PIN and JSON store are insufficient for real-world administration</w:t>
            </w:r>
          </w:p>
        </w:tc>
      </w:tr>
      <w:tr w:rsidR="0044532A" w14:paraId="569F7A0A" w14:textId="77777777" w:rsidTr="0044532A">
        <w:trPr>
          <w:jc w:val="center"/>
        </w:trPr>
        <w:tc>
          <w:tcPr>
            <w:tcW w:w="2640" w:type="dxa"/>
            <w:vAlign w:val="center"/>
          </w:tcPr>
          <w:p w14:paraId="0867B321" w14:textId="77777777" w:rsidR="0044532A" w:rsidRDefault="00000000">
            <w:pPr>
              <w:pStyle w:val="Compact"/>
              <w:spacing w:before="20" w:after="20"/>
            </w:pPr>
            <w:r>
              <w:rPr>
                <w:sz w:val="16"/>
              </w:rPr>
              <w:t>Charge point operator (CPO)</w:t>
            </w:r>
          </w:p>
        </w:tc>
        <w:tc>
          <w:tcPr>
            <w:tcW w:w="2640" w:type="dxa"/>
            <w:vAlign w:val="center"/>
          </w:tcPr>
          <w:p w14:paraId="0D4FAA98" w14:textId="77777777" w:rsidR="0044532A" w:rsidRDefault="00000000">
            <w:pPr>
              <w:pStyle w:val="Compact"/>
              <w:spacing w:before="20" w:after="20"/>
            </w:pPr>
            <w:r>
              <w:rPr>
                <w:sz w:val="16"/>
              </w:rPr>
              <w:t>Operational and financial scenario overview, charger connections</w:t>
            </w:r>
          </w:p>
        </w:tc>
        <w:tc>
          <w:tcPr>
            <w:tcW w:w="2640" w:type="dxa"/>
            <w:vAlign w:val="center"/>
          </w:tcPr>
          <w:p w14:paraId="44504623" w14:textId="77777777" w:rsidR="0044532A" w:rsidRDefault="00000000">
            <w:pPr>
              <w:pStyle w:val="Compact"/>
              <w:spacing w:before="20" w:after="20"/>
            </w:pPr>
            <w:r>
              <w:rPr>
                <w:sz w:val="16"/>
              </w:rPr>
              <w:t>70/30 allocation is illustrative, not a signed commercial agreement</w:t>
            </w:r>
          </w:p>
        </w:tc>
      </w:tr>
      <w:tr w:rsidR="0044532A" w14:paraId="1D87CC02" w14:textId="77777777" w:rsidTr="0044532A">
        <w:trPr>
          <w:jc w:val="center"/>
        </w:trPr>
        <w:tc>
          <w:tcPr>
            <w:tcW w:w="2640" w:type="dxa"/>
            <w:vAlign w:val="center"/>
          </w:tcPr>
          <w:p w14:paraId="3F19BCDB" w14:textId="77777777" w:rsidR="0044532A" w:rsidRDefault="00000000">
            <w:pPr>
              <w:pStyle w:val="Compact"/>
              <w:spacing w:before="20" w:after="20"/>
            </w:pPr>
            <w:r>
              <w:rPr>
                <w:sz w:val="16"/>
              </w:rPr>
              <w:t>Charging device / simulator</w:t>
            </w:r>
          </w:p>
        </w:tc>
        <w:tc>
          <w:tcPr>
            <w:tcW w:w="2640" w:type="dxa"/>
            <w:vAlign w:val="center"/>
          </w:tcPr>
          <w:p w14:paraId="596EF4A0" w14:textId="77777777" w:rsidR="0044532A" w:rsidRDefault="00000000">
            <w:pPr>
              <w:pStyle w:val="Compact"/>
              <w:spacing w:before="20" w:after="20"/>
            </w:pPr>
            <w:r>
              <w:rPr>
                <w:sz w:val="16"/>
              </w:rPr>
              <w:t>OCPP WebSocket interaction, meter readings and status events</w:t>
            </w:r>
          </w:p>
        </w:tc>
        <w:tc>
          <w:tcPr>
            <w:tcW w:w="2640" w:type="dxa"/>
            <w:vAlign w:val="center"/>
          </w:tcPr>
          <w:p w14:paraId="10AB7A84" w14:textId="77777777" w:rsidR="0044532A" w:rsidRDefault="00000000">
            <w:pPr>
              <w:pStyle w:val="Compact"/>
              <w:spacing w:before="20" w:after="20"/>
            </w:pPr>
            <w:r>
              <w:rPr>
                <w:sz w:val="16"/>
              </w:rPr>
              <w:t>Built-in simulator is not hardware metering or payment evidence</w:t>
            </w:r>
          </w:p>
        </w:tc>
      </w:tr>
    </w:tbl>
    <w:p w14:paraId="7DAA2916" w14:textId="77777777" w:rsidR="0044532A" w:rsidRDefault="00000000">
      <w:pPr>
        <w:pStyle w:val="BodyText"/>
      </w:pPr>
      <w:r>
        <w:rPr>
          <w:b/>
          <w:bCs/>
        </w:rPr>
        <w:t>Two demonstration scenarios (proposal §1.5):</w:t>
      </w:r>
      <w:r>
        <w:t xml:space="preserve"> (A) residential sharing and JMB maintenance-cost recovery; (B) AI-assisted trip/charging planning.</w:t>
      </w:r>
    </w:p>
    <w:p w14:paraId="03F73253" w14:textId="77777777" w:rsidR="0044532A" w:rsidRDefault="00000000">
      <w:pPr>
        <w:pStyle w:val="Heading2"/>
      </w:pPr>
      <w:bookmarkStart w:id="7" w:name="system-architecture"/>
      <w:bookmarkEnd w:id="6"/>
      <w:r>
        <w:t>3. System architecture</w:t>
      </w:r>
    </w:p>
    <w:p w14:paraId="3D523AE6" w14:textId="77777777" w:rsidR="0044532A" w:rsidRDefault="00000000">
      <w:pPr>
        <w:pStyle w:val="FirstParagraph"/>
        <w:jc w:val="center"/>
      </w:pPr>
      <w:r>
        <w:rPr>
          <w:noProof/>
        </w:rPr>
        <w:drawing>
          <wp:inline distT="0" distB="0" distL="0" distR="0" wp14:anchorId="2E90E6A6" wp14:editId="07ED45C0">
            <wp:extent cx="5897880" cy="2603182"/>
            <wp:effectExtent l="0" t="0" r="0" b="0"/>
            <wp:docPr id="27" name="Picture" descr="CasSama logical component architecture"/>
            <wp:cNvGraphicFramePr/>
            <a:graphic xmlns:a="http://schemas.openxmlformats.org/drawingml/2006/main">
              <a:graphicData uri="http://schemas.openxmlformats.org/drawingml/2006/picture">
                <pic:pic xmlns:pic="http://schemas.openxmlformats.org/drawingml/2006/picture">
                  <pic:nvPicPr>
                    <pic:cNvPr id="28" name="Picture" descr="cassama_phase9_build/architecture.png"/>
                    <pic:cNvPicPr>
                      <a:picLocks noChangeAspect="1" noChangeArrowheads="1"/>
                    </pic:cNvPicPr>
                  </pic:nvPicPr>
                  <pic:blipFill>
                    <a:blip r:embed="rId7"/>
                    <a:stretch>
                      <a:fillRect/>
                    </a:stretch>
                  </pic:blipFill>
                  <pic:spPr bwMode="auto">
                    <a:xfrm>
                      <a:off x="0" y="0"/>
                      <a:ext cx="5897880" cy="2603182"/>
                    </a:xfrm>
                    <a:prstGeom prst="rect">
                      <a:avLst/>
                    </a:prstGeom>
                    <a:noFill/>
                    <a:ln w="9525">
                      <a:noFill/>
                      <a:headEnd/>
                      <a:tailEnd/>
                    </a:ln>
                  </pic:spPr>
                </pic:pic>
              </a:graphicData>
            </a:graphic>
          </wp:inline>
        </w:drawing>
      </w:r>
    </w:p>
    <w:p w14:paraId="16AA4B7F" w14:textId="77777777" w:rsidR="0044532A" w:rsidRDefault="00000000">
      <w:pPr>
        <w:pStyle w:val="BodyText"/>
        <w:jc w:val="center"/>
      </w:pPr>
      <w:r>
        <w:rPr>
          <w:b/>
          <w:bCs/>
          <w:i/>
          <w:color w:val="50655F"/>
          <w:sz w:val="16"/>
        </w:rPr>
        <w:t>Figure 1.</w:t>
      </w:r>
      <w:r>
        <w:rPr>
          <w:i/>
          <w:color w:val="50655F"/>
          <w:sz w:val="16"/>
        </w:rPr>
        <w:t xml:space="preserve"> Logical architecture reconstructed from application modules; dashed lines denote optional/provider interactions, not guaranteed always-on services.</w:t>
      </w:r>
    </w:p>
    <w:p w14:paraId="1E1EF49F" w14:textId="77777777" w:rsidR="0044532A" w:rsidRDefault="00000000">
      <w:pPr>
        <w:pStyle w:val="Heading3"/>
      </w:pPr>
      <w:bookmarkStart w:id="8" w:name="frontend"/>
      <w:r>
        <w:t>3.1 Frontend</w:t>
      </w:r>
    </w:p>
    <w:p w14:paraId="249B350E" w14:textId="77777777" w:rsidR="0044532A" w:rsidRDefault="00000000">
      <w:pPr>
        <w:pStyle w:val="FirstParagraph"/>
      </w:pPr>
      <w:r>
        <w:t xml:space="preserve">The application is a vanilla JavaScript single-page-style website built from </w:t>
      </w:r>
      <w:r>
        <w:rPr>
          <w:rStyle w:val="VerbatimChar"/>
        </w:rPr>
        <w:t>index.html</w:t>
      </w:r>
      <w:r>
        <w:t xml:space="preserve">, </w:t>
      </w:r>
      <w:r>
        <w:rPr>
          <w:rStyle w:val="VerbatimChar"/>
        </w:rPr>
        <w:t>app.js</w:t>
      </w:r>
      <w:r>
        <w:t xml:space="preserve">, </w:t>
      </w:r>
      <w:r>
        <w:rPr>
          <w:rStyle w:val="VerbatimChar"/>
        </w:rPr>
        <w:t>state.js</w:t>
      </w:r>
      <w:r>
        <w:t xml:space="preserve">, </w:t>
      </w:r>
      <w:r>
        <w:rPr>
          <w:rStyle w:val="VerbatimChar"/>
        </w:rPr>
        <w:t>views/*</w:t>
      </w:r>
      <w:r>
        <w:t xml:space="preserve"> and </w:t>
      </w:r>
      <w:r>
        <w:rPr>
          <w:rStyle w:val="VerbatimChar"/>
        </w:rPr>
        <w:t>styles.css</w:t>
      </w:r>
      <w:r>
        <w:t xml:space="preserve">. The driver navigation includes Home, Map, Plan, Activity and Account; JMB/CPO use </w:t>
      </w:r>
      <w:r>
        <w:rPr>
          <w:rStyle w:val="VerbatimChar"/>
        </w:rPr>
        <w:t>jmb.html</w:t>
      </w:r>
      <w:r>
        <w:t xml:space="preserve"> and JMB view modules. The frontend can render deterministic Plan/Map recommendations and AI chat results, and can initiate booking, check-in, demo charging and JMB workflows through </w:t>
      </w:r>
      <w:r>
        <w:rPr>
          <w:rStyle w:val="VerbatimChar"/>
        </w:rPr>
        <w:t>data/api.js</w:t>
      </w:r>
      <w:r>
        <w:t>.</w:t>
      </w:r>
    </w:p>
    <w:p w14:paraId="714F23E3" w14:textId="77777777" w:rsidR="0044532A" w:rsidRDefault="00000000">
      <w:pPr>
        <w:pStyle w:val="BodyText"/>
      </w:pPr>
      <w:r>
        <w:t xml:space="preserve">Client-side battery display is an estimate: on public charging demos a local simulation animates progress; on booking-linked residential demo sessions, Activity derives progress from interim OCPP simulator </w:t>
      </w:r>
      <w:r>
        <w:rPr>
          <w:rStyle w:val="VerbatimChar"/>
        </w:rPr>
        <w:t>MeterValues</w:t>
      </w:r>
      <w:r>
        <w:t xml:space="preserve"> returned by the charging-status API. Neither is a vehicle battery-management-system measurement.</w:t>
      </w:r>
    </w:p>
    <w:p w14:paraId="0420B873" w14:textId="77777777" w:rsidR="0044532A" w:rsidRDefault="00000000">
      <w:pPr>
        <w:pStyle w:val="Heading3"/>
      </w:pPr>
      <w:bookmarkStart w:id="9" w:name="backend-and-state"/>
      <w:bookmarkEnd w:id="8"/>
      <w:r>
        <w:lastRenderedPageBreak/>
        <w:t>3.2 Backend and state</w:t>
      </w:r>
    </w:p>
    <w:p w14:paraId="7650C65A" w14:textId="77777777" w:rsidR="0044532A" w:rsidRDefault="00000000">
      <w:pPr>
        <w:pStyle w:val="FirstParagraph"/>
      </w:pPr>
      <w:r>
        <w:rPr>
          <w:rStyle w:val="VerbatimChar"/>
        </w:rPr>
        <w:t>server/index.js</w:t>
      </w:r>
      <w:r>
        <w:t xml:space="preserve"> boots a Node.js 20+ Express service (normally </w:t>
      </w:r>
      <w:r>
        <w:rPr>
          <w:rStyle w:val="VerbatimChar"/>
        </w:rPr>
        <w:t>http://localhost:4300</w:t>
      </w:r>
      <w:r>
        <w:t xml:space="preserve">). </w:t>
      </w:r>
      <w:r>
        <w:rPr>
          <w:rStyle w:val="VerbatimChar"/>
        </w:rPr>
        <w:t>server/app.js</w:t>
      </w:r>
      <w:r>
        <w:t xml:space="preserve"> serves frontend assets and HTTP APIs. Authoritative booking and authentication decisions occur on the server; frontend predictions or AI suggestions are provisional. Shared configuration and pricing/forecast/booking engines reside in </w:t>
      </w:r>
      <w:r>
        <w:rPr>
          <w:rStyle w:val="VerbatimChar"/>
        </w:rPr>
        <w:t>engine/*</w:t>
      </w:r>
      <w:r>
        <w:t xml:space="preserve">, with charger, condominium, tariff and knowledge data under </w:t>
      </w:r>
      <w:r>
        <w:rPr>
          <w:rStyle w:val="VerbatimChar"/>
        </w:rPr>
        <w:t>data/*</w:t>
      </w:r>
      <w:r>
        <w:t>.</w:t>
      </w:r>
    </w:p>
    <w:p w14:paraId="13D65BD7" w14:textId="77777777" w:rsidR="0044532A" w:rsidRDefault="00000000">
      <w:pPr>
        <w:pStyle w:val="BodyText"/>
      </w:pPr>
      <w:r>
        <w:rPr>
          <w:rStyle w:val="VerbatimChar"/>
        </w:rPr>
        <w:t>server/store.js</w:t>
      </w:r>
      <w:r>
        <w:t xml:space="preserve"> persists bookings, resident-key metadata, policy proposals, charging sessions, maintenance and other state in a local JSON store. Files are written via private temporary-file replacement and mode </w:t>
      </w:r>
      <w:r>
        <w:rPr>
          <w:rStyle w:val="VerbatimChar"/>
        </w:rPr>
        <w:t>0600</w:t>
      </w:r>
      <w:r>
        <w:t xml:space="preserve">. This is suitable for </w:t>
      </w:r>
      <w:r>
        <w:rPr>
          <w:b/>
          <w:bCs/>
        </w:rPr>
        <w:t>single-process demo state</w:t>
      </w:r>
      <w:r>
        <w:t>, not for concurrent production server instances.</w:t>
      </w:r>
    </w:p>
    <w:p w14:paraId="218E0539" w14:textId="77777777" w:rsidR="0044532A" w:rsidRDefault="00000000">
      <w:pPr>
        <w:pStyle w:val="Heading3"/>
      </w:pPr>
      <w:bookmarkStart w:id="10" w:name="external-dependencies"/>
      <w:bookmarkEnd w:id="9"/>
      <w:r>
        <w:t>3.3 External dependencies</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67674BBD"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606B256F" w14:textId="77777777" w:rsidR="0044532A" w:rsidRDefault="00000000">
            <w:pPr>
              <w:pStyle w:val="Compact"/>
              <w:spacing w:before="20" w:after="20"/>
            </w:pPr>
            <w:r>
              <w:rPr>
                <w:b/>
                <w:sz w:val="16"/>
              </w:rPr>
              <w:t>External system</w:t>
            </w:r>
          </w:p>
        </w:tc>
        <w:tc>
          <w:tcPr>
            <w:tcW w:w="2640" w:type="dxa"/>
            <w:shd w:val="clear" w:color="auto" w:fill="DFEFE9"/>
            <w:vAlign w:val="center"/>
          </w:tcPr>
          <w:p w14:paraId="09880957" w14:textId="77777777" w:rsidR="0044532A" w:rsidRDefault="00000000">
            <w:pPr>
              <w:pStyle w:val="Compact"/>
              <w:spacing w:before="20" w:after="20"/>
            </w:pPr>
            <w:r>
              <w:rPr>
                <w:b/>
                <w:sz w:val="16"/>
              </w:rPr>
              <w:t>Function</w:t>
            </w:r>
          </w:p>
        </w:tc>
        <w:tc>
          <w:tcPr>
            <w:tcW w:w="2640" w:type="dxa"/>
            <w:shd w:val="clear" w:color="auto" w:fill="DFEFE9"/>
            <w:vAlign w:val="center"/>
          </w:tcPr>
          <w:p w14:paraId="42DB054E" w14:textId="77777777" w:rsidR="0044532A" w:rsidRDefault="00000000">
            <w:pPr>
              <w:pStyle w:val="Compact"/>
              <w:spacing w:before="20" w:after="20"/>
            </w:pPr>
            <w:r>
              <w:rPr>
                <w:b/>
                <w:sz w:val="16"/>
              </w:rPr>
              <w:t>Handling when unavailable</w:t>
            </w:r>
          </w:p>
        </w:tc>
      </w:tr>
      <w:tr w:rsidR="0044532A" w14:paraId="001796F7" w14:textId="77777777" w:rsidTr="0044532A">
        <w:trPr>
          <w:jc w:val="center"/>
        </w:trPr>
        <w:tc>
          <w:tcPr>
            <w:tcW w:w="2640" w:type="dxa"/>
            <w:vAlign w:val="center"/>
          </w:tcPr>
          <w:p w14:paraId="00D179AA" w14:textId="33DAC2C4" w:rsidR="0044532A" w:rsidRDefault="00823E7C">
            <w:pPr>
              <w:pStyle w:val="Compact"/>
              <w:spacing w:before="20" w:after="20"/>
            </w:pPr>
            <w:r>
              <w:rPr>
                <w:sz w:val="16"/>
              </w:rPr>
              <w:t>LLM</w:t>
            </w:r>
            <w:r w:rsidR="00000000">
              <w:rPr>
                <w:sz w:val="16"/>
              </w:rPr>
              <w:t xml:space="preserve"> API (OpenAI-compatible endpoint)</w:t>
            </w:r>
          </w:p>
        </w:tc>
        <w:tc>
          <w:tcPr>
            <w:tcW w:w="2640" w:type="dxa"/>
            <w:vAlign w:val="center"/>
          </w:tcPr>
          <w:p w14:paraId="7F3526BA" w14:textId="77777777" w:rsidR="0044532A" w:rsidRDefault="00000000">
            <w:pPr>
              <w:pStyle w:val="Compact"/>
              <w:spacing w:before="20" w:after="20"/>
            </w:pPr>
            <w:r>
              <w:rPr>
                <w:sz w:val="16"/>
              </w:rPr>
              <w:t>Natural-language orchestration and tool selection</w:t>
            </w:r>
          </w:p>
        </w:tc>
        <w:tc>
          <w:tcPr>
            <w:tcW w:w="2640" w:type="dxa"/>
            <w:vAlign w:val="center"/>
          </w:tcPr>
          <w:p w14:paraId="351BA1B6" w14:textId="77777777" w:rsidR="0044532A" w:rsidRDefault="00000000">
            <w:pPr>
              <w:pStyle w:val="Compact"/>
              <w:spacing w:before="20" w:after="20"/>
            </w:pPr>
            <w:r>
              <w:rPr>
                <w:sz w:val="16"/>
              </w:rPr>
              <w:t>Deterministic trip parser and Map/Plan recommendations remain available</w:t>
            </w:r>
          </w:p>
        </w:tc>
      </w:tr>
      <w:tr w:rsidR="0044532A" w14:paraId="34A9E0A9" w14:textId="77777777" w:rsidTr="0044532A">
        <w:trPr>
          <w:jc w:val="center"/>
        </w:trPr>
        <w:tc>
          <w:tcPr>
            <w:tcW w:w="2640" w:type="dxa"/>
            <w:vAlign w:val="center"/>
          </w:tcPr>
          <w:p w14:paraId="24073F06" w14:textId="77777777" w:rsidR="0044532A" w:rsidRDefault="00000000">
            <w:pPr>
              <w:pStyle w:val="Compact"/>
              <w:spacing w:before="20" w:after="20"/>
            </w:pPr>
            <w:r>
              <w:rPr>
                <w:sz w:val="16"/>
              </w:rPr>
              <w:t>Open Charge Map</w:t>
            </w:r>
          </w:p>
        </w:tc>
        <w:tc>
          <w:tcPr>
            <w:tcW w:w="2640" w:type="dxa"/>
            <w:vAlign w:val="center"/>
          </w:tcPr>
          <w:p w14:paraId="450992FC" w14:textId="77777777" w:rsidR="0044532A" w:rsidRDefault="00000000">
            <w:pPr>
              <w:pStyle w:val="Compact"/>
              <w:spacing w:before="20" w:after="20"/>
            </w:pPr>
            <w:r>
              <w:rPr>
                <w:sz w:val="16"/>
              </w:rPr>
              <w:t>Public charger data when configured</w:t>
            </w:r>
          </w:p>
        </w:tc>
        <w:tc>
          <w:tcPr>
            <w:tcW w:w="2640" w:type="dxa"/>
            <w:vAlign w:val="center"/>
          </w:tcPr>
          <w:p w14:paraId="1B58B1CE" w14:textId="77777777" w:rsidR="0044532A" w:rsidRDefault="00000000">
            <w:pPr>
              <w:pStyle w:val="Compact"/>
              <w:spacing w:before="20" w:after="20"/>
            </w:pPr>
            <w:r>
              <w:rPr>
                <w:sz w:val="16"/>
              </w:rPr>
              <w:t>Cached data or built-in demonstration charger list</w:t>
            </w:r>
          </w:p>
        </w:tc>
      </w:tr>
      <w:tr w:rsidR="0044532A" w14:paraId="012ED387" w14:textId="77777777" w:rsidTr="0044532A">
        <w:trPr>
          <w:jc w:val="center"/>
        </w:trPr>
        <w:tc>
          <w:tcPr>
            <w:tcW w:w="2640" w:type="dxa"/>
            <w:vAlign w:val="center"/>
          </w:tcPr>
          <w:p w14:paraId="741C8F67" w14:textId="77777777" w:rsidR="0044532A" w:rsidRDefault="00000000">
            <w:pPr>
              <w:pStyle w:val="Compact"/>
              <w:spacing w:before="20" w:after="20"/>
            </w:pPr>
            <w:r>
              <w:rPr>
                <w:sz w:val="16"/>
              </w:rPr>
              <w:t>OSRM / Photon</w:t>
            </w:r>
          </w:p>
        </w:tc>
        <w:tc>
          <w:tcPr>
            <w:tcW w:w="2640" w:type="dxa"/>
            <w:vAlign w:val="center"/>
          </w:tcPr>
          <w:p w14:paraId="06B664B9" w14:textId="77777777" w:rsidR="0044532A" w:rsidRDefault="00000000">
            <w:pPr>
              <w:pStyle w:val="Compact"/>
              <w:spacing w:before="20" w:after="20"/>
            </w:pPr>
            <w:r>
              <w:rPr>
                <w:sz w:val="16"/>
              </w:rPr>
              <w:t>Road-routing and place search</w:t>
            </w:r>
          </w:p>
        </w:tc>
        <w:tc>
          <w:tcPr>
            <w:tcW w:w="2640" w:type="dxa"/>
            <w:vAlign w:val="center"/>
          </w:tcPr>
          <w:p w14:paraId="1E42BBE4" w14:textId="77777777" w:rsidR="0044532A" w:rsidRDefault="00000000">
            <w:pPr>
              <w:pStyle w:val="Compact"/>
              <w:spacing w:before="20" w:after="20"/>
            </w:pPr>
            <w:r>
              <w:rPr>
                <w:sz w:val="16"/>
              </w:rPr>
              <w:t>Built-in locations, estimates and reduced route functionality</w:t>
            </w:r>
          </w:p>
        </w:tc>
      </w:tr>
      <w:tr w:rsidR="0044532A" w14:paraId="34C4CD17" w14:textId="77777777" w:rsidTr="0044532A">
        <w:trPr>
          <w:jc w:val="center"/>
        </w:trPr>
        <w:tc>
          <w:tcPr>
            <w:tcW w:w="2640" w:type="dxa"/>
            <w:vAlign w:val="center"/>
          </w:tcPr>
          <w:p w14:paraId="7C759045" w14:textId="77777777" w:rsidR="0044532A" w:rsidRDefault="00000000">
            <w:pPr>
              <w:pStyle w:val="Compact"/>
              <w:spacing w:before="20" w:after="20"/>
            </w:pPr>
            <w:r>
              <w:rPr>
                <w:sz w:val="16"/>
              </w:rPr>
              <w:t>TomTom (optional)</w:t>
            </w:r>
          </w:p>
        </w:tc>
        <w:tc>
          <w:tcPr>
            <w:tcW w:w="2640" w:type="dxa"/>
            <w:vAlign w:val="center"/>
          </w:tcPr>
          <w:p w14:paraId="452CAA0B" w14:textId="77777777" w:rsidR="0044532A" w:rsidRDefault="00000000">
            <w:pPr>
              <w:pStyle w:val="Compact"/>
              <w:spacing w:before="20" w:after="20"/>
            </w:pPr>
            <w:r>
              <w:rPr>
                <w:sz w:val="16"/>
              </w:rPr>
              <w:t>Traffic and station data with configured server key</w:t>
            </w:r>
          </w:p>
        </w:tc>
        <w:tc>
          <w:tcPr>
            <w:tcW w:w="2640" w:type="dxa"/>
            <w:vAlign w:val="center"/>
          </w:tcPr>
          <w:p w14:paraId="5D843A7E" w14:textId="77777777" w:rsidR="0044532A" w:rsidRDefault="00000000">
            <w:pPr>
              <w:pStyle w:val="Compact"/>
              <w:spacing w:before="20" w:after="20"/>
            </w:pPr>
            <w:r>
              <w:rPr>
                <w:sz w:val="16"/>
              </w:rPr>
              <w:t>Routes and recommendations retain non-live estimates</w:t>
            </w:r>
          </w:p>
        </w:tc>
      </w:tr>
      <w:tr w:rsidR="0044532A" w14:paraId="6F74734A" w14:textId="77777777" w:rsidTr="0044532A">
        <w:trPr>
          <w:jc w:val="center"/>
        </w:trPr>
        <w:tc>
          <w:tcPr>
            <w:tcW w:w="2640" w:type="dxa"/>
            <w:vAlign w:val="center"/>
          </w:tcPr>
          <w:p w14:paraId="7CFCB29C" w14:textId="77777777" w:rsidR="0044532A" w:rsidRDefault="00000000">
            <w:pPr>
              <w:pStyle w:val="Compact"/>
              <w:spacing w:before="20" w:after="20"/>
            </w:pPr>
            <w:r>
              <w:rPr>
                <w:sz w:val="16"/>
              </w:rPr>
              <w:t>OCPP 1.6-J WebSocket</w:t>
            </w:r>
          </w:p>
        </w:tc>
        <w:tc>
          <w:tcPr>
            <w:tcW w:w="2640" w:type="dxa"/>
            <w:vAlign w:val="center"/>
          </w:tcPr>
          <w:p w14:paraId="055D00EA" w14:textId="77777777" w:rsidR="0044532A" w:rsidRDefault="00000000">
            <w:pPr>
              <w:pStyle w:val="Compact"/>
              <w:spacing w:before="20" w:after="20"/>
            </w:pPr>
            <w:r>
              <w:rPr>
                <w:sz w:val="16"/>
              </w:rPr>
              <w:t>Charger telemetry and transaction lifecycle</w:t>
            </w:r>
          </w:p>
        </w:tc>
        <w:tc>
          <w:tcPr>
            <w:tcW w:w="2640" w:type="dxa"/>
            <w:vAlign w:val="center"/>
          </w:tcPr>
          <w:p w14:paraId="5BF8B63F" w14:textId="77777777" w:rsidR="0044532A" w:rsidRDefault="00000000">
            <w:pPr>
              <w:pStyle w:val="Compact"/>
              <w:spacing w:before="20" w:after="20"/>
            </w:pPr>
            <w:r>
              <w:rPr>
                <w:sz w:val="16"/>
              </w:rPr>
              <w:t>Built-in simulator for controlled demos; no live hardware claim</w:t>
            </w:r>
          </w:p>
        </w:tc>
      </w:tr>
    </w:tbl>
    <w:p w14:paraId="6177C701" w14:textId="77777777" w:rsidR="0044532A" w:rsidRDefault="00000000">
      <w:pPr>
        <w:pStyle w:val="BodyText"/>
      </w:pPr>
      <w:r>
        <w:t>The actual availability, tariff and accuracy of third-party data depend on the provider and freshness of its records. A recommended charger is not a guaranteed free physical bay.</w:t>
      </w:r>
    </w:p>
    <w:p w14:paraId="4B1A6B92" w14:textId="77777777" w:rsidR="0044532A" w:rsidRDefault="00000000">
      <w:pPr>
        <w:pStyle w:val="Heading2"/>
      </w:pPr>
      <w:bookmarkStart w:id="11" w:name="ai-agent-architecture-and-guardrails"/>
      <w:bookmarkEnd w:id="7"/>
      <w:bookmarkEnd w:id="10"/>
      <w:r>
        <w:lastRenderedPageBreak/>
        <w:t>4. AI agent architecture and guardrails</w:t>
      </w:r>
    </w:p>
    <w:p w14:paraId="4F9DA3B1" w14:textId="64C89F07" w:rsidR="0044532A" w:rsidRDefault="00823E7C">
      <w:pPr>
        <w:pStyle w:val="FirstParagraph"/>
        <w:jc w:val="center"/>
      </w:pPr>
      <w:r>
        <w:rPr>
          <w:noProof/>
        </w:rPr>
        <w:drawing>
          <wp:inline distT="0" distB="0" distL="0" distR="0" wp14:anchorId="72799C17" wp14:editId="2542F6DF">
            <wp:extent cx="3316190" cy="6852621"/>
            <wp:effectExtent l="0" t="0" r="0" b="0"/>
            <wp:docPr id="164281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14133" name="Picture 1642814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4398" cy="6910910"/>
                    </a:xfrm>
                    <a:prstGeom prst="rect">
                      <a:avLst/>
                    </a:prstGeom>
                  </pic:spPr>
                </pic:pic>
              </a:graphicData>
            </a:graphic>
          </wp:inline>
        </w:drawing>
      </w:r>
    </w:p>
    <w:p w14:paraId="6D9DAD77" w14:textId="77777777" w:rsidR="0044532A" w:rsidRDefault="00000000">
      <w:pPr>
        <w:pStyle w:val="BodyText"/>
        <w:jc w:val="center"/>
      </w:pPr>
      <w:r>
        <w:rPr>
          <w:b/>
          <w:bCs/>
          <w:i/>
          <w:color w:val="50655F"/>
          <w:sz w:val="16"/>
        </w:rPr>
        <w:t>Figure 2.</w:t>
      </w:r>
      <w:r>
        <w:rPr>
          <w:i/>
          <w:color w:val="50655F"/>
          <w:sz w:val="16"/>
        </w:rPr>
        <w:t xml:space="preserve"> Conversational tool-calling workflow and server-side booking confirmation boundary.</w:t>
      </w:r>
    </w:p>
    <w:p w14:paraId="5514AB36" w14:textId="77777777" w:rsidR="0044532A" w:rsidRDefault="00000000">
      <w:pPr>
        <w:pStyle w:val="Heading3"/>
      </w:pPr>
      <w:bookmarkStart w:id="12" w:name="design-choice"/>
      <w:r>
        <w:t>4.1 Design choice</w:t>
      </w:r>
    </w:p>
    <w:p w14:paraId="14F90F8F" w14:textId="76195B12" w:rsidR="0044532A" w:rsidRDefault="00000000">
      <w:pPr>
        <w:pStyle w:val="FirstParagraph"/>
      </w:pPr>
      <w:r>
        <w:t xml:space="preserve">The language model is an </w:t>
      </w:r>
      <w:r>
        <w:rPr>
          <w:b/>
          <w:bCs/>
        </w:rPr>
        <w:t>orchestrator</w:t>
      </w:r>
      <w:r>
        <w:t xml:space="preserve">, not the pricing or capacity authority. </w:t>
      </w:r>
      <w:r>
        <w:rPr>
          <w:rStyle w:val="VerbatimChar"/>
        </w:rPr>
        <w:t>server/agent.js</w:t>
      </w:r>
      <w:r>
        <w:t xml:space="preserve"> runs an OpenAI-compatible chat-completion loop with a limited recent-turn history (last six messages), at most four tool rounds and eight tool calls per round. </w:t>
      </w:r>
      <w:r>
        <w:rPr>
          <w:rStyle w:val="VerbatimChar"/>
        </w:rPr>
        <w:t>engine/agent.js</w:t>
      </w:r>
      <w:r>
        <w:t xml:space="preserve"> defines function schemas, deterministic tool implementations, prompts, input validation and output grounding. The repository defaults to Qwen/DashScope settings, while environment variables allow switching to a compatible provider. </w:t>
      </w:r>
      <w:r w:rsidRPr="00823E7C">
        <w:rPr>
          <w:highlight w:val="yellow"/>
        </w:rPr>
        <w:t xml:space="preserve">Gemini </w:t>
      </w:r>
      <w:r w:rsidRPr="00823E7C">
        <w:rPr>
          <w:rStyle w:val="VerbatimChar"/>
          <w:highlight w:val="yellow"/>
        </w:rPr>
        <w:t>gemini-2.5-flas</w:t>
      </w:r>
      <w:r w:rsidR="00823E7C" w:rsidRPr="00823E7C">
        <w:rPr>
          <w:rStyle w:val="VerbatimChar"/>
          <w:highlight w:val="yellow"/>
        </w:rPr>
        <w:t>h (Change to appropriate model)</w:t>
      </w:r>
      <w:r>
        <w:t xml:space="preserve"> was exercised successfully by the user in Phase 7.</w:t>
      </w:r>
    </w:p>
    <w:p w14:paraId="31D6ABBB" w14:textId="77777777" w:rsidR="0044532A" w:rsidRDefault="00000000">
      <w:pPr>
        <w:pStyle w:val="Heading3"/>
      </w:pPr>
      <w:bookmarkStart w:id="13" w:name="specialised-tools"/>
      <w:bookmarkEnd w:id="12"/>
      <w:r>
        <w:lastRenderedPageBreak/>
        <w:t>4.2 Specialised tools</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2FC0FA72"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1386E30D" w14:textId="77777777" w:rsidR="0044532A" w:rsidRDefault="00000000">
            <w:pPr>
              <w:pStyle w:val="Compact"/>
              <w:spacing w:before="20" w:after="20"/>
            </w:pPr>
            <w:r>
              <w:rPr>
                <w:b/>
                <w:sz w:val="16"/>
              </w:rPr>
              <w:t>Tool</w:t>
            </w:r>
          </w:p>
        </w:tc>
        <w:tc>
          <w:tcPr>
            <w:tcW w:w="2640" w:type="dxa"/>
            <w:shd w:val="clear" w:color="auto" w:fill="DFEFE9"/>
            <w:vAlign w:val="center"/>
          </w:tcPr>
          <w:p w14:paraId="38C13374" w14:textId="77777777" w:rsidR="0044532A" w:rsidRDefault="00000000">
            <w:pPr>
              <w:pStyle w:val="Compact"/>
              <w:spacing w:before="20" w:after="20"/>
            </w:pPr>
            <w:r>
              <w:rPr>
                <w:b/>
                <w:sz w:val="16"/>
              </w:rPr>
              <w:t>Implementation role</w:t>
            </w:r>
          </w:p>
        </w:tc>
        <w:tc>
          <w:tcPr>
            <w:tcW w:w="2640" w:type="dxa"/>
            <w:shd w:val="clear" w:color="auto" w:fill="DFEFE9"/>
            <w:vAlign w:val="center"/>
          </w:tcPr>
          <w:p w14:paraId="66DFB8CA" w14:textId="77777777" w:rsidR="0044532A" w:rsidRDefault="00000000">
            <w:pPr>
              <w:pStyle w:val="Compact"/>
              <w:spacing w:before="20" w:after="20"/>
            </w:pPr>
            <w:r>
              <w:rPr>
                <w:b/>
                <w:sz w:val="16"/>
              </w:rPr>
              <w:t>Source</w:t>
            </w:r>
          </w:p>
        </w:tc>
      </w:tr>
      <w:tr w:rsidR="0044532A" w14:paraId="38FA401A" w14:textId="77777777" w:rsidTr="0044532A">
        <w:trPr>
          <w:jc w:val="center"/>
        </w:trPr>
        <w:tc>
          <w:tcPr>
            <w:tcW w:w="2640" w:type="dxa"/>
            <w:vAlign w:val="center"/>
          </w:tcPr>
          <w:p w14:paraId="1954B1D2" w14:textId="77777777" w:rsidR="0044532A" w:rsidRDefault="00000000">
            <w:pPr>
              <w:pStyle w:val="Compact"/>
              <w:spacing w:before="20" w:after="20"/>
            </w:pPr>
            <w:r>
              <w:rPr>
                <w:rStyle w:val="VerbatimChar"/>
                <w:rFonts w:ascii="Aptos" w:hAnsi="Aptos"/>
                <w:sz w:val="16"/>
              </w:rPr>
              <w:t>find_chargers</w:t>
            </w:r>
          </w:p>
        </w:tc>
        <w:tc>
          <w:tcPr>
            <w:tcW w:w="2640" w:type="dxa"/>
            <w:vAlign w:val="center"/>
          </w:tcPr>
          <w:p w14:paraId="613686ED" w14:textId="77777777" w:rsidR="0044532A" w:rsidRDefault="00000000">
            <w:pPr>
              <w:pStyle w:val="Compact"/>
              <w:spacing w:before="20" w:after="20"/>
            </w:pPr>
            <w:r>
              <w:rPr>
                <w:sz w:val="16"/>
              </w:rPr>
              <w:t>Rank compatible chargers by battery-sensitive preferences, costs, detour and reliability</w:t>
            </w:r>
          </w:p>
        </w:tc>
        <w:tc>
          <w:tcPr>
            <w:tcW w:w="2640" w:type="dxa"/>
            <w:vAlign w:val="center"/>
          </w:tcPr>
          <w:p w14:paraId="03E31070" w14:textId="77777777" w:rsidR="0044532A" w:rsidRDefault="00000000">
            <w:pPr>
              <w:pStyle w:val="Compact"/>
              <w:spacing w:before="20" w:after="20"/>
            </w:pPr>
            <w:r>
              <w:rPr>
                <w:rStyle w:val="VerbatimChar"/>
                <w:rFonts w:ascii="Aptos" w:hAnsi="Aptos"/>
                <w:sz w:val="16"/>
              </w:rPr>
              <w:t>engine/score.js</w:t>
            </w:r>
          </w:p>
        </w:tc>
      </w:tr>
      <w:tr w:rsidR="0044532A" w14:paraId="3869F094" w14:textId="77777777" w:rsidTr="0044532A">
        <w:trPr>
          <w:jc w:val="center"/>
        </w:trPr>
        <w:tc>
          <w:tcPr>
            <w:tcW w:w="2640" w:type="dxa"/>
            <w:vAlign w:val="center"/>
          </w:tcPr>
          <w:p w14:paraId="7379EDC0" w14:textId="77777777" w:rsidR="0044532A" w:rsidRDefault="00000000">
            <w:pPr>
              <w:pStyle w:val="Compact"/>
              <w:spacing w:before="20" w:after="20"/>
            </w:pPr>
            <w:r>
              <w:rPr>
                <w:rStyle w:val="VerbatimChar"/>
                <w:rFonts w:ascii="Aptos" w:hAnsi="Aptos"/>
                <w:sz w:val="16"/>
              </w:rPr>
              <w:t>plan_trip</w:t>
            </w:r>
          </w:p>
        </w:tc>
        <w:tc>
          <w:tcPr>
            <w:tcW w:w="2640" w:type="dxa"/>
            <w:vAlign w:val="center"/>
          </w:tcPr>
          <w:p w14:paraId="27A2C375" w14:textId="77777777" w:rsidR="0044532A" w:rsidRDefault="00000000">
            <w:pPr>
              <w:pStyle w:val="Compact"/>
              <w:spacing w:before="20" w:after="20"/>
            </w:pPr>
            <w:r>
              <w:rPr>
                <w:sz w:val="16"/>
              </w:rPr>
              <w:t>Plan longer journeys with estimated fast-charging stops and energy constraints</w:t>
            </w:r>
          </w:p>
        </w:tc>
        <w:tc>
          <w:tcPr>
            <w:tcW w:w="2640" w:type="dxa"/>
            <w:vAlign w:val="center"/>
          </w:tcPr>
          <w:p w14:paraId="2A3117C7" w14:textId="77777777" w:rsidR="0044532A" w:rsidRDefault="00000000">
            <w:pPr>
              <w:pStyle w:val="Compact"/>
              <w:spacing w:before="20" w:after="20"/>
            </w:pPr>
            <w:r>
              <w:rPr>
                <w:rStyle w:val="VerbatimChar"/>
                <w:rFonts w:ascii="Aptos" w:hAnsi="Aptos"/>
                <w:sz w:val="16"/>
              </w:rPr>
              <w:t>engine/trip.js</w:t>
            </w:r>
          </w:p>
        </w:tc>
      </w:tr>
      <w:tr w:rsidR="0044532A" w14:paraId="31E59564" w14:textId="77777777" w:rsidTr="0044532A">
        <w:trPr>
          <w:jc w:val="center"/>
        </w:trPr>
        <w:tc>
          <w:tcPr>
            <w:tcW w:w="2640" w:type="dxa"/>
            <w:vAlign w:val="center"/>
          </w:tcPr>
          <w:p w14:paraId="533F3BF3" w14:textId="77777777" w:rsidR="0044532A" w:rsidRDefault="00000000">
            <w:pPr>
              <w:pStyle w:val="Compact"/>
              <w:spacing w:before="20" w:after="20"/>
            </w:pPr>
            <w:r>
              <w:rPr>
                <w:rStyle w:val="VerbatimChar"/>
                <w:rFonts w:ascii="Aptos" w:hAnsi="Aptos"/>
                <w:sz w:val="16"/>
              </w:rPr>
              <w:t>best_time</w:t>
            </w:r>
          </w:p>
        </w:tc>
        <w:tc>
          <w:tcPr>
            <w:tcW w:w="2640" w:type="dxa"/>
            <w:vAlign w:val="center"/>
          </w:tcPr>
          <w:p w14:paraId="3BEBBF7B" w14:textId="77777777" w:rsidR="0044532A" w:rsidRDefault="00000000">
            <w:pPr>
              <w:pStyle w:val="Compact"/>
              <w:spacing w:before="20" w:after="20"/>
            </w:pPr>
            <w:r>
              <w:rPr>
                <w:sz w:val="16"/>
              </w:rPr>
              <w:t xml:space="preserve">Compare </w:t>
            </w:r>
            <w:r>
              <w:rPr>
                <w:b/>
                <w:bCs/>
                <w:sz w:val="16"/>
              </w:rPr>
              <w:t>estimated hourly</w:t>
            </w:r>
            <w:r>
              <w:rPr>
                <w:sz w:val="16"/>
              </w:rPr>
              <w:t xml:space="preserve"> costs/occupancy over the next 24 hours</w:t>
            </w:r>
          </w:p>
        </w:tc>
        <w:tc>
          <w:tcPr>
            <w:tcW w:w="2640" w:type="dxa"/>
            <w:vAlign w:val="center"/>
          </w:tcPr>
          <w:p w14:paraId="5E1DA23B" w14:textId="77777777" w:rsidR="0044532A" w:rsidRDefault="00000000">
            <w:pPr>
              <w:pStyle w:val="Compact"/>
              <w:spacing w:before="20" w:after="20"/>
            </w:pPr>
            <w:r>
              <w:rPr>
                <w:rStyle w:val="VerbatimChar"/>
                <w:rFonts w:ascii="Aptos" w:hAnsi="Aptos"/>
                <w:sz w:val="16"/>
              </w:rPr>
              <w:t>engine/schedule.js</w:t>
            </w:r>
          </w:p>
        </w:tc>
      </w:tr>
      <w:tr w:rsidR="0044532A" w14:paraId="5255BFA9" w14:textId="77777777" w:rsidTr="0044532A">
        <w:trPr>
          <w:jc w:val="center"/>
        </w:trPr>
        <w:tc>
          <w:tcPr>
            <w:tcW w:w="2640" w:type="dxa"/>
            <w:vAlign w:val="center"/>
          </w:tcPr>
          <w:p w14:paraId="4FA0DCA4" w14:textId="77777777" w:rsidR="0044532A" w:rsidRDefault="00000000">
            <w:pPr>
              <w:pStyle w:val="Compact"/>
              <w:spacing w:before="20" w:after="20"/>
            </w:pPr>
            <w:r>
              <w:rPr>
                <w:rStyle w:val="VerbatimChar"/>
                <w:rFonts w:ascii="Aptos" w:hAnsi="Aptos"/>
                <w:sz w:val="16"/>
              </w:rPr>
              <w:t>estimate_cost</w:t>
            </w:r>
          </w:p>
        </w:tc>
        <w:tc>
          <w:tcPr>
            <w:tcW w:w="2640" w:type="dxa"/>
            <w:vAlign w:val="center"/>
          </w:tcPr>
          <w:p w14:paraId="693D6C12" w14:textId="77777777" w:rsidR="0044532A" w:rsidRDefault="00000000">
            <w:pPr>
              <w:pStyle w:val="Compact"/>
              <w:spacing w:before="20" w:after="20"/>
            </w:pPr>
            <w:r>
              <w:rPr>
                <w:sz w:val="16"/>
              </w:rPr>
              <w:t>Multiply validated kWh by the relevant charger tariff</w:t>
            </w:r>
          </w:p>
        </w:tc>
        <w:tc>
          <w:tcPr>
            <w:tcW w:w="2640" w:type="dxa"/>
            <w:vAlign w:val="center"/>
          </w:tcPr>
          <w:p w14:paraId="7467EF57" w14:textId="77777777" w:rsidR="0044532A" w:rsidRDefault="00000000">
            <w:pPr>
              <w:pStyle w:val="Compact"/>
              <w:spacing w:before="20" w:after="20"/>
            </w:pPr>
            <w:r>
              <w:rPr>
                <w:rStyle w:val="VerbatimChar"/>
                <w:rFonts w:ascii="Aptos" w:hAnsi="Aptos"/>
                <w:sz w:val="16"/>
              </w:rPr>
              <w:t>engine/pricing.js</w:t>
            </w:r>
          </w:p>
        </w:tc>
      </w:tr>
      <w:tr w:rsidR="0044532A" w14:paraId="3B3D9A28" w14:textId="77777777" w:rsidTr="0044532A">
        <w:trPr>
          <w:jc w:val="center"/>
        </w:trPr>
        <w:tc>
          <w:tcPr>
            <w:tcW w:w="2640" w:type="dxa"/>
            <w:vAlign w:val="center"/>
          </w:tcPr>
          <w:p w14:paraId="3EA6952E" w14:textId="77777777" w:rsidR="0044532A" w:rsidRDefault="00000000">
            <w:pPr>
              <w:pStyle w:val="Compact"/>
              <w:spacing w:before="20" w:after="20"/>
            </w:pPr>
            <w:r>
              <w:rPr>
                <w:rStyle w:val="VerbatimChar"/>
                <w:rFonts w:ascii="Aptos" w:hAnsi="Aptos"/>
                <w:sz w:val="16"/>
              </w:rPr>
              <w:t>condo_revenue</w:t>
            </w:r>
          </w:p>
        </w:tc>
        <w:tc>
          <w:tcPr>
            <w:tcW w:w="2640" w:type="dxa"/>
            <w:vAlign w:val="center"/>
          </w:tcPr>
          <w:p w14:paraId="17B5D6F0" w14:textId="77777777" w:rsidR="0044532A" w:rsidRDefault="00000000">
            <w:pPr>
              <w:pStyle w:val="Compact"/>
              <w:spacing w:before="20" w:after="20"/>
            </w:pPr>
            <w:r>
              <w:rPr>
                <w:sz w:val="16"/>
              </w:rPr>
              <w:t>Simulate monthly utilisation, forecast receipts, cost recovery and idle hours</w:t>
            </w:r>
          </w:p>
        </w:tc>
        <w:tc>
          <w:tcPr>
            <w:tcW w:w="2640" w:type="dxa"/>
            <w:vAlign w:val="center"/>
          </w:tcPr>
          <w:p w14:paraId="360364C5" w14:textId="77777777" w:rsidR="0044532A" w:rsidRDefault="00000000">
            <w:pPr>
              <w:pStyle w:val="Compact"/>
              <w:spacing w:before="20" w:after="20"/>
            </w:pPr>
            <w:r>
              <w:rPr>
                <w:rStyle w:val="VerbatimChar"/>
                <w:rFonts w:ascii="Aptos" w:hAnsi="Aptos"/>
                <w:sz w:val="16"/>
              </w:rPr>
              <w:t>engine/economics.js</w:t>
            </w:r>
            <w:r>
              <w:rPr>
                <w:sz w:val="16"/>
              </w:rPr>
              <w:t xml:space="preserve">, </w:t>
            </w:r>
            <w:r>
              <w:rPr>
                <w:rStyle w:val="VerbatimChar"/>
                <w:rFonts w:ascii="Aptos" w:hAnsi="Aptos"/>
                <w:sz w:val="16"/>
              </w:rPr>
              <w:t>engine/recovery.js</w:t>
            </w:r>
          </w:p>
        </w:tc>
      </w:tr>
      <w:tr w:rsidR="0044532A" w14:paraId="78271B40" w14:textId="77777777" w:rsidTr="0044532A">
        <w:trPr>
          <w:jc w:val="center"/>
        </w:trPr>
        <w:tc>
          <w:tcPr>
            <w:tcW w:w="2640" w:type="dxa"/>
            <w:vAlign w:val="center"/>
          </w:tcPr>
          <w:p w14:paraId="454FBA09" w14:textId="77777777" w:rsidR="0044532A" w:rsidRDefault="00000000">
            <w:pPr>
              <w:pStyle w:val="Compact"/>
              <w:spacing w:before="20" w:after="20"/>
            </w:pPr>
            <w:r>
              <w:rPr>
                <w:rStyle w:val="VerbatimChar"/>
                <w:rFonts w:ascii="Aptos" w:hAnsi="Aptos"/>
                <w:sz w:val="16"/>
              </w:rPr>
              <w:t>search_knowledge</w:t>
            </w:r>
          </w:p>
        </w:tc>
        <w:tc>
          <w:tcPr>
            <w:tcW w:w="2640" w:type="dxa"/>
            <w:vAlign w:val="center"/>
          </w:tcPr>
          <w:p w14:paraId="1EA0CC61" w14:textId="77777777" w:rsidR="0044532A" w:rsidRDefault="00000000">
            <w:pPr>
              <w:pStyle w:val="Compact"/>
              <w:spacing w:before="20" w:after="20"/>
            </w:pPr>
            <w:r>
              <w:rPr>
                <w:sz w:val="16"/>
              </w:rPr>
              <w:t>Retrieve curated facts about CasSama rules and tariff assumptions</w:t>
            </w:r>
          </w:p>
        </w:tc>
        <w:tc>
          <w:tcPr>
            <w:tcW w:w="2640" w:type="dxa"/>
            <w:vAlign w:val="center"/>
          </w:tcPr>
          <w:p w14:paraId="19CD684D" w14:textId="77777777" w:rsidR="0044532A" w:rsidRDefault="00000000">
            <w:pPr>
              <w:pStyle w:val="Compact"/>
              <w:spacing w:before="20" w:after="20"/>
            </w:pPr>
            <w:r>
              <w:rPr>
                <w:rStyle w:val="VerbatimChar"/>
                <w:rFonts w:ascii="Aptos" w:hAnsi="Aptos"/>
                <w:sz w:val="16"/>
              </w:rPr>
              <w:t>engine/kb.js</w:t>
            </w:r>
            <w:r>
              <w:rPr>
                <w:sz w:val="16"/>
              </w:rPr>
              <w:t xml:space="preserve">, </w:t>
            </w:r>
            <w:r>
              <w:rPr>
                <w:rStyle w:val="VerbatimChar"/>
                <w:rFonts w:ascii="Aptos" w:hAnsi="Aptos"/>
                <w:sz w:val="16"/>
              </w:rPr>
              <w:t>data/knowledge.js</w:t>
            </w:r>
          </w:p>
        </w:tc>
      </w:tr>
      <w:tr w:rsidR="0044532A" w14:paraId="125C40DB" w14:textId="77777777" w:rsidTr="0044532A">
        <w:trPr>
          <w:jc w:val="center"/>
        </w:trPr>
        <w:tc>
          <w:tcPr>
            <w:tcW w:w="2640" w:type="dxa"/>
            <w:vAlign w:val="center"/>
          </w:tcPr>
          <w:p w14:paraId="0F4D58D2" w14:textId="77777777" w:rsidR="0044532A" w:rsidRDefault="00000000">
            <w:pPr>
              <w:pStyle w:val="Compact"/>
              <w:spacing w:before="20" w:after="20"/>
            </w:pPr>
            <w:r>
              <w:rPr>
                <w:rStyle w:val="VerbatimChar"/>
                <w:rFonts w:ascii="Aptos" w:hAnsi="Aptos"/>
                <w:sz w:val="16"/>
              </w:rPr>
              <w:t>propose_booking</w:t>
            </w:r>
          </w:p>
        </w:tc>
        <w:tc>
          <w:tcPr>
            <w:tcW w:w="2640" w:type="dxa"/>
            <w:vAlign w:val="center"/>
          </w:tcPr>
          <w:p w14:paraId="2555196D" w14:textId="77777777" w:rsidR="0044532A" w:rsidRDefault="00000000">
            <w:pPr>
              <w:pStyle w:val="Compact"/>
              <w:spacing w:before="20" w:after="20"/>
            </w:pPr>
            <w:r>
              <w:rPr>
                <w:sz w:val="16"/>
              </w:rPr>
              <w:t>Perform preliminary residential eligibility screening and produce a confirmation action</w:t>
            </w:r>
          </w:p>
        </w:tc>
        <w:tc>
          <w:tcPr>
            <w:tcW w:w="2640" w:type="dxa"/>
            <w:vAlign w:val="center"/>
          </w:tcPr>
          <w:p w14:paraId="4CBD39B9" w14:textId="77777777" w:rsidR="0044532A" w:rsidRDefault="00000000">
            <w:pPr>
              <w:pStyle w:val="Compact"/>
              <w:spacing w:before="20" w:after="20"/>
            </w:pPr>
            <w:r>
              <w:rPr>
                <w:rStyle w:val="VerbatimChar"/>
                <w:rFonts w:ascii="Aptos" w:hAnsi="Aptos"/>
                <w:sz w:val="16"/>
              </w:rPr>
              <w:t>engine/reservations.js</w:t>
            </w:r>
          </w:p>
        </w:tc>
      </w:tr>
      <w:tr w:rsidR="0044532A" w14:paraId="69DA10F1" w14:textId="77777777" w:rsidTr="0044532A">
        <w:trPr>
          <w:jc w:val="center"/>
        </w:trPr>
        <w:tc>
          <w:tcPr>
            <w:tcW w:w="2640" w:type="dxa"/>
            <w:vAlign w:val="center"/>
          </w:tcPr>
          <w:p w14:paraId="7830D272" w14:textId="77777777" w:rsidR="0044532A" w:rsidRDefault="00000000">
            <w:pPr>
              <w:pStyle w:val="Compact"/>
              <w:spacing w:before="20" w:after="20"/>
            </w:pPr>
            <w:r>
              <w:rPr>
                <w:rStyle w:val="VerbatimChar"/>
                <w:rFonts w:ascii="Aptos" w:hAnsi="Aptos"/>
                <w:sz w:val="16"/>
              </w:rPr>
              <w:t>fill_trip_form</w:t>
            </w:r>
          </w:p>
        </w:tc>
        <w:tc>
          <w:tcPr>
            <w:tcW w:w="2640" w:type="dxa"/>
            <w:vAlign w:val="center"/>
          </w:tcPr>
          <w:p w14:paraId="040644CC" w14:textId="77777777" w:rsidR="0044532A" w:rsidRDefault="00000000">
            <w:pPr>
              <w:pStyle w:val="Compact"/>
              <w:spacing w:before="20" w:after="20"/>
            </w:pPr>
            <w:r>
              <w:rPr>
                <w:sz w:val="16"/>
              </w:rPr>
              <w:t>Reflect stated vehicle, battery, destination and parking preferences into Plan</w:t>
            </w:r>
          </w:p>
        </w:tc>
        <w:tc>
          <w:tcPr>
            <w:tcW w:w="2640" w:type="dxa"/>
            <w:vAlign w:val="center"/>
          </w:tcPr>
          <w:p w14:paraId="7F89F071" w14:textId="77777777" w:rsidR="0044532A" w:rsidRDefault="00000000">
            <w:pPr>
              <w:pStyle w:val="Compact"/>
              <w:spacing w:before="20" w:after="20"/>
            </w:pPr>
            <w:r>
              <w:rPr>
                <w:rStyle w:val="VerbatimChar"/>
                <w:rFonts w:ascii="Aptos" w:hAnsi="Aptos"/>
                <w:sz w:val="16"/>
              </w:rPr>
              <w:t>engine/agent.js</w:t>
            </w:r>
          </w:p>
        </w:tc>
      </w:tr>
    </w:tbl>
    <w:p w14:paraId="6DC8CAFC" w14:textId="77777777" w:rsidR="0044532A" w:rsidRDefault="00000000">
      <w:pPr>
        <w:pStyle w:val="Heading3"/>
      </w:pPr>
      <w:bookmarkStart w:id="14" w:name="knowledge-retrieval-not-model-training"/>
      <w:bookmarkEnd w:id="13"/>
      <w:r>
        <w:t>4.3 Knowledge retrieval, not model training</w:t>
      </w:r>
    </w:p>
    <w:p w14:paraId="4B2012CB" w14:textId="77777777" w:rsidR="0044532A" w:rsidRDefault="00000000">
      <w:pPr>
        <w:pStyle w:val="FirstParagraph"/>
      </w:pPr>
      <w:r>
        <w:rPr>
          <w:rStyle w:val="VerbatimChar"/>
        </w:rPr>
        <w:t>data/knowledge.js</w:t>
      </w:r>
      <w:r>
        <w:t xml:space="preserve"> provides an authored domain knowledge collection about scoring, resident sharing, tariffs, privacy, voting, OCPP and revenue. </w:t>
      </w:r>
      <w:r>
        <w:rPr>
          <w:rStyle w:val="VerbatimChar"/>
        </w:rPr>
        <w:t>engine/kb.js</w:t>
      </w:r>
      <w:r>
        <w:t xml:space="preserve"> searches it via lexical/BM25-style retrieval. This is a lightweight retrieval-augmented response mechanism, </w:t>
      </w:r>
      <w:r>
        <w:rPr>
          <w:b/>
          <w:bCs/>
        </w:rPr>
        <w:t>not</w:t>
      </w:r>
      <w:r>
        <w:t xml:space="preserve"> a vector database, web-browsing agent or fine-tuned model. Knowledge passages are referenced in the agent response when retrieved.</w:t>
      </w:r>
    </w:p>
    <w:p w14:paraId="287DC925" w14:textId="77777777" w:rsidR="0044532A" w:rsidRDefault="00000000">
      <w:pPr>
        <w:pStyle w:val="Heading3"/>
      </w:pPr>
      <w:bookmarkStart w:id="15" w:name="input-and-output-controls"/>
      <w:bookmarkEnd w:id="14"/>
      <w:r>
        <w:t>4.4 Input and output controls</w:t>
      </w:r>
    </w:p>
    <w:p w14:paraId="7C9A4A48" w14:textId="77777777" w:rsidR="0044532A" w:rsidRDefault="00000000">
      <w:pPr>
        <w:pStyle w:val="FirstParagraph"/>
      </w:pPr>
      <w:r>
        <w:t xml:space="preserve">The input guardrail refuses payment-card numbers, account credentials and similar unsafe requests before they reach the provider. Numeric energy arguments are validated (positive and at most 200 kWh in cost/schedule tools); unknown charger IDs or unsupported destinations return explicit errors. The money guardrail cross-checks each stated RM amount against tool-result evidence and may request one answer correction or remove an ungrounded claim. Outputs derived from </w:t>
      </w:r>
      <w:r>
        <w:rPr>
          <w:rStyle w:val="VerbatimChar"/>
        </w:rPr>
        <w:t>condo_revenue</w:t>
      </w:r>
      <w:r>
        <w:t xml:space="preserve"> are labelled as </w:t>
      </w:r>
      <w:r>
        <w:rPr>
          <w:b/>
          <w:bCs/>
        </w:rPr>
        <w:t>simulated forecasts</w:t>
      </w:r>
      <w:r>
        <w:t>.</w:t>
      </w:r>
    </w:p>
    <w:p w14:paraId="4620B50D" w14:textId="77777777" w:rsidR="0044532A" w:rsidRDefault="00000000">
      <w:pPr>
        <w:pStyle w:val="BodyText"/>
      </w:pPr>
      <w:r>
        <w:t xml:space="preserve">For bookings, </w:t>
      </w:r>
      <w:r>
        <w:rPr>
          <w:rStyle w:val="VerbatimChar"/>
        </w:rPr>
        <w:t>propose_booking</w:t>
      </w:r>
      <w:r>
        <w:t xml:space="preserve"> is informational only. The driver must actively confirm, and </w:t>
      </w:r>
      <w:r>
        <w:rPr>
          <w:rStyle w:val="VerbatimChar"/>
        </w:rPr>
        <w:t>POST /api/bookings</w:t>
      </w:r>
      <w:r>
        <w:t xml:space="preserve"> re-evaluates eligibility against current booking records, credentials, faults and sharing rules. Some provider content or estimates may still be imperfect; the guardrail is a constraint, not a proof of all factual correctness.</w:t>
      </w:r>
    </w:p>
    <w:p w14:paraId="614AA84B" w14:textId="03A0618E" w:rsidR="0044532A" w:rsidRDefault="00000000" w:rsidP="00823E7C">
      <w:pPr>
        <w:pStyle w:val="Heading3"/>
      </w:pPr>
      <w:bookmarkStart w:id="16" w:name="key-configuration"/>
      <w:bookmarkEnd w:id="15"/>
      <w:r w:rsidRPr="00823E7C">
        <w:rPr>
          <w:highlight w:val="yellow"/>
        </w:rPr>
        <w:t>4.5 Key configuration</w:t>
      </w:r>
      <w:r w:rsidR="00823E7C" w:rsidRPr="00823E7C">
        <w:rPr>
          <w:highlight w:val="yellow"/>
        </w:rPr>
        <w:t xml:space="preserve"> (CHANGE TO APPROPRIATE MODEL)</w:t>
      </w:r>
      <w:r w:rsidRPr="00823E7C">
        <w:rPr>
          <w:highlight w:val="yellow"/>
        </w:rPr>
        <w:br/>
      </w:r>
      <w:r w:rsidRPr="00823E7C">
        <w:rPr>
          <w:rStyle w:val="BuiltInTok"/>
          <w:highlight w:val="yellow"/>
        </w:rPr>
        <w:t>export</w:t>
      </w:r>
      <w:r w:rsidRPr="00823E7C">
        <w:rPr>
          <w:rStyle w:val="NormalTok"/>
          <w:highlight w:val="yellow"/>
        </w:rPr>
        <w:t xml:space="preserve"> </w:t>
      </w:r>
      <w:r w:rsidRPr="00823E7C">
        <w:rPr>
          <w:rStyle w:val="VariableTok"/>
          <w:highlight w:val="yellow"/>
        </w:rPr>
        <w:t>AI_BASE_URL</w:t>
      </w:r>
      <w:r w:rsidRPr="00823E7C">
        <w:rPr>
          <w:rStyle w:val="OperatorTok"/>
          <w:highlight w:val="yellow"/>
        </w:rPr>
        <w:t>=</w:t>
      </w:r>
      <w:r w:rsidRPr="00823E7C">
        <w:rPr>
          <w:rStyle w:val="StringTok"/>
          <w:highlight w:val="yellow"/>
        </w:rPr>
        <w:t>"https://generativelanguage.googleapis.com/v1beta/openai"</w:t>
      </w:r>
      <w:r w:rsidRPr="00823E7C">
        <w:rPr>
          <w:highlight w:val="yellow"/>
        </w:rPr>
        <w:br/>
      </w:r>
      <w:proofErr w:type="spellStart"/>
      <w:r w:rsidRPr="00823E7C">
        <w:rPr>
          <w:rStyle w:val="BuiltInTok"/>
          <w:highlight w:val="yellow"/>
        </w:rPr>
        <w:t>export</w:t>
      </w:r>
      <w:proofErr w:type="spellEnd"/>
      <w:r w:rsidRPr="00823E7C">
        <w:rPr>
          <w:rStyle w:val="NormalTok"/>
          <w:highlight w:val="yellow"/>
        </w:rPr>
        <w:t xml:space="preserve"> </w:t>
      </w:r>
      <w:r w:rsidRPr="00823E7C">
        <w:rPr>
          <w:rStyle w:val="VariableTok"/>
          <w:highlight w:val="yellow"/>
        </w:rPr>
        <w:t>AI_MODELS</w:t>
      </w:r>
      <w:r w:rsidRPr="00823E7C">
        <w:rPr>
          <w:rStyle w:val="OperatorTok"/>
          <w:highlight w:val="yellow"/>
        </w:rPr>
        <w:t>=</w:t>
      </w:r>
      <w:r w:rsidRPr="00823E7C">
        <w:rPr>
          <w:rStyle w:val="StringTok"/>
          <w:highlight w:val="yellow"/>
        </w:rPr>
        <w:t>"gemini-2.5-flash"</w:t>
      </w:r>
      <w:r>
        <w:br/>
      </w:r>
      <w:r>
        <w:rPr>
          <w:rStyle w:val="BuiltInTok"/>
        </w:rPr>
        <w:t>export</w:t>
      </w:r>
      <w:r>
        <w:rPr>
          <w:rStyle w:val="NormalTok"/>
        </w:rPr>
        <w:t xml:space="preserve"> </w:t>
      </w:r>
      <w:r>
        <w:rPr>
          <w:rStyle w:val="VariableTok"/>
        </w:rPr>
        <w:t>AI_TIMEOUT_MS</w:t>
      </w:r>
      <w:r>
        <w:rPr>
          <w:rStyle w:val="OperatorTok"/>
        </w:rPr>
        <w:t>=</w:t>
      </w:r>
      <w:r>
        <w:rPr>
          <w:rStyle w:val="NormalTok"/>
        </w:rPr>
        <w:t>60000</w:t>
      </w:r>
      <w:r>
        <w:br/>
      </w:r>
      <w:r>
        <w:rPr>
          <w:rStyle w:val="CommentTok"/>
        </w:rPr>
        <w:t># Export AI_API_KEY securely in the local shell; do not place it in source files.</w:t>
      </w:r>
      <w:r>
        <w:br/>
      </w:r>
      <w:r>
        <w:rPr>
          <w:rStyle w:val="ExtensionTok"/>
        </w:rPr>
        <w:t>npm</w:t>
      </w:r>
      <w:r>
        <w:rPr>
          <w:rStyle w:val="NormalTok"/>
        </w:rPr>
        <w:t xml:space="preserve"> start</w:t>
      </w:r>
    </w:p>
    <w:p w14:paraId="08273AD0" w14:textId="77777777" w:rsidR="0044532A" w:rsidRDefault="00000000">
      <w:pPr>
        <w:pStyle w:val="FirstParagraph"/>
      </w:pPr>
      <w:r>
        <w:rPr>
          <w:rStyle w:val="VerbatimChar"/>
        </w:rPr>
        <w:t>GET /api/config</w:t>
      </w:r>
      <w:r>
        <w:t xml:space="preserve"> reports whether an AI key is configured; </w:t>
      </w:r>
      <w:r>
        <w:rPr>
          <w:rStyle w:val="VerbatimChar"/>
        </w:rPr>
        <w:t>ai: true</w:t>
      </w:r>
      <w:r>
        <w:t xml:space="preserve"> does </w:t>
      </w:r>
      <w:r>
        <w:rPr>
          <w:b/>
          <w:bCs/>
        </w:rPr>
        <w:t>not</w:t>
      </w:r>
      <w:r>
        <w:t xml:space="preserve"> on its own establish that the provider call succeeds. A live test prompt is required. Previously exposed credentials must be revoked and replaced.</w:t>
      </w:r>
    </w:p>
    <w:p w14:paraId="6407F0D0" w14:textId="77777777" w:rsidR="0044532A" w:rsidRDefault="00000000">
      <w:pPr>
        <w:pStyle w:val="Heading2"/>
      </w:pPr>
      <w:bookmarkStart w:id="17" w:name="Xf7eb6da4bdbecd7bf7416ec212deb4a3679527f"/>
      <w:bookmarkEnd w:id="11"/>
      <w:bookmarkEnd w:id="16"/>
      <w:r>
        <w:t>5. Smart charging recommendation and scheduling</w:t>
      </w:r>
    </w:p>
    <w:p w14:paraId="1FAE3EB2" w14:textId="77777777" w:rsidR="0044532A" w:rsidRDefault="00000000">
      <w:pPr>
        <w:pStyle w:val="Heading3"/>
      </w:pPr>
      <w:bookmarkStart w:id="18" w:name="eligibility-filtering"/>
      <w:r>
        <w:t>5.1 Eligibility filtering</w:t>
      </w:r>
    </w:p>
    <w:p w14:paraId="7AA7F20D" w14:textId="77777777" w:rsidR="0044532A" w:rsidRDefault="00000000">
      <w:pPr>
        <w:pStyle w:val="FirstParagraph"/>
      </w:pPr>
      <w:r>
        <w:t xml:space="preserve">The ranking process in </w:t>
      </w:r>
      <w:r>
        <w:rPr>
          <w:rStyle w:val="VerbatimChar"/>
        </w:rPr>
        <w:t>engine/score.js</w:t>
      </w:r>
      <w:r>
        <w:t xml:space="preserve"> first excludes options that cannot reasonably serve the requested trip: incompatible connectors, low reliability, out-of-range sites, violations of fast-only and maximum-price preferences, inaccessible visitor sharing, and bays that cannot provide useful energy within the intended parking duration. The </w:t>
      </w:r>
      <w:r>
        <w:rPr>
          <w:rStyle w:val="VerbatimChar"/>
        </w:rPr>
        <w:t>FAULTY</w:t>
      </w:r>
      <w:r>
        <w:t xml:space="preserve"> </w:t>
      </w:r>
      <w:r>
        <w:lastRenderedPageBreak/>
        <w:t xml:space="preserve">reliability threshold is </w:t>
      </w:r>
      <w:r>
        <w:rPr>
          <w:rStyle w:val="VerbatimChar"/>
        </w:rPr>
        <w:t>0.6</w:t>
      </w:r>
      <w:r>
        <w:t>. The driver battery determines an estimated travel range using battery size, vehicle efficiency and a 10% range buffer.</w:t>
      </w:r>
    </w:p>
    <w:p w14:paraId="17FDD031" w14:textId="77777777" w:rsidR="0044532A" w:rsidRDefault="00000000">
      <w:pPr>
        <w:pStyle w:val="Heading3"/>
      </w:pPr>
      <w:bookmarkStart w:id="19" w:name="battery-sensitive-ranking"/>
      <w:bookmarkEnd w:id="18"/>
      <w:r>
        <w:t>5.2 Battery-sensitive ranking</w:t>
      </w:r>
    </w:p>
    <w:p w14:paraId="7F2897D4" w14:textId="77777777" w:rsidR="0044532A" w:rsidRDefault="00000000">
      <w:pPr>
        <w:pStyle w:val="FirstParagraph"/>
      </w:pPr>
      <w:r>
        <w:t>The remaining options are scored using normalised charging cost, overall additional time and unreliability, with an adjustment for a preferred operator. Weights vary with initial state of charge:</w:t>
      </w:r>
    </w:p>
    <w:tbl>
      <w:tblPr>
        <w:tblStyle w:val="Table"/>
        <w:tblW w:w="0" w:type="auto"/>
        <w:jc w:val="center"/>
        <w:tblLook w:val="0020" w:firstRow="1" w:lastRow="0" w:firstColumn="0" w:lastColumn="0" w:noHBand="0" w:noVBand="0"/>
      </w:tblPr>
      <w:tblGrid>
        <w:gridCol w:w="871"/>
        <w:gridCol w:w="1747"/>
        <w:gridCol w:w="1078"/>
        <w:gridCol w:w="1089"/>
        <w:gridCol w:w="1046"/>
      </w:tblGrid>
      <w:tr w:rsidR="0044532A" w14:paraId="371C5B13"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FEFE9"/>
            <w:vAlign w:val="center"/>
          </w:tcPr>
          <w:p w14:paraId="53558A6A" w14:textId="77777777" w:rsidR="0044532A" w:rsidRDefault="00000000">
            <w:pPr>
              <w:pStyle w:val="Compact"/>
              <w:spacing w:before="20" w:after="20"/>
            </w:pPr>
            <w:r>
              <w:rPr>
                <w:b/>
                <w:sz w:val="16"/>
              </w:rPr>
              <w:t>Mode</w:t>
            </w:r>
          </w:p>
        </w:tc>
        <w:tc>
          <w:tcPr>
            <w:tcW w:w="0" w:type="auto"/>
            <w:shd w:val="clear" w:color="auto" w:fill="DFEFE9"/>
            <w:vAlign w:val="center"/>
          </w:tcPr>
          <w:p w14:paraId="13ABDBA7" w14:textId="77777777" w:rsidR="0044532A" w:rsidRDefault="00000000">
            <w:pPr>
              <w:pStyle w:val="Compact"/>
              <w:spacing w:before="20" w:after="20"/>
            </w:pPr>
            <w:r>
              <w:rPr>
                <w:b/>
                <w:sz w:val="16"/>
              </w:rPr>
              <w:t>Battery</w:t>
            </w:r>
          </w:p>
        </w:tc>
        <w:tc>
          <w:tcPr>
            <w:tcW w:w="0" w:type="auto"/>
            <w:shd w:val="clear" w:color="auto" w:fill="DFEFE9"/>
            <w:vAlign w:val="center"/>
          </w:tcPr>
          <w:p w14:paraId="431652A9" w14:textId="77777777" w:rsidR="0044532A" w:rsidRDefault="00000000">
            <w:pPr>
              <w:pStyle w:val="Compact"/>
              <w:spacing w:before="20" w:after="20"/>
              <w:jc w:val="right"/>
            </w:pPr>
            <w:r>
              <w:rPr>
                <w:b/>
                <w:sz w:val="16"/>
              </w:rPr>
              <w:t>Cost weight</w:t>
            </w:r>
          </w:p>
        </w:tc>
        <w:tc>
          <w:tcPr>
            <w:tcW w:w="0" w:type="auto"/>
            <w:shd w:val="clear" w:color="auto" w:fill="DFEFE9"/>
            <w:vAlign w:val="center"/>
          </w:tcPr>
          <w:p w14:paraId="4A6DF1B0" w14:textId="77777777" w:rsidR="0044532A" w:rsidRDefault="00000000">
            <w:pPr>
              <w:pStyle w:val="Compact"/>
              <w:spacing w:before="20" w:after="20"/>
              <w:jc w:val="right"/>
            </w:pPr>
            <w:r>
              <w:rPr>
                <w:b/>
                <w:sz w:val="16"/>
              </w:rPr>
              <w:t>Time weight</w:t>
            </w:r>
          </w:p>
        </w:tc>
        <w:tc>
          <w:tcPr>
            <w:tcW w:w="0" w:type="auto"/>
            <w:shd w:val="clear" w:color="auto" w:fill="DFEFE9"/>
            <w:vAlign w:val="center"/>
          </w:tcPr>
          <w:p w14:paraId="76DDD409" w14:textId="77777777" w:rsidR="0044532A" w:rsidRDefault="00000000">
            <w:pPr>
              <w:pStyle w:val="Compact"/>
              <w:spacing w:before="20" w:after="20"/>
              <w:jc w:val="right"/>
            </w:pPr>
            <w:r>
              <w:rPr>
                <w:b/>
                <w:sz w:val="16"/>
              </w:rPr>
              <w:t>Risk weight</w:t>
            </w:r>
          </w:p>
        </w:tc>
      </w:tr>
      <w:tr w:rsidR="0044532A" w14:paraId="7B35B719" w14:textId="77777777" w:rsidTr="0044532A">
        <w:trPr>
          <w:jc w:val="center"/>
        </w:trPr>
        <w:tc>
          <w:tcPr>
            <w:tcW w:w="0" w:type="auto"/>
            <w:vAlign w:val="center"/>
          </w:tcPr>
          <w:p w14:paraId="55DEC0D7" w14:textId="77777777" w:rsidR="0044532A" w:rsidRDefault="00000000">
            <w:pPr>
              <w:pStyle w:val="Compact"/>
              <w:spacing w:before="20" w:after="20"/>
            </w:pPr>
            <w:r>
              <w:rPr>
                <w:sz w:val="16"/>
              </w:rPr>
              <w:t>Urgent</w:t>
            </w:r>
          </w:p>
        </w:tc>
        <w:tc>
          <w:tcPr>
            <w:tcW w:w="0" w:type="auto"/>
            <w:vAlign w:val="center"/>
          </w:tcPr>
          <w:p w14:paraId="5D98E93F" w14:textId="77777777" w:rsidR="0044532A" w:rsidRDefault="00000000">
            <w:pPr>
              <w:pStyle w:val="Compact"/>
              <w:spacing w:before="20" w:after="20"/>
            </w:pPr>
            <w:r>
              <w:rPr>
                <w:sz w:val="16"/>
              </w:rPr>
              <w:t>15% or less</w:t>
            </w:r>
          </w:p>
        </w:tc>
        <w:tc>
          <w:tcPr>
            <w:tcW w:w="0" w:type="auto"/>
            <w:vAlign w:val="center"/>
          </w:tcPr>
          <w:p w14:paraId="4E38FA5D" w14:textId="77777777" w:rsidR="0044532A" w:rsidRDefault="00000000">
            <w:pPr>
              <w:pStyle w:val="Compact"/>
              <w:spacing w:before="20" w:after="20"/>
              <w:jc w:val="right"/>
            </w:pPr>
            <w:r>
              <w:rPr>
                <w:sz w:val="16"/>
              </w:rPr>
              <w:t>0.10</w:t>
            </w:r>
          </w:p>
        </w:tc>
        <w:tc>
          <w:tcPr>
            <w:tcW w:w="0" w:type="auto"/>
            <w:vAlign w:val="center"/>
          </w:tcPr>
          <w:p w14:paraId="7AE9B1E0" w14:textId="77777777" w:rsidR="0044532A" w:rsidRDefault="00000000">
            <w:pPr>
              <w:pStyle w:val="Compact"/>
              <w:spacing w:before="20" w:after="20"/>
              <w:jc w:val="right"/>
            </w:pPr>
            <w:r>
              <w:rPr>
                <w:sz w:val="16"/>
              </w:rPr>
              <w:t>0.60</w:t>
            </w:r>
          </w:p>
        </w:tc>
        <w:tc>
          <w:tcPr>
            <w:tcW w:w="0" w:type="auto"/>
            <w:vAlign w:val="center"/>
          </w:tcPr>
          <w:p w14:paraId="7259D462" w14:textId="77777777" w:rsidR="0044532A" w:rsidRDefault="00000000">
            <w:pPr>
              <w:pStyle w:val="Compact"/>
              <w:spacing w:before="20" w:after="20"/>
              <w:jc w:val="right"/>
            </w:pPr>
            <w:r>
              <w:rPr>
                <w:sz w:val="16"/>
              </w:rPr>
              <w:t>0.30</w:t>
            </w:r>
          </w:p>
        </w:tc>
      </w:tr>
      <w:tr w:rsidR="0044532A" w14:paraId="5EC7186F" w14:textId="77777777" w:rsidTr="0044532A">
        <w:trPr>
          <w:jc w:val="center"/>
        </w:trPr>
        <w:tc>
          <w:tcPr>
            <w:tcW w:w="0" w:type="auto"/>
            <w:vAlign w:val="center"/>
          </w:tcPr>
          <w:p w14:paraId="56BE31E4" w14:textId="77777777" w:rsidR="0044532A" w:rsidRDefault="00000000">
            <w:pPr>
              <w:pStyle w:val="Compact"/>
              <w:spacing w:before="20" w:after="20"/>
            </w:pPr>
            <w:r>
              <w:rPr>
                <w:sz w:val="16"/>
              </w:rPr>
              <w:t>Balanced</w:t>
            </w:r>
          </w:p>
        </w:tc>
        <w:tc>
          <w:tcPr>
            <w:tcW w:w="0" w:type="auto"/>
            <w:vAlign w:val="center"/>
          </w:tcPr>
          <w:p w14:paraId="598CE2C0" w14:textId="77777777" w:rsidR="0044532A" w:rsidRDefault="00000000">
            <w:pPr>
              <w:pStyle w:val="Compact"/>
              <w:spacing w:before="20" w:after="20"/>
            </w:pPr>
            <w:r>
              <w:rPr>
                <w:sz w:val="16"/>
              </w:rPr>
              <w:t>Above 15%, up to 50%</w:t>
            </w:r>
          </w:p>
        </w:tc>
        <w:tc>
          <w:tcPr>
            <w:tcW w:w="0" w:type="auto"/>
            <w:vAlign w:val="center"/>
          </w:tcPr>
          <w:p w14:paraId="0CE3C14F" w14:textId="77777777" w:rsidR="0044532A" w:rsidRDefault="00000000">
            <w:pPr>
              <w:pStyle w:val="Compact"/>
              <w:spacing w:before="20" w:after="20"/>
              <w:jc w:val="right"/>
            </w:pPr>
            <w:r>
              <w:rPr>
                <w:sz w:val="16"/>
              </w:rPr>
              <w:t>0.40</w:t>
            </w:r>
          </w:p>
        </w:tc>
        <w:tc>
          <w:tcPr>
            <w:tcW w:w="0" w:type="auto"/>
            <w:vAlign w:val="center"/>
          </w:tcPr>
          <w:p w14:paraId="187BBA36" w14:textId="77777777" w:rsidR="0044532A" w:rsidRDefault="00000000">
            <w:pPr>
              <w:pStyle w:val="Compact"/>
              <w:spacing w:before="20" w:after="20"/>
              <w:jc w:val="right"/>
            </w:pPr>
            <w:r>
              <w:rPr>
                <w:sz w:val="16"/>
              </w:rPr>
              <w:t>0.40</w:t>
            </w:r>
          </w:p>
        </w:tc>
        <w:tc>
          <w:tcPr>
            <w:tcW w:w="0" w:type="auto"/>
            <w:vAlign w:val="center"/>
          </w:tcPr>
          <w:p w14:paraId="5DA35A2B" w14:textId="77777777" w:rsidR="0044532A" w:rsidRDefault="00000000">
            <w:pPr>
              <w:pStyle w:val="Compact"/>
              <w:spacing w:before="20" w:after="20"/>
              <w:jc w:val="right"/>
            </w:pPr>
            <w:r>
              <w:rPr>
                <w:sz w:val="16"/>
              </w:rPr>
              <w:t>0.20</w:t>
            </w:r>
          </w:p>
        </w:tc>
      </w:tr>
      <w:tr w:rsidR="0044532A" w14:paraId="66ADE05F" w14:textId="77777777" w:rsidTr="0044532A">
        <w:trPr>
          <w:jc w:val="center"/>
        </w:trPr>
        <w:tc>
          <w:tcPr>
            <w:tcW w:w="0" w:type="auto"/>
            <w:vAlign w:val="center"/>
          </w:tcPr>
          <w:p w14:paraId="17013AFC" w14:textId="77777777" w:rsidR="0044532A" w:rsidRDefault="00000000">
            <w:pPr>
              <w:pStyle w:val="Compact"/>
              <w:spacing w:before="20" w:after="20"/>
            </w:pPr>
            <w:r>
              <w:rPr>
                <w:sz w:val="16"/>
              </w:rPr>
              <w:t>Saver</w:t>
            </w:r>
          </w:p>
        </w:tc>
        <w:tc>
          <w:tcPr>
            <w:tcW w:w="0" w:type="auto"/>
            <w:vAlign w:val="center"/>
          </w:tcPr>
          <w:p w14:paraId="2540952A" w14:textId="77777777" w:rsidR="0044532A" w:rsidRDefault="00000000">
            <w:pPr>
              <w:pStyle w:val="Compact"/>
              <w:spacing w:before="20" w:after="20"/>
            </w:pPr>
            <w:r>
              <w:rPr>
                <w:sz w:val="16"/>
              </w:rPr>
              <w:t>Above 50%</w:t>
            </w:r>
          </w:p>
        </w:tc>
        <w:tc>
          <w:tcPr>
            <w:tcW w:w="0" w:type="auto"/>
            <w:vAlign w:val="center"/>
          </w:tcPr>
          <w:p w14:paraId="39A727E7" w14:textId="77777777" w:rsidR="0044532A" w:rsidRDefault="00000000">
            <w:pPr>
              <w:pStyle w:val="Compact"/>
              <w:spacing w:before="20" w:after="20"/>
              <w:jc w:val="right"/>
            </w:pPr>
            <w:r>
              <w:rPr>
                <w:sz w:val="16"/>
              </w:rPr>
              <w:t>0.60</w:t>
            </w:r>
          </w:p>
        </w:tc>
        <w:tc>
          <w:tcPr>
            <w:tcW w:w="0" w:type="auto"/>
            <w:vAlign w:val="center"/>
          </w:tcPr>
          <w:p w14:paraId="5CB292DF" w14:textId="77777777" w:rsidR="0044532A" w:rsidRDefault="00000000">
            <w:pPr>
              <w:pStyle w:val="Compact"/>
              <w:spacing w:before="20" w:after="20"/>
              <w:jc w:val="right"/>
            </w:pPr>
            <w:r>
              <w:rPr>
                <w:sz w:val="16"/>
              </w:rPr>
              <w:t>0.25</w:t>
            </w:r>
          </w:p>
        </w:tc>
        <w:tc>
          <w:tcPr>
            <w:tcW w:w="0" w:type="auto"/>
            <w:vAlign w:val="center"/>
          </w:tcPr>
          <w:p w14:paraId="49B95991" w14:textId="77777777" w:rsidR="0044532A" w:rsidRDefault="00000000">
            <w:pPr>
              <w:pStyle w:val="Compact"/>
              <w:spacing w:before="20" w:after="20"/>
              <w:jc w:val="right"/>
            </w:pPr>
            <w:r>
              <w:rPr>
                <w:sz w:val="16"/>
              </w:rPr>
              <w:t>0.15</w:t>
            </w:r>
          </w:p>
        </w:tc>
      </w:tr>
    </w:tbl>
    <w:p w14:paraId="37858E67" w14:textId="77777777" w:rsidR="0044532A" w:rsidRDefault="00000000">
      <w:pPr>
        <w:pStyle w:val="BodyText"/>
      </w:pPr>
      <w:r>
        <w:t xml:space="preserve">An additional </w:t>
      </w:r>
      <w:r>
        <w:rPr>
          <w:rStyle w:val="VerbatimChar"/>
        </w:rPr>
        <w:t>engine/balance.js</w:t>
      </w:r>
      <w:r>
        <w:t xml:space="preserve"> routine adjusts recommendations to reduce crowding at constrained DC chargers. These scores are heuristic product rules, not a statistically validated demand-prediction model.</w:t>
      </w:r>
    </w:p>
    <w:p w14:paraId="19B4E2DB" w14:textId="77777777" w:rsidR="0044532A" w:rsidRDefault="00000000">
      <w:pPr>
        <w:pStyle w:val="BodyText"/>
      </w:pPr>
      <w:r>
        <w:t xml:space="preserve">The displayed estimated cost for delivered energy is </w:t>
      </w:r>
      <w:r>
        <w:rPr>
          <w:rStyle w:val="VerbatimChar"/>
        </w:rPr>
        <w:t>price_per_kWh × energy_delivered_kWh</w:t>
      </w:r>
      <w:r>
        <w:t>; an individual charger may deliver less than the full requested amount when parking time is short. Charger power is capped by the lower of the charger rating and the vehicle’s applicable AC/DC capability.</w:t>
      </w:r>
    </w:p>
    <w:p w14:paraId="4B6FB271" w14:textId="77777777" w:rsidR="0044532A" w:rsidRDefault="00000000">
      <w:pPr>
        <w:pStyle w:val="Heading3"/>
      </w:pPr>
      <w:bookmarkStart w:id="20" w:name="cheapest-time-and-journey-planning"/>
      <w:bookmarkEnd w:id="19"/>
      <w:r>
        <w:t>5.3 Cheapest-time and journey planning</w:t>
      </w:r>
    </w:p>
    <w:p w14:paraId="171D6C73" w14:textId="77777777" w:rsidR="0044532A" w:rsidRDefault="00000000">
      <w:pPr>
        <w:pStyle w:val="FirstParagraph"/>
      </w:pPr>
      <w:r>
        <w:rPr>
          <w:rStyle w:val="VerbatimChar"/>
        </w:rPr>
        <w:t>engine/schedule.js</w:t>
      </w:r>
      <w:r>
        <w:t xml:space="preserve"> evaluates prospective hour-level prices and simulated occupancy, selecting a low-cost window and avoiding relatively crowded hours as a tie-breaker. It does not currently verify a </w:t>
      </w:r>
      <w:r>
        <w:rPr>
          <w:b/>
          <w:bCs/>
        </w:rPr>
        <w:t>complete multi-hour booking interval</w:t>
      </w:r>
      <w:r>
        <w:t xml:space="preserve"> from the scheduling forecast. Availability must be rechecked using the booking API.</w:t>
      </w:r>
    </w:p>
    <w:p w14:paraId="5ED6319F" w14:textId="77777777" w:rsidR="0044532A" w:rsidRDefault="00000000">
      <w:pPr>
        <w:pStyle w:val="BodyText"/>
      </w:pPr>
      <w:r>
        <w:t xml:space="preserve">Longer trips use </w:t>
      </w:r>
      <w:r>
        <w:rPr>
          <w:rStyle w:val="VerbatimChar"/>
        </w:rPr>
        <w:t>engine/trip.js</w:t>
      </w:r>
      <w:r>
        <w:t xml:space="preserve"> and supported destination/highway charger data to estimate energy need and stops, generally charging only what is necessary for the next leg and observing an 80% DC-charge ceiling. Highway sites may be demo records, and provider routing may refine distance estimates. Journey outputs are planning aids, not roadworthiness or range guarantees.</w:t>
      </w:r>
    </w:p>
    <w:p w14:paraId="5A3A834B" w14:textId="77777777" w:rsidR="0044532A" w:rsidRDefault="00000000">
      <w:pPr>
        <w:pStyle w:val="Heading2"/>
      </w:pPr>
      <w:bookmarkStart w:id="21" w:name="reservations-and-resident-first-capacity"/>
      <w:bookmarkEnd w:id="17"/>
      <w:bookmarkEnd w:id="20"/>
      <w:r>
        <w:t>6. Reservations and resident-first capacity</w:t>
      </w:r>
    </w:p>
    <w:p w14:paraId="11CBA89E" w14:textId="77777777" w:rsidR="0044532A" w:rsidRDefault="00000000">
      <w:pPr>
        <w:pStyle w:val="Heading3"/>
      </w:pPr>
      <w:bookmarkStart w:id="22" w:name="sharing-governance"/>
      <w:r>
        <w:t>6.1 Sharing governance</w:t>
      </w:r>
    </w:p>
    <w:p w14:paraId="4D107D1B" w14:textId="77777777" w:rsidR="0044532A" w:rsidRDefault="00000000">
      <w:pPr>
        <w:pStyle w:val="FirstParagraph"/>
      </w:pPr>
      <w:r>
        <w:t>Each condo maintains JMB-controlled settings (</w:t>
      </w:r>
      <w:r>
        <w:rPr>
          <w:rStyle w:val="VerbatimChar"/>
        </w:rPr>
        <w:t>engine/sharing.js</w:t>
      </w:r>
      <w:r>
        <w:t>): enabled/paused, applicable days, fixed visitor hours or automatic sharing, number of reserved resident bays, and a visitor tariff. Auto mode only considers sharing from 07:00–22:00 and includes a forecasted resident-demand buffer of 10%, plus the explicit retained resident bays.</w:t>
      </w:r>
    </w:p>
    <w:p w14:paraId="0C9C4822" w14:textId="77777777" w:rsidR="0044532A" w:rsidRDefault="00000000">
      <w:pPr>
        <w:pStyle w:val="Heading3"/>
      </w:pPr>
      <w:bookmarkStart w:id="23" w:name="authoritative-capacity-check"/>
      <w:bookmarkEnd w:id="22"/>
      <w:r>
        <w:t>6.2 Authoritative capacity check</w:t>
      </w:r>
    </w:p>
    <w:p w14:paraId="6287F33A" w14:textId="77777777" w:rsidR="0044532A" w:rsidRDefault="00000000">
      <w:pPr>
        <w:pStyle w:val="FirstParagraph"/>
      </w:pPr>
      <w:r>
        <w:rPr>
          <w:rStyle w:val="VerbatimChar"/>
        </w:rPr>
        <w:t>engine/reservations.js</w:t>
      </w:r>
      <w:r>
        <w:t xml:space="preserve"> uses </w:t>
      </w:r>
      <w:r>
        <w:rPr>
          <w:b/>
          <w:bCs/>
        </w:rPr>
        <w:t>half-open intervals</w:t>
      </w:r>
      <w:r>
        <w:t xml:space="preserve">: two bookings overlap when </w:t>
      </w:r>
      <w:r>
        <w:rPr>
          <w:rStyle w:val="VerbatimChar"/>
        </w:rPr>
        <w:t>A.start &lt; B.end</w:t>
      </w:r>
      <w:r>
        <w:t xml:space="preserve"> and </w:t>
      </w:r>
      <w:r>
        <w:rPr>
          <w:rStyle w:val="VerbatimChar"/>
        </w:rPr>
        <w:t>B.start &lt; A.end</w:t>
      </w:r>
      <w:r>
        <w:t>. For a proposed booking, it examines overlapping bookings and relevant time boundaries, including minute-by-minute points for changing sharing rules. It reduces capacity for faulty bays, rejects full sites, and applies a distinct visitor ceiling that protects capacity for residents. Legacy bookings without a role are treated as visitors.</w:t>
      </w:r>
    </w:p>
    <w:p w14:paraId="148ADEBA" w14:textId="77777777" w:rsidR="0044532A" w:rsidRDefault="00000000">
      <w:pPr>
        <w:pStyle w:val="BodyText"/>
      </w:pPr>
      <w:r>
        <w:t xml:space="preserve">This is aggregate site capacity, not a guaranteed physical bay assignment. A specific connected, available, non-faulty bay is selected during check-in. If a request is rejected, </w:t>
      </w:r>
      <w:r>
        <w:rPr>
          <w:rStyle w:val="VerbatimChar"/>
        </w:rPr>
        <w:t>findAlternativeSlots</w:t>
      </w:r>
      <w:r>
        <w:t xml:space="preserve"> proposes up to three alternatives, stepping 30 minutes over a 72-hour horizon.</w:t>
      </w:r>
    </w:p>
    <w:p w14:paraId="2E8F3334" w14:textId="77777777" w:rsidR="0044532A" w:rsidRDefault="00000000">
      <w:pPr>
        <w:pStyle w:val="Heading3"/>
      </w:pPr>
      <w:bookmarkStart w:id="24" w:name="credentials-and-cancellation"/>
      <w:bookmarkEnd w:id="23"/>
      <w:r>
        <w:t>6.3 Credentials and cancellation</w:t>
      </w:r>
    </w:p>
    <w:p w14:paraId="46AC1D1E" w14:textId="77777777" w:rsidR="0044532A" w:rsidRDefault="00000000">
      <w:pPr>
        <w:pStyle w:val="FirstParagraph"/>
      </w:pPr>
      <w:r>
        <w:t>Residents must present a JMB-issued, condo-specific key. The backend stores only its SHA-256 hash and revocation/expiry metadata. Keys expire after 30 days unless revoked earlier; verified-unit keys additionally support governance. Bookings return a unique booking ID and cancellation token. The cancellation token is checked server-side; successful cancellation releases held capacity. Charging cannot be erased by cancelling after charging starts or completes.</w:t>
      </w:r>
    </w:p>
    <w:p w14:paraId="53E5EFD3" w14:textId="77777777" w:rsidR="0044532A" w:rsidRDefault="00000000">
      <w:pPr>
        <w:pStyle w:val="Heading3"/>
      </w:pPr>
      <w:bookmarkStart w:id="25" w:name="check-in-lifecycle"/>
      <w:bookmarkEnd w:id="24"/>
      <w:r>
        <w:lastRenderedPageBreak/>
        <w:t>6.4 Check-in lifecycle</w:t>
      </w:r>
    </w:p>
    <w:p w14:paraId="372E4905" w14:textId="77777777" w:rsidR="0044532A" w:rsidRDefault="00000000">
      <w:pPr>
        <w:pStyle w:val="FirstParagraph"/>
      </w:pPr>
      <w:r>
        <w:t xml:space="preserve">A residential booking’s owner submits booking ID, cancellation token and bay during the </w:t>
      </w:r>
      <w:r>
        <w:rPr>
          <w:b/>
          <w:bCs/>
        </w:rPr>
        <w:t>actual server-time</w:t>
      </w:r>
      <w:r>
        <w:t xml:space="preserve"> reservation interval. The backend confirms site membership, charger connection/status, fault state, bay non-occupancy and absence of a previous check-in before issuing a one-time OCPP tag. Neither the simulated app clock nor the AI assistant can bypass these checks.</w:t>
      </w:r>
    </w:p>
    <w:p w14:paraId="05B416B8" w14:textId="77777777" w:rsidR="0044532A" w:rsidRDefault="00000000">
      <w:pPr>
        <w:pStyle w:val="Heading2"/>
      </w:pPr>
      <w:bookmarkStart w:id="26" w:name="ocpp-integration-and-demo-charging"/>
      <w:bookmarkEnd w:id="21"/>
      <w:bookmarkEnd w:id="25"/>
      <w:r>
        <w:t>7. OCPP integration and demo charging</w:t>
      </w:r>
    </w:p>
    <w:p w14:paraId="68D83269" w14:textId="77777777" w:rsidR="0044532A" w:rsidRDefault="00000000">
      <w:pPr>
        <w:pStyle w:val="Heading3"/>
      </w:pPr>
      <w:bookmarkStart w:id="27" w:name="charger-connection-and-telemetry"/>
      <w:r>
        <w:t>7.1 Charger connection and telemetry</w:t>
      </w:r>
    </w:p>
    <w:p w14:paraId="4912CE5F" w14:textId="77777777" w:rsidR="0044532A" w:rsidRDefault="00000000">
      <w:pPr>
        <w:pStyle w:val="FirstParagraph"/>
      </w:pPr>
      <w:r>
        <w:rPr>
          <w:rStyle w:val="VerbatimChar"/>
        </w:rPr>
        <w:t>server/ocpp.js</w:t>
      </w:r>
      <w:r>
        <w:t xml:space="preserve"> implements a prototype OCPP 1.6-J central system over authenticated WebSocket connections at </w:t>
      </w:r>
      <w:r>
        <w:rPr>
          <w:rStyle w:val="VerbatimChar"/>
        </w:rPr>
        <w:t>/ocpp/&lt;condo&gt;-&lt;bay&gt;</w:t>
      </w:r>
      <w:r>
        <w:t xml:space="preserve">, using the </w:t>
      </w:r>
      <w:r>
        <w:rPr>
          <w:rStyle w:val="VerbatimChar"/>
        </w:rPr>
        <w:t>ocpp1.6</w:t>
      </w:r>
      <w:r>
        <w:t xml:space="preserve"> subprotocol and HTTP Basic authentication. It handles boot, heartbeat, availability, fault/status, authorisation, start/stop transactions and meter values. A charger entering a fault state is logged in JMB maintenance and removed from service until a repair/available event.</w:t>
      </w:r>
    </w:p>
    <w:p w14:paraId="7183DF63" w14:textId="77777777" w:rsidR="0044532A" w:rsidRDefault="00000000">
      <w:pPr>
        <w:pStyle w:val="BodyText"/>
      </w:pPr>
      <w:r>
        <w:rPr>
          <w:rStyle w:val="VerbatimChar"/>
        </w:rPr>
        <w:t>SetChargingProfile</w:t>
      </w:r>
      <w:r>
        <w:t xml:space="preserve"> limits current allocation across active bays using a configured site limit; the demo default assumes </w:t>
      </w:r>
      <w:r>
        <w:rPr>
          <w:b/>
          <w:bCs/>
        </w:rPr>
        <w:t>60% of nameplate load</w:t>
      </w:r>
      <w:r>
        <w:t xml:space="preserve"> until a professional site electrical assessment supplies a safe limit. This setting is a software constraint, not proof of safe wiring or grid compliance.</w:t>
      </w:r>
    </w:p>
    <w:p w14:paraId="6B1DC0BD" w14:textId="77777777" w:rsidR="0044532A" w:rsidRDefault="00000000">
      <w:pPr>
        <w:pStyle w:val="Heading3"/>
      </w:pPr>
      <w:bookmarkStart w:id="28" w:name="booking-linked-charging-sequence"/>
      <w:bookmarkEnd w:id="27"/>
      <w:r>
        <w:t>7.2 Booking-linked charging sequence</w:t>
      </w:r>
    </w:p>
    <w:p w14:paraId="6F780287" w14:textId="77777777" w:rsidR="0044532A" w:rsidRDefault="00000000">
      <w:pPr>
        <w:pStyle w:val="Compact"/>
        <w:numPr>
          <w:ilvl w:val="0"/>
          <w:numId w:val="3"/>
        </w:numPr>
      </w:pPr>
      <w:r>
        <w:t>A valid resident/visitor booking is confirmed by the server.</w:t>
      </w:r>
    </w:p>
    <w:p w14:paraId="6A05D639" w14:textId="77777777" w:rsidR="0044532A" w:rsidRDefault="00000000">
      <w:pPr>
        <w:pStyle w:val="Compact"/>
        <w:numPr>
          <w:ilvl w:val="0"/>
          <w:numId w:val="3"/>
        </w:numPr>
      </w:pPr>
      <w:r>
        <w:t xml:space="preserve">The booking owner checks into an available bay and receives a one-time OCPP </w:t>
      </w:r>
      <w:r>
        <w:rPr>
          <w:rStyle w:val="VerbatimChar"/>
        </w:rPr>
        <w:t>idTag</w:t>
      </w:r>
      <w:r>
        <w:t>.</w:t>
      </w:r>
    </w:p>
    <w:p w14:paraId="7CF8392C" w14:textId="77777777" w:rsidR="0044532A" w:rsidRDefault="00000000">
      <w:pPr>
        <w:pStyle w:val="Compact"/>
        <w:numPr>
          <w:ilvl w:val="0"/>
          <w:numId w:val="3"/>
        </w:numPr>
      </w:pPr>
      <w:r>
        <w:t xml:space="preserve">A matching </w:t>
      </w:r>
      <w:r>
        <w:rPr>
          <w:rStyle w:val="VerbatimChar"/>
        </w:rPr>
        <w:t>Authorize</w:t>
      </w:r>
      <w:r>
        <w:t>/</w:t>
      </w:r>
      <w:r>
        <w:rPr>
          <w:rStyle w:val="VerbatimChar"/>
        </w:rPr>
        <w:t>StartTransaction</w:t>
      </w:r>
      <w:r>
        <w:t xml:space="preserve"> is received and bound to the same booking and bay.</w:t>
      </w:r>
    </w:p>
    <w:p w14:paraId="59B63F79" w14:textId="77777777" w:rsidR="0044532A" w:rsidRDefault="00000000">
      <w:pPr>
        <w:pStyle w:val="Compact"/>
        <w:numPr>
          <w:ilvl w:val="0"/>
          <w:numId w:val="3"/>
        </w:numPr>
      </w:pPr>
      <w:r>
        <w:t xml:space="preserve">Interim </w:t>
      </w:r>
      <w:r>
        <w:rPr>
          <w:rStyle w:val="VerbatimChar"/>
        </w:rPr>
        <w:t>MeterValues</w:t>
      </w:r>
      <w:r>
        <w:t xml:space="preserve"> update the driver’s simulated live kWh and battery-estimate display.</w:t>
      </w:r>
    </w:p>
    <w:p w14:paraId="3FADF3C7" w14:textId="77777777" w:rsidR="0044532A" w:rsidRDefault="00000000">
      <w:pPr>
        <w:pStyle w:val="Compact"/>
        <w:numPr>
          <w:ilvl w:val="0"/>
          <w:numId w:val="3"/>
        </w:numPr>
      </w:pPr>
      <w:r>
        <w:t xml:space="preserve">A matching </w:t>
      </w:r>
      <w:r>
        <w:rPr>
          <w:rStyle w:val="VerbatimChar"/>
        </w:rPr>
        <w:t>StopTransaction</w:t>
      </w:r>
      <w:r>
        <w:t xml:space="preserve"> with a plausible cumulative meter value computes the final delivered kWh and </w:t>
      </w:r>
      <w:r>
        <w:rPr>
          <w:b/>
          <w:bCs/>
        </w:rPr>
        <w:t>calculated charging receipt</w:t>
      </w:r>
      <w:r>
        <w:t>.</w:t>
      </w:r>
    </w:p>
    <w:p w14:paraId="0F6DE593" w14:textId="77777777" w:rsidR="0044532A" w:rsidRDefault="00000000">
      <w:pPr>
        <w:pStyle w:val="Compact"/>
        <w:numPr>
          <w:ilvl w:val="0"/>
          <w:numId w:val="3"/>
        </w:numPr>
      </w:pPr>
      <w:r>
        <w:t>The authenticated JMB monthly report includes the completed session. Interrupted, corrupt or unreconciled transactions are flagged for review and excluded from normal booked-session revenue.</w:t>
      </w:r>
    </w:p>
    <w:p w14:paraId="060CE86F" w14:textId="77777777" w:rsidR="0044532A" w:rsidRDefault="00000000">
      <w:pPr>
        <w:pStyle w:val="Heading3"/>
      </w:pPr>
      <w:bookmarkStart w:id="29" w:name="controlled-hackathon-simulation"/>
      <w:bookmarkEnd w:id="28"/>
      <w:r>
        <w:t>7.3 Controlled hackathon simulation</w:t>
      </w:r>
    </w:p>
    <w:p w14:paraId="383DAE5C" w14:textId="77777777" w:rsidR="0044532A" w:rsidRDefault="00000000">
      <w:pPr>
        <w:pStyle w:val="FirstParagraph"/>
      </w:pPr>
      <w:r>
        <w:t xml:space="preserve">With </w:t>
      </w:r>
      <w:r>
        <w:rPr>
          <w:rStyle w:val="VerbatimChar"/>
        </w:rPr>
        <w:t>DEMO_OCPP_CONTROLS=1</w:t>
      </w:r>
      <w:r>
        <w:t xml:space="preserve">, the backend exposes booking-owner-only, tag-verified </w:t>
      </w:r>
      <w:r>
        <w:rPr>
          <w:rStyle w:val="VerbatimChar"/>
        </w:rPr>
        <w:t>POST /api/bookings/:id/demo-ocpp</w:t>
      </w:r>
      <w:r>
        <w:t xml:space="preserve"> actions for </w:t>
      </w:r>
      <w:r>
        <w:rPr>
          <w:rStyle w:val="VerbatimChar"/>
        </w:rPr>
        <w:t>start</w:t>
      </w:r>
      <w:r>
        <w:t xml:space="preserve"> and </w:t>
      </w:r>
      <w:r>
        <w:rPr>
          <w:rStyle w:val="VerbatimChar"/>
        </w:rPr>
        <w:t>finish</w:t>
      </w:r>
      <w:r>
        <w:t xml:space="preserve">. These call an </w:t>
      </w:r>
      <w:r>
        <w:rPr>
          <w:b/>
          <w:bCs/>
        </w:rPr>
        <w:t>owned simulator connection</w:t>
      </w:r>
      <w:r>
        <w:t xml:space="preserve"> to produce protocol messages and sample meter progress. Demo controls are disabled by default and are not intended for physical deployment. The animated battery percentage is an estimate derived from a selected starting level and simulator energy—not a reading from a real vehicle.</w:t>
      </w:r>
    </w:p>
    <w:p w14:paraId="3156D691" w14:textId="77777777" w:rsidR="0044532A" w:rsidRDefault="00000000">
      <w:pPr>
        <w:pStyle w:val="BodyText"/>
      </w:pPr>
      <w:r>
        <w:t xml:space="preserve">An unlinked simulator transaction is not a booking-linked receipt. Simulator sessions may show protocol realism, but </w:t>
      </w:r>
      <w:r>
        <w:rPr>
          <w:b/>
          <w:bCs/>
        </w:rPr>
        <w:t>no EV received verified electricity and no customer payment was collected</w:t>
      </w:r>
      <w:r>
        <w:t>.</w:t>
      </w:r>
    </w:p>
    <w:p w14:paraId="6B7235AA" w14:textId="77777777" w:rsidR="0044532A" w:rsidRDefault="00000000">
      <w:pPr>
        <w:pStyle w:val="Heading2"/>
      </w:pPr>
      <w:bookmarkStart w:id="30" w:name="financial-model-and-reporting"/>
      <w:bookmarkEnd w:id="26"/>
      <w:bookmarkEnd w:id="29"/>
      <w:r>
        <w:t>8. Financial model and reporting</w:t>
      </w:r>
    </w:p>
    <w:p w14:paraId="1781B56B" w14:textId="77777777" w:rsidR="0044532A" w:rsidRDefault="00000000">
      <w:pPr>
        <w:pStyle w:val="Heading3"/>
      </w:pPr>
      <w:bookmarkStart w:id="31" w:name="two-financial-evidence-classes"/>
      <w:r>
        <w:t>8.1 Two financial evidence classes</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0604FA82"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66198AAF" w14:textId="77777777" w:rsidR="0044532A" w:rsidRDefault="00000000">
            <w:pPr>
              <w:pStyle w:val="Compact"/>
              <w:spacing w:before="20" w:after="20"/>
            </w:pPr>
            <w:r>
              <w:rPr>
                <w:b/>
                <w:sz w:val="16"/>
              </w:rPr>
              <w:t>Display/data source</w:t>
            </w:r>
          </w:p>
        </w:tc>
        <w:tc>
          <w:tcPr>
            <w:tcW w:w="2640" w:type="dxa"/>
            <w:shd w:val="clear" w:color="auto" w:fill="DFEFE9"/>
            <w:vAlign w:val="center"/>
          </w:tcPr>
          <w:p w14:paraId="7CEA39FB" w14:textId="77777777" w:rsidR="0044532A" w:rsidRDefault="00000000">
            <w:pPr>
              <w:pStyle w:val="Compact"/>
              <w:spacing w:before="20" w:after="20"/>
            </w:pPr>
            <w:r>
              <w:rPr>
                <w:b/>
                <w:sz w:val="16"/>
              </w:rPr>
              <w:t>Meaning</w:t>
            </w:r>
          </w:p>
        </w:tc>
        <w:tc>
          <w:tcPr>
            <w:tcW w:w="2640" w:type="dxa"/>
            <w:shd w:val="clear" w:color="auto" w:fill="DFEFE9"/>
            <w:vAlign w:val="center"/>
          </w:tcPr>
          <w:p w14:paraId="40BF4D4B" w14:textId="77777777" w:rsidR="0044532A" w:rsidRDefault="00000000">
            <w:pPr>
              <w:pStyle w:val="Compact"/>
              <w:spacing w:before="20" w:after="20"/>
            </w:pPr>
            <w:r>
              <w:rPr>
                <w:b/>
                <w:sz w:val="16"/>
              </w:rPr>
              <w:t>Not evidence of</w:t>
            </w:r>
          </w:p>
        </w:tc>
      </w:tr>
      <w:tr w:rsidR="0044532A" w14:paraId="3CBD0063" w14:textId="77777777" w:rsidTr="0044532A">
        <w:trPr>
          <w:jc w:val="center"/>
        </w:trPr>
        <w:tc>
          <w:tcPr>
            <w:tcW w:w="2640" w:type="dxa"/>
            <w:vAlign w:val="center"/>
          </w:tcPr>
          <w:p w14:paraId="080B12EA" w14:textId="77777777" w:rsidR="0044532A" w:rsidRDefault="00000000">
            <w:pPr>
              <w:pStyle w:val="Compact"/>
              <w:spacing w:before="20" w:after="20"/>
            </w:pPr>
            <w:r>
              <w:rPr>
                <w:sz w:val="16"/>
              </w:rPr>
              <w:t xml:space="preserve">JMB historical/forecast dashboards, </w:t>
            </w:r>
            <w:r>
              <w:rPr>
                <w:rStyle w:val="VerbatimChar"/>
                <w:rFonts w:ascii="Aptos" w:hAnsi="Aptos"/>
                <w:sz w:val="16"/>
              </w:rPr>
              <w:t>simulateCondoMonth()</w:t>
            </w:r>
          </w:p>
        </w:tc>
        <w:tc>
          <w:tcPr>
            <w:tcW w:w="2640" w:type="dxa"/>
            <w:vAlign w:val="center"/>
          </w:tcPr>
          <w:p w14:paraId="2BE14BA3" w14:textId="77777777" w:rsidR="0044532A" w:rsidRDefault="00000000">
            <w:pPr>
              <w:pStyle w:val="Compact"/>
              <w:spacing w:before="20" w:after="20"/>
            </w:pPr>
            <w:r>
              <w:rPr>
                <w:sz w:val="16"/>
              </w:rPr>
              <w:t>Illustrative utilisation, receipts and six-month trend projection</w:t>
            </w:r>
          </w:p>
        </w:tc>
        <w:tc>
          <w:tcPr>
            <w:tcW w:w="2640" w:type="dxa"/>
            <w:vAlign w:val="center"/>
          </w:tcPr>
          <w:p w14:paraId="7D1F81A1" w14:textId="77777777" w:rsidR="0044532A" w:rsidRDefault="00000000">
            <w:pPr>
              <w:pStyle w:val="Compact"/>
              <w:spacing w:before="20" w:after="20"/>
            </w:pPr>
            <w:r>
              <w:rPr>
                <w:sz w:val="16"/>
              </w:rPr>
              <w:t>Metered kWh, paid customer invoices, true monthly profit</w:t>
            </w:r>
          </w:p>
        </w:tc>
      </w:tr>
      <w:tr w:rsidR="0044532A" w14:paraId="593C3CB0" w14:textId="77777777" w:rsidTr="0044532A">
        <w:trPr>
          <w:jc w:val="center"/>
        </w:trPr>
        <w:tc>
          <w:tcPr>
            <w:tcW w:w="2640" w:type="dxa"/>
            <w:vAlign w:val="center"/>
          </w:tcPr>
          <w:p w14:paraId="39C4BC64" w14:textId="77777777" w:rsidR="0044532A" w:rsidRDefault="00000000">
            <w:pPr>
              <w:pStyle w:val="Compact"/>
              <w:spacing w:before="20" w:after="20"/>
            </w:pPr>
            <w:r>
              <w:rPr>
                <w:sz w:val="16"/>
              </w:rPr>
              <w:t>JMB recorded-charging API (</w:t>
            </w:r>
            <w:r>
              <w:rPr>
                <w:rStyle w:val="VerbatimChar"/>
                <w:rFonts w:ascii="Aptos" w:hAnsi="Aptos"/>
                <w:sz w:val="16"/>
              </w:rPr>
              <w:t>chargingRevenueReport()</w:t>
            </w:r>
            <w:r>
              <w:rPr>
                <w:sz w:val="16"/>
              </w:rPr>
              <w:t>)</w:t>
            </w:r>
          </w:p>
        </w:tc>
        <w:tc>
          <w:tcPr>
            <w:tcW w:w="2640" w:type="dxa"/>
            <w:vAlign w:val="center"/>
          </w:tcPr>
          <w:p w14:paraId="4B7C2DC8" w14:textId="77777777" w:rsidR="0044532A" w:rsidRDefault="00000000">
            <w:pPr>
              <w:pStyle w:val="Compact"/>
              <w:spacing w:before="20" w:after="20"/>
            </w:pPr>
            <w:r>
              <w:rPr>
                <w:sz w:val="16"/>
              </w:rPr>
              <w:t xml:space="preserve">Calculated receipts from validated completed </w:t>
            </w:r>
            <w:r>
              <w:rPr>
                <w:b/>
                <w:bCs/>
                <w:sz w:val="16"/>
              </w:rPr>
              <w:t>booking-linked OCPP transactions</w:t>
            </w:r>
          </w:p>
        </w:tc>
        <w:tc>
          <w:tcPr>
            <w:tcW w:w="2640" w:type="dxa"/>
            <w:vAlign w:val="center"/>
          </w:tcPr>
          <w:p w14:paraId="75F5293F" w14:textId="77777777" w:rsidR="0044532A" w:rsidRDefault="00000000">
            <w:pPr>
              <w:pStyle w:val="Compact"/>
              <w:spacing w:before="20" w:after="20"/>
            </w:pPr>
            <w:r>
              <w:rPr>
                <w:sz w:val="16"/>
              </w:rPr>
              <w:t>Bank settlement, verified hardware measurements when simulator is used</w:t>
            </w:r>
          </w:p>
        </w:tc>
      </w:tr>
    </w:tbl>
    <w:p w14:paraId="76F10DDE" w14:textId="77777777" w:rsidR="0044532A" w:rsidRDefault="00000000">
      <w:pPr>
        <w:pStyle w:val="Heading3"/>
      </w:pPr>
      <w:bookmarkStart w:id="32" w:name="maintenance-cost-recovery-formula"/>
      <w:bookmarkEnd w:id="31"/>
      <w:r>
        <w:t>8.2 Maintenance-cost-recovery formula</w:t>
      </w:r>
    </w:p>
    <w:p w14:paraId="18ADE700" w14:textId="77777777" w:rsidR="0044532A" w:rsidRDefault="00000000">
      <w:pPr>
        <w:pStyle w:val="FirstParagraph"/>
      </w:pPr>
      <w:r>
        <w:t>For an illustrative monthly period:</w:t>
      </w:r>
    </w:p>
    <w:p w14:paraId="6283AD4F" w14:textId="77777777" w:rsidR="0044532A" w:rsidRDefault="00000000">
      <w:pPr>
        <w:pStyle w:val="BodyText"/>
      </w:pPr>
      <w:r>
        <w:rPr>
          <w:rStyle w:val="VerbatimChar"/>
        </w:rPr>
        <w:lastRenderedPageBreak/>
        <w:t>operating_surplus = revenue − electricity_cost − other_variable_cost − fixed_monthly_cost − maintenance_cost</w:t>
      </w:r>
    </w:p>
    <w:p w14:paraId="709CA662" w14:textId="77777777" w:rsidR="0044532A" w:rsidRDefault="00000000">
      <w:pPr>
        <w:pStyle w:val="BodyText"/>
      </w:pPr>
      <w:r>
        <w:rPr>
          <w:rStyle w:val="VerbatimChar"/>
        </w:rPr>
        <w:t>JMB_allocation = max(operating_surplus, 0) × JMB_share</w:t>
      </w:r>
    </w:p>
    <w:p w14:paraId="44A7F304" w14:textId="77777777" w:rsidR="0044532A" w:rsidRDefault="00000000">
      <w:pPr>
        <w:pStyle w:val="BodyText"/>
      </w:pPr>
      <w:r>
        <w:rPr>
          <w:rStyle w:val="VerbatimChar"/>
        </w:rPr>
        <w:t>CPO_allocation = max(operating_surplus, 0) − JMB_allocation</w:t>
      </w:r>
    </w:p>
    <w:p w14:paraId="7A22AC34" w14:textId="77777777" w:rsidR="0044532A" w:rsidRDefault="00000000">
      <w:pPr>
        <w:pStyle w:val="BodyText"/>
      </w:pPr>
      <w:r>
        <w:rPr>
          <w:rStyle w:val="VerbatimChar"/>
        </w:rPr>
        <w:t>per_unit_saving = JMB_allocation / number_of_units</w:t>
      </w:r>
    </w:p>
    <w:p w14:paraId="1F35393C" w14:textId="77777777" w:rsidR="0044532A" w:rsidRDefault="00000000">
      <w:pPr>
        <w:pStyle w:val="BodyText"/>
      </w:pPr>
      <w:r>
        <w:t xml:space="preserve">The code uses configurable condo allocations, with a typical </w:t>
      </w:r>
      <w:r>
        <w:rPr>
          <w:b/>
          <w:bCs/>
        </w:rPr>
        <w:t>30% JMB / 70% CPO split</w:t>
      </w:r>
      <w:r>
        <w:t xml:space="preserve"> in its demo. Allocation only occurs for a positive operating surplus. Its break-even calculation uses effective per-kWh contribution margin and monthly costs.</w:t>
      </w:r>
    </w:p>
    <w:p w14:paraId="57E16D51" w14:textId="77777777" w:rsidR="0044532A" w:rsidRDefault="00000000">
      <w:pPr>
        <w:pStyle w:val="Heading3"/>
      </w:pPr>
      <w:bookmarkStart w:id="33" w:name="proposal-aligned-illustrative-base-case"/>
      <w:bookmarkEnd w:id="32"/>
      <w:r>
        <w:t>8.3 Proposal-aligned illustrative base case</w:t>
      </w:r>
    </w:p>
    <w:tbl>
      <w:tblPr>
        <w:tblStyle w:val="Table"/>
        <w:tblW w:w="0" w:type="auto"/>
        <w:jc w:val="center"/>
        <w:tblLook w:val="0020" w:firstRow="1" w:lastRow="0" w:firstColumn="0" w:lastColumn="0" w:noHBand="0" w:noVBand="0"/>
      </w:tblPr>
      <w:tblGrid>
        <w:gridCol w:w="3177"/>
        <w:gridCol w:w="1105"/>
      </w:tblGrid>
      <w:tr w:rsidR="0044532A" w14:paraId="6F325E1A"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FEFE9"/>
            <w:vAlign w:val="center"/>
          </w:tcPr>
          <w:p w14:paraId="7E2B90F1" w14:textId="77777777" w:rsidR="0044532A" w:rsidRDefault="00000000">
            <w:pPr>
              <w:pStyle w:val="Compact"/>
              <w:spacing w:before="20" w:after="20"/>
            </w:pPr>
            <w:r>
              <w:rPr>
                <w:b/>
                <w:sz w:val="16"/>
              </w:rPr>
              <w:t>Assumption or computed outcome</w:t>
            </w:r>
          </w:p>
        </w:tc>
        <w:tc>
          <w:tcPr>
            <w:tcW w:w="0" w:type="auto"/>
            <w:shd w:val="clear" w:color="auto" w:fill="DFEFE9"/>
            <w:vAlign w:val="center"/>
          </w:tcPr>
          <w:p w14:paraId="6864698E" w14:textId="77777777" w:rsidR="0044532A" w:rsidRDefault="00000000">
            <w:pPr>
              <w:pStyle w:val="Compact"/>
              <w:spacing w:before="20" w:after="20"/>
              <w:jc w:val="right"/>
            </w:pPr>
            <w:r>
              <w:rPr>
                <w:b/>
                <w:sz w:val="16"/>
              </w:rPr>
              <w:t>Value</w:t>
            </w:r>
          </w:p>
        </w:tc>
      </w:tr>
      <w:tr w:rsidR="0044532A" w14:paraId="0337C3E2" w14:textId="77777777" w:rsidTr="0044532A">
        <w:trPr>
          <w:jc w:val="center"/>
        </w:trPr>
        <w:tc>
          <w:tcPr>
            <w:tcW w:w="0" w:type="auto"/>
            <w:vAlign w:val="center"/>
          </w:tcPr>
          <w:p w14:paraId="7A50EC66" w14:textId="77777777" w:rsidR="0044532A" w:rsidRDefault="00000000">
            <w:pPr>
              <w:pStyle w:val="Compact"/>
              <w:spacing w:before="20" w:after="20"/>
            </w:pPr>
            <w:r>
              <w:rPr>
                <w:sz w:val="16"/>
              </w:rPr>
              <w:t>Monthly delivered energy</w:t>
            </w:r>
          </w:p>
        </w:tc>
        <w:tc>
          <w:tcPr>
            <w:tcW w:w="0" w:type="auto"/>
            <w:vAlign w:val="center"/>
          </w:tcPr>
          <w:p w14:paraId="0D8A06E9" w14:textId="77777777" w:rsidR="0044532A" w:rsidRDefault="00000000">
            <w:pPr>
              <w:pStyle w:val="Compact"/>
              <w:spacing w:before="20" w:after="20"/>
              <w:jc w:val="right"/>
            </w:pPr>
            <w:r>
              <w:rPr>
                <w:sz w:val="16"/>
              </w:rPr>
              <w:t>4,050 kWh</w:t>
            </w:r>
          </w:p>
        </w:tc>
      </w:tr>
      <w:tr w:rsidR="0044532A" w14:paraId="447F10E8" w14:textId="77777777" w:rsidTr="0044532A">
        <w:trPr>
          <w:jc w:val="center"/>
        </w:trPr>
        <w:tc>
          <w:tcPr>
            <w:tcW w:w="0" w:type="auto"/>
            <w:vAlign w:val="center"/>
          </w:tcPr>
          <w:p w14:paraId="0D62612A" w14:textId="77777777" w:rsidR="0044532A" w:rsidRDefault="00000000">
            <w:pPr>
              <w:pStyle w:val="Compact"/>
              <w:spacing w:before="20" w:after="20"/>
            </w:pPr>
            <w:r>
              <w:rPr>
                <w:sz w:val="16"/>
              </w:rPr>
              <w:t>Average receipt rate</w:t>
            </w:r>
          </w:p>
        </w:tc>
        <w:tc>
          <w:tcPr>
            <w:tcW w:w="0" w:type="auto"/>
            <w:vAlign w:val="center"/>
          </w:tcPr>
          <w:p w14:paraId="1236343F" w14:textId="77777777" w:rsidR="0044532A" w:rsidRDefault="00000000">
            <w:pPr>
              <w:pStyle w:val="Compact"/>
              <w:spacing w:before="20" w:after="20"/>
              <w:jc w:val="right"/>
            </w:pPr>
            <w:r>
              <w:rPr>
                <w:sz w:val="16"/>
              </w:rPr>
              <w:t>RM0.90/kWh</w:t>
            </w:r>
          </w:p>
        </w:tc>
      </w:tr>
      <w:tr w:rsidR="0044532A" w14:paraId="23D3C489" w14:textId="77777777" w:rsidTr="0044532A">
        <w:trPr>
          <w:jc w:val="center"/>
        </w:trPr>
        <w:tc>
          <w:tcPr>
            <w:tcW w:w="0" w:type="auto"/>
            <w:vAlign w:val="center"/>
          </w:tcPr>
          <w:p w14:paraId="59B85AB6" w14:textId="77777777" w:rsidR="0044532A" w:rsidRDefault="00000000">
            <w:pPr>
              <w:pStyle w:val="Compact"/>
              <w:spacing w:before="20" w:after="20"/>
            </w:pPr>
            <w:r>
              <w:rPr>
                <w:sz w:val="16"/>
              </w:rPr>
              <w:t>Gross receipts</w:t>
            </w:r>
          </w:p>
        </w:tc>
        <w:tc>
          <w:tcPr>
            <w:tcW w:w="0" w:type="auto"/>
            <w:vAlign w:val="center"/>
          </w:tcPr>
          <w:p w14:paraId="107CEE6F" w14:textId="77777777" w:rsidR="0044532A" w:rsidRDefault="00000000">
            <w:pPr>
              <w:pStyle w:val="Compact"/>
              <w:spacing w:before="20" w:after="20"/>
              <w:jc w:val="right"/>
            </w:pPr>
            <w:r>
              <w:rPr>
                <w:sz w:val="16"/>
              </w:rPr>
              <w:t>RM3,645.00</w:t>
            </w:r>
          </w:p>
        </w:tc>
      </w:tr>
      <w:tr w:rsidR="0044532A" w14:paraId="5694FAEF" w14:textId="77777777" w:rsidTr="0044532A">
        <w:trPr>
          <w:jc w:val="center"/>
        </w:trPr>
        <w:tc>
          <w:tcPr>
            <w:tcW w:w="0" w:type="auto"/>
            <w:vAlign w:val="center"/>
          </w:tcPr>
          <w:p w14:paraId="0E2775B1" w14:textId="77777777" w:rsidR="0044532A" w:rsidRDefault="00000000">
            <w:pPr>
              <w:pStyle w:val="Compact"/>
              <w:spacing w:before="20" w:after="20"/>
            </w:pPr>
            <w:r>
              <w:rPr>
                <w:sz w:val="16"/>
              </w:rPr>
              <w:t>Electricity cost (RM0.55/kWh)</w:t>
            </w:r>
          </w:p>
        </w:tc>
        <w:tc>
          <w:tcPr>
            <w:tcW w:w="0" w:type="auto"/>
            <w:vAlign w:val="center"/>
          </w:tcPr>
          <w:p w14:paraId="1ADACA70" w14:textId="77777777" w:rsidR="0044532A" w:rsidRDefault="00000000">
            <w:pPr>
              <w:pStyle w:val="Compact"/>
              <w:spacing w:before="20" w:after="20"/>
              <w:jc w:val="right"/>
            </w:pPr>
            <w:r>
              <w:rPr>
                <w:sz w:val="16"/>
              </w:rPr>
              <w:t>RM2,227.50</w:t>
            </w:r>
          </w:p>
        </w:tc>
      </w:tr>
      <w:tr w:rsidR="0044532A" w14:paraId="5BBCB048" w14:textId="77777777" w:rsidTr="0044532A">
        <w:trPr>
          <w:jc w:val="center"/>
        </w:trPr>
        <w:tc>
          <w:tcPr>
            <w:tcW w:w="0" w:type="auto"/>
            <w:vAlign w:val="center"/>
          </w:tcPr>
          <w:p w14:paraId="2C6B9145" w14:textId="77777777" w:rsidR="0044532A" w:rsidRDefault="00000000">
            <w:pPr>
              <w:pStyle w:val="Compact"/>
              <w:spacing w:before="20" w:after="20"/>
            </w:pPr>
            <w:r>
              <w:rPr>
                <w:sz w:val="16"/>
              </w:rPr>
              <w:t>Other variable costs (RM0.05/kWh)</w:t>
            </w:r>
          </w:p>
        </w:tc>
        <w:tc>
          <w:tcPr>
            <w:tcW w:w="0" w:type="auto"/>
            <w:vAlign w:val="center"/>
          </w:tcPr>
          <w:p w14:paraId="35B0D3DE" w14:textId="77777777" w:rsidR="0044532A" w:rsidRDefault="00000000">
            <w:pPr>
              <w:pStyle w:val="Compact"/>
              <w:spacing w:before="20" w:after="20"/>
              <w:jc w:val="right"/>
            </w:pPr>
            <w:r>
              <w:rPr>
                <w:sz w:val="16"/>
              </w:rPr>
              <w:t>RM202.50</w:t>
            </w:r>
          </w:p>
        </w:tc>
      </w:tr>
      <w:tr w:rsidR="0044532A" w14:paraId="17D115A9" w14:textId="77777777" w:rsidTr="0044532A">
        <w:trPr>
          <w:jc w:val="center"/>
        </w:trPr>
        <w:tc>
          <w:tcPr>
            <w:tcW w:w="0" w:type="auto"/>
            <w:vAlign w:val="center"/>
          </w:tcPr>
          <w:p w14:paraId="70C3A2AE" w14:textId="77777777" w:rsidR="0044532A" w:rsidRDefault="00000000">
            <w:pPr>
              <w:pStyle w:val="Compact"/>
              <w:spacing w:before="20" w:after="20"/>
            </w:pPr>
            <w:r>
              <w:rPr>
                <w:sz w:val="16"/>
              </w:rPr>
              <w:t>Fixed monthly cost (four bays × RM125)</w:t>
            </w:r>
          </w:p>
        </w:tc>
        <w:tc>
          <w:tcPr>
            <w:tcW w:w="0" w:type="auto"/>
            <w:vAlign w:val="center"/>
          </w:tcPr>
          <w:p w14:paraId="1C44D5F7" w14:textId="77777777" w:rsidR="0044532A" w:rsidRDefault="00000000">
            <w:pPr>
              <w:pStyle w:val="Compact"/>
              <w:spacing w:before="20" w:after="20"/>
              <w:jc w:val="right"/>
            </w:pPr>
            <w:r>
              <w:rPr>
                <w:sz w:val="16"/>
              </w:rPr>
              <w:t>RM500.00</w:t>
            </w:r>
          </w:p>
        </w:tc>
      </w:tr>
      <w:tr w:rsidR="0044532A" w14:paraId="27B875BE" w14:textId="77777777" w:rsidTr="0044532A">
        <w:trPr>
          <w:jc w:val="center"/>
        </w:trPr>
        <w:tc>
          <w:tcPr>
            <w:tcW w:w="0" w:type="auto"/>
            <w:vAlign w:val="center"/>
          </w:tcPr>
          <w:p w14:paraId="4B38BF53" w14:textId="77777777" w:rsidR="0044532A" w:rsidRDefault="00000000">
            <w:pPr>
              <w:pStyle w:val="Compact"/>
              <w:spacing w:before="20" w:after="20"/>
            </w:pPr>
            <w:r>
              <w:rPr>
                <w:sz w:val="16"/>
              </w:rPr>
              <w:t>Operating surplus before additional repairs</w:t>
            </w:r>
          </w:p>
        </w:tc>
        <w:tc>
          <w:tcPr>
            <w:tcW w:w="0" w:type="auto"/>
            <w:vAlign w:val="center"/>
          </w:tcPr>
          <w:p w14:paraId="5B109F34" w14:textId="77777777" w:rsidR="0044532A" w:rsidRDefault="00000000">
            <w:pPr>
              <w:pStyle w:val="Compact"/>
              <w:spacing w:before="20" w:after="20"/>
              <w:jc w:val="right"/>
            </w:pPr>
            <w:r>
              <w:rPr>
                <w:sz w:val="16"/>
              </w:rPr>
              <w:t>RM715.00</w:t>
            </w:r>
          </w:p>
        </w:tc>
      </w:tr>
      <w:tr w:rsidR="0044532A" w14:paraId="59B0F02B" w14:textId="77777777" w:rsidTr="0044532A">
        <w:trPr>
          <w:jc w:val="center"/>
        </w:trPr>
        <w:tc>
          <w:tcPr>
            <w:tcW w:w="0" w:type="auto"/>
            <w:vAlign w:val="center"/>
          </w:tcPr>
          <w:p w14:paraId="6A89CA6B" w14:textId="77777777" w:rsidR="0044532A" w:rsidRDefault="00000000">
            <w:pPr>
              <w:pStyle w:val="Compact"/>
              <w:spacing w:before="20" w:after="20"/>
            </w:pPr>
            <w:r>
              <w:rPr>
                <w:sz w:val="16"/>
              </w:rPr>
              <w:t>JMB illustrative share (30%)</w:t>
            </w:r>
          </w:p>
        </w:tc>
        <w:tc>
          <w:tcPr>
            <w:tcW w:w="0" w:type="auto"/>
            <w:vAlign w:val="center"/>
          </w:tcPr>
          <w:p w14:paraId="43276741" w14:textId="77777777" w:rsidR="0044532A" w:rsidRDefault="00000000">
            <w:pPr>
              <w:pStyle w:val="Compact"/>
              <w:spacing w:before="20" w:after="20"/>
              <w:jc w:val="right"/>
            </w:pPr>
            <w:r>
              <w:rPr>
                <w:sz w:val="16"/>
              </w:rPr>
              <w:t>RM214.50</w:t>
            </w:r>
          </w:p>
        </w:tc>
      </w:tr>
    </w:tbl>
    <w:p w14:paraId="73FA8D5D" w14:textId="77777777" w:rsidR="0044532A" w:rsidRDefault="00000000">
      <w:pPr>
        <w:pStyle w:val="BodyText"/>
      </w:pPr>
      <w:r>
        <w:t xml:space="preserve">These assumptions come from the proposal’s §6.2 example and match </w:t>
      </w:r>
      <w:r>
        <w:rPr>
          <w:rStyle w:val="VerbatimChar"/>
        </w:rPr>
        <w:t>config.js</w:t>
      </w:r>
      <w:r>
        <w:t>/</w:t>
      </w:r>
      <w:r>
        <w:rPr>
          <w:rStyle w:val="VerbatimChar"/>
        </w:rPr>
        <w:t>engine/recovery.js</w:t>
      </w:r>
      <w:r>
        <w:t xml:space="preserve">. They are </w:t>
      </w:r>
      <w:r>
        <w:rPr>
          <w:b/>
          <w:bCs/>
        </w:rPr>
        <w:t>not actual site earnings</w:t>
      </w:r>
      <w:r>
        <w:t>; real tariffs, utilisation, maintenance, taxes, insurance and CPO contracts may materially change the result.</w:t>
      </w:r>
    </w:p>
    <w:p w14:paraId="6E0E30A1" w14:textId="77777777" w:rsidR="0044532A" w:rsidRDefault="00000000">
      <w:pPr>
        <w:pStyle w:val="Heading3"/>
      </w:pPr>
      <w:bookmarkStart w:id="34" w:name="isolated-four-bay-simulator-evidence"/>
      <w:bookmarkEnd w:id="33"/>
      <w:r>
        <w:t>8.4 Isolated four-bay simulator evidence</w:t>
      </w:r>
    </w:p>
    <w:p w14:paraId="316C7678" w14:textId="77777777" w:rsidR="0044532A" w:rsidRDefault="00000000">
      <w:pPr>
        <w:pStyle w:val="FirstParagraph"/>
      </w:pPr>
      <w:r>
        <w:t xml:space="preserve">The Phase 8 automated pilot reported </w:t>
      </w:r>
      <w:r>
        <w:rPr>
          <w:b/>
          <w:bCs/>
        </w:rPr>
        <w:t>22.5 kWh</w:t>
      </w:r>
      <w:r>
        <w:t xml:space="preserve">, </w:t>
      </w:r>
      <w:r>
        <w:rPr>
          <w:b/>
          <w:bCs/>
        </w:rPr>
        <w:t>RM22.75 calculated receipts</w:t>
      </w:r>
      <w:r>
        <w:t xml:space="preserve">, and operating surplus of approximately </w:t>
      </w:r>
      <w:r>
        <w:rPr>
          <w:b/>
          <w:bCs/>
        </w:rPr>
        <w:t>−RM490.76</w:t>
      </w:r>
      <w:r>
        <w:t xml:space="preserve"> after including the illustrative RM500 fixed monthly cost; hence </w:t>
      </w:r>
      <w:r>
        <w:rPr>
          <w:b/>
          <w:bCs/>
        </w:rPr>
        <w:t>RM0 JMB allocation</w:t>
      </w:r>
      <w:r>
        <w:t xml:space="preserve"> in that small test sample. These numbers are </w:t>
      </w:r>
      <w:r>
        <w:rPr>
          <w:i/>
          <w:iCs/>
        </w:rPr>
        <w:t>test-fixture outcomes</w:t>
      </w:r>
      <w:r>
        <w:t>, not six-month operating performance, and must never be combined with the 4,050-kWh monthly forecast as if they represent the same interval.</w:t>
      </w:r>
    </w:p>
    <w:p w14:paraId="29099550" w14:textId="77777777" w:rsidR="0044532A" w:rsidRDefault="00000000">
      <w:pPr>
        <w:pStyle w:val="Heading2"/>
      </w:pPr>
      <w:bookmarkStart w:id="35" w:name="access-control-privacy-and-governance"/>
      <w:bookmarkEnd w:id="30"/>
      <w:bookmarkEnd w:id="34"/>
      <w:r>
        <w:t>9. Access control, privacy and governance</w:t>
      </w:r>
    </w:p>
    <w:p w14:paraId="6FB1EEFC" w14:textId="77777777" w:rsidR="0044532A" w:rsidRDefault="00000000">
      <w:pPr>
        <w:pStyle w:val="Heading3"/>
      </w:pPr>
      <w:bookmarkStart w:id="36" w:name="jmb-authentication-and-private-data"/>
      <w:r>
        <w:t>9.1 JMB authentication and private data</w:t>
      </w:r>
    </w:p>
    <w:p w14:paraId="182A19FB" w14:textId="77777777" w:rsidR="0044532A" w:rsidRDefault="00000000">
      <w:pPr>
        <w:pStyle w:val="FirstParagraph"/>
      </w:pPr>
      <w:r>
        <w:rPr>
          <w:rStyle w:val="VerbatimChar"/>
        </w:rPr>
        <w:t>server/auth.js</w:t>
      </w:r>
      <w:r>
        <w:t xml:space="preserve"> signs condo-scoped bearer tokens with HMAC-SHA256, expiring after 12 hours. Wrong PIN attempts are throttled (up to 10 failures in a 10-minute window per condo/client). Sensitive JMB routes require an authenticated token for the specific condominium. The server keeps the JMB secret, OCPP password and AI credentials in environment variables; test PINs are demonstration credentials, not production secrets.</w:t>
      </w:r>
    </w:p>
    <w:p w14:paraId="22338355" w14:textId="77777777" w:rsidR="0044532A" w:rsidRDefault="00000000">
      <w:pPr>
        <w:pStyle w:val="BodyText"/>
      </w:pPr>
      <w:r>
        <w:t>A public world/charger response does not expose resident access secrets, booking cancellation tokens or JMB bearer tokens. Visitors’ plates are intended for privileged expected-visitor workflows. The single-process private JSON store and browser-side access controls do not constitute full production privacy governance.</w:t>
      </w:r>
    </w:p>
    <w:p w14:paraId="2D4222DB" w14:textId="77777777" w:rsidR="0044532A" w:rsidRDefault="00000000">
      <w:pPr>
        <w:pStyle w:val="Heading3"/>
      </w:pPr>
      <w:bookmarkStart w:id="37" w:name="verified-unit-voting"/>
      <w:bookmarkEnd w:id="36"/>
      <w:r>
        <w:t>9.2 Verified-unit voting</w:t>
      </w:r>
    </w:p>
    <w:p w14:paraId="5D3FF044" w14:textId="77777777" w:rsidR="0044532A" w:rsidRDefault="00000000">
      <w:pPr>
        <w:pStyle w:val="FirstParagraph"/>
      </w:pPr>
      <w:r>
        <w:t xml:space="preserve">A JMB may issue a resident access key after checking a unit identifier. The system HMAC-hashes a normalised unit reference and tracks </w:t>
      </w:r>
      <w:r>
        <w:rPr>
          <w:b/>
          <w:bCs/>
        </w:rPr>
        <w:t>one vote per verified unit</w:t>
      </w:r>
      <w:r>
        <w:t xml:space="preserve">, even if the JMB issued several credentials for that unit. Booking-only keys cannot vote. Proposals close after seven days; the demonstrative acceptance rule is a simple majority with at least </w:t>
      </w:r>
      <w:r>
        <w:rPr>
          <w:b/>
          <w:bCs/>
        </w:rPr>
        <w:t>10% of condominium units voting</w:t>
      </w:r>
      <w:r>
        <w:t>. Sample votes are non-binding previews, and old unverified device-ID votes are not accepted as verified consent.</w:t>
      </w:r>
    </w:p>
    <w:p w14:paraId="78F15031" w14:textId="77777777" w:rsidR="0044532A" w:rsidRDefault="00000000">
      <w:pPr>
        <w:pStyle w:val="BodyText"/>
      </w:pPr>
      <w:r>
        <w:t>These are software demonstration thresholds. Actual resident rights, quorum, proxy voting, statutory requirements and management authority need confirmation with the applicable strata legislation, by-laws and qualified counsel.</w:t>
      </w:r>
    </w:p>
    <w:p w14:paraId="5C9E72CB" w14:textId="77777777" w:rsidR="0044532A" w:rsidRDefault="00000000">
      <w:pPr>
        <w:pStyle w:val="Heading3"/>
      </w:pPr>
      <w:bookmarkStart w:id="38" w:name="security-limitations"/>
      <w:bookmarkEnd w:id="37"/>
      <w:r>
        <w:lastRenderedPageBreak/>
        <w:t>9.3 Security limitations</w:t>
      </w:r>
    </w:p>
    <w:p w14:paraId="45A6AD7D" w14:textId="77777777" w:rsidR="0044532A" w:rsidRDefault="00000000">
      <w:pPr>
        <w:pStyle w:val="FirstParagraph"/>
      </w:pPr>
      <w:r>
        <w:t>Before deployment, the prototype needs verified ownership/tenancy enrolment, hardened administrator login and rotation procedures, secret management and incident logging, transactional storage, per-tenant access audits, data minimisation/retention review, payment-security architecture and independent threat testing. An exposed Google API key from development should be revoked and replaced before publication; no secret value is reproduced in this document.</w:t>
      </w:r>
    </w:p>
    <w:p w14:paraId="265A62C9" w14:textId="77777777" w:rsidR="0044532A" w:rsidRDefault="00000000">
      <w:pPr>
        <w:pStyle w:val="Heading2"/>
      </w:pPr>
      <w:bookmarkStart w:id="39" w:name="http-api-reference-selected"/>
      <w:bookmarkEnd w:id="35"/>
      <w:bookmarkEnd w:id="38"/>
      <w:r>
        <w:t>10. HTTP API reference (selected)</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4463597E"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748C92B5" w14:textId="77777777" w:rsidR="0044532A" w:rsidRDefault="00000000">
            <w:pPr>
              <w:pStyle w:val="Compact"/>
              <w:spacing w:before="20" w:after="20"/>
            </w:pPr>
            <w:r>
              <w:rPr>
                <w:b/>
                <w:sz w:val="16"/>
              </w:rPr>
              <w:t>Method and path</w:t>
            </w:r>
          </w:p>
        </w:tc>
        <w:tc>
          <w:tcPr>
            <w:tcW w:w="2640" w:type="dxa"/>
            <w:shd w:val="clear" w:color="auto" w:fill="DFEFE9"/>
            <w:vAlign w:val="center"/>
          </w:tcPr>
          <w:p w14:paraId="4FE513DA" w14:textId="77777777" w:rsidR="0044532A" w:rsidRDefault="00000000">
            <w:pPr>
              <w:pStyle w:val="Compact"/>
              <w:spacing w:before="20" w:after="20"/>
            </w:pPr>
            <w:r>
              <w:rPr>
                <w:b/>
                <w:sz w:val="16"/>
              </w:rPr>
              <w:t>Purpose</w:t>
            </w:r>
          </w:p>
        </w:tc>
        <w:tc>
          <w:tcPr>
            <w:tcW w:w="2640" w:type="dxa"/>
            <w:shd w:val="clear" w:color="auto" w:fill="DFEFE9"/>
            <w:vAlign w:val="center"/>
          </w:tcPr>
          <w:p w14:paraId="223773D4" w14:textId="77777777" w:rsidR="0044532A" w:rsidRDefault="00000000">
            <w:pPr>
              <w:pStyle w:val="Compact"/>
              <w:spacing w:before="20" w:after="20"/>
            </w:pPr>
            <w:r>
              <w:rPr>
                <w:b/>
                <w:sz w:val="16"/>
              </w:rPr>
              <w:t>Access and notable behaviour</w:t>
            </w:r>
          </w:p>
        </w:tc>
      </w:tr>
      <w:tr w:rsidR="0044532A" w14:paraId="5EAAC39B" w14:textId="77777777" w:rsidTr="0044532A">
        <w:trPr>
          <w:jc w:val="center"/>
        </w:trPr>
        <w:tc>
          <w:tcPr>
            <w:tcW w:w="2640" w:type="dxa"/>
            <w:vAlign w:val="center"/>
          </w:tcPr>
          <w:p w14:paraId="326D0992" w14:textId="77777777" w:rsidR="0044532A" w:rsidRDefault="00000000">
            <w:pPr>
              <w:pStyle w:val="Compact"/>
              <w:spacing w:before="20" w:after="20"/>
            </w:pPr>
            <w:r>
              <w:rPr>
                <w:rStyle w:val="VerbatimChar"/>
                <w:rFonts w:ascii="Aptos" w:hAnsi="Aptos"/>
                <w:sz w:val="16"/>
              </w:rPr>
              <w:t>GET /api/health</w:t>
            </w:r>
          </w:p>
        </w:tc>
        <w:tc>
          <w:tcPr>
            <w:tcW w:w="2640" w:type="dxa"/>
            <w:vAlign w:val="center"/>
          </w:tcPr>
          <w:p w14:paraId="1C14F4DE" w14:textId="77777777" w:rsidR="0044532A" w:rsidRDefault="00000000">
            <w:pPr>
              <w:pStyle w:val="Compact"/>
              <w:spacing w:before="20" w:after="20"/>
            </w:pPr>
            <w:r>
              <w:rPr>
                <w:sz w:val="16"/>
              </w:rPr>
              <w:t>Health indication</w:t>
            </w:r>
          </w:p>
        </w:tc>
        <w:tc>
          <w:tcPr>
            <w:tcW w:w="2640" w:type="dxa"/>
            <w:vAlign w:val="center"/>
          </w:tcPr>
          <w:p w14:paraId="6B029F6B" w14:textId="77777777" w:rsidR="0044532A" w:rsidRDefault="00000000">
            <w:pPr>
              <w:pStyle w:val="Compact"/>
              <w:spacing w:before="20" w:after="20"/>
            </w:pPr>
            <w:r>
              <w:rPr>
                <w:sz w:val="16"/>
              </w:rPr>
              <w:t>Public</w:t>
            </w:r>
          </w:p>
        </w:tc>
      </w:tr>
      <w:tr w:rsidR="0044532A" w14:paraId="08C17E84" w14:textId="77777777" w:rsidTr="0044532A">
        <w:trPr>
          <w:jc w:val="center"/>
        </w:trPr>
        <w:tc>
          <w:tcPr>
            <w:tcW w:w="2640" w:type="dxa"/>
            <w:vAlign w:val="center"/>
          </w:tcPr>
          <w:p w14:paraId="581EF530" w14:textId="77777777" w:rsidR="0044532A" w:rsidRDefault="00000000">
            <w:pPr>
              <w:pStyle w:val="Compact"/>
              <w:spacing w:before="20" w:after="20"/>
            </w:pPr>
            <w:r>
              <w:rPr>
                <w:rStyle w:val="VerbatimChar"/>
                <w:rFonts w:ascii="Aptos" w:hAnsi="Aptos"/>
                <w:sz w:val="16"/>
              </w:rPr>
              <w:t>GET /api/config</w:t>
            </w:r>
          </w:p>
        </w:tc>
        <w:tc>
          <w:tcPr>
            <w:tcW w:w="2640" w:type="dxa"/>
            <w:vAlign w:val="center"/>
          </w:tcPr>
          <w:p w14:paraId="36B11126" w14:textId="77777777" w:rsidR="0044532A" w:rsidRDefault="00000000">
            <w:pPr>
              <w:pStyle w:val="Compact"/>
              <w:spacing w:before="20" w:after="20"/>
            </w:pPr>
            <w:r>
              <w:rPr>
                <w:sz w:val="16"/>
              </w:rPr>
              <w:t>Feature flags (</w:t>
            </w:r>
            <w:r>
              <w:rPr>
                <w:rStyle w:val="VerbatimChar"/>
                <w:rFonts w:ascii="Aptos" w:hAnsi="Aptos"/>
                <w:sz w:val="16"/>
              </w:rPr>
              <w:t>ai</w:t>
            </w:r>
            <w:r>
              <w:rPr>
                <w:sz w:val="16"/>
              </w:rPr>
              <w:t>, traffic, optional demo OCPP)</w:t>
            </w:r>
          </w:p>
        </w:tc>
        <w:tc>
          <w:tcPr>
            <w:tcW w:w="2640" w:type="dxa"/>
            <w:vAlign w:val="center"/>
          </w:tcPr>
          <w:p w14:paraId="41EBA90F" w14:textId="77777777" w:rsidR="0044532A" w:rsidRDefault="00000000">
            <w:pPr>
              <w:pStyle w:val="Compact"/>
              <w:spacing w:before="20" w:after="20"/>
            </w:pPr>
            <w:r>
              <w:rPr>
                <w:sz w:val="16"/>
              </w:rPr>
              <w:t>Public; flag is not proof that AI calls succeed</w:t>
            </w:r>
          </w:p>
        </w:tc>
      </w:tr>
      <w:tr w:rsidR="0044532A" w14:paraId="123ECC38" w14:textId="77777777" w:rsidTr="0044532A">
        <w:trPr>
          <w:jc w:val="center"/>
        </w:trPr>
        <w:tc>
          <w:tcPr>
            <w:tcW w:w="2640" w:type="dxa"/>
            <w:vAlign w:val="center"/>
          </w:tcPr>
          <w:p w14:paraId="021F4E2C" w14:textId="77777777" w:rsidR="0044532A" w:rsidRDefault="00000000">
            <w:pPr>
              <w:pStyle w:val="Compact"/>
              <w:spacing w:before="20" w:after="20"/>
            </w:pPr>
            <w:r>
              <w:rPr>
                <w:rStyle w:val="VerbatimChar"/>
                <w:rFonts w:ascii="Aptos" w:hAnsi="Aptos"/>
                <w:sz w:val="16"/>
              </w:rPr>
              <w:t>GET /api/world</w:t>
            </w:r>
          </w:p>
        </w:tc>
        <w:tc>
          <w:tcPr>
            <w:tcW w:w="2640" w:type="dxa"/>
            <w:vAlign w:val="center"/>
          </w:tcPr>
          <w:p w14:paraId="060694A7" w14:textId="77777777" w:rsidR="0044532A" w:rsidRDefault="00000000">
            <w:pPr>
              <w:pStyle w:val="Compact"/>
              <w:spacing w:before="20" w:after="20"/>
            </w:pPr>
            <w:r>
              <w:rPr>
                <w:sz w:val="16"/>
              </w:rPr>
              <w:t>Shared state needed for driver recommendations</w:t>
            </w:r>
          </w:p>
        </w:tc>
        <w:tc>
          <w:tcPr>
            <w:tcW w:w="2640" w:type="dxa"/>
            <w:vAlign w:val="center"/>
          </w:tcPr>
          <w:p w14:paraId="458173A8" w14:textId="77777777" w:rsidR="0044532A" w:rsidRDefault="00000000">
            <w:pPr>
              <w:pStyle w:val="Compact"/>
              <w:spacing w:before="20" w:after="20"/>
            </w:pPr>
            <w:r>
              <w:rPr>
                <w:sz w:val="16"/>
              </w:rPr>
              <w:t>Public, privacy-filtered</w:t>
            </w:r>
          </w:p>
        </w:tc>
      </w:tr>
      <w:tr w:rsidR="0044532A" w14:paraId="62F43C23" w14:textId="77777777" w:rsidTr="0044532A">
        <w:trPr>
          <w:jc w:val="center"/>
        </w:trPr>
        <w:tc>
          <w:tcPr>
            <w:tcW w:w="2640" w:type="dxa"/>
            <w:vAlign w:val="center"/>
          </w:tcPr>
          <w:p w14:paraId="0E2D4A87" w14:textId="77777777" w:rsidR="0044532A" w:rsidRDefault="00000000">
            <w:pPr>
              <w:pStyle w:val="Compact"/>
              <w:spacing w:before="20" w:after="20"/>
            </w:pPr>
            <w:r>
              <w:rPr>
                <w:rStyle w:val="VerbatimChar"/>
                <w:rFonts w:ascii="Aptos" w:hAnsi="Aptos"/>
                <w:sz w:val="16"/>
              </w:rPr>
              <w:t>POST /api/agent</w:t>
            </w:r>
          </w:p>
        </w:tc>
        <w:tc>
          <w:tcPr>
            <w:tcW w:w="2640" w:type="dxa"/>
            <w:vAlign w:val="center"/>
          </w:tcPr>
          <w:p w14:paraId="7A90C9C6" w14:textId="77777777" w:rsidR="0044532A" w:rsidRDefault="00000000">
            <w:pPr>
              <w:pStyle w:val="Compact"/>
              <w:spacing w:before="20" w:after="20"/>
            </w:pPr>
            <w:r>
              <w:rPr>
                <w:sz w:val="16"/>
              </w:rPr>
              <w:t>Conversational AI orchestration</w:t>
            </w:r>
          </w:p>
        </w:tc>
        <w:tc>
          <w:tcPr>
            <w:tcW w:w="2640" w:type="dxa"/>
            <w:vAlign w:val="center"/>
          </w:tcPr>
          <w:p w14:paraId="1F999BA1" w14:textId="77777777" w:rsidR="0044532A" w:rsidRDefault="00000000">
            <w:pPr>
              <w:pStyle w:val="Compact"/>
              <w:spacing w:before="20" w:after="20"/>
            </w:pPr>
            <w:r>
              <w:rPr>
                <w:sz w:val="16"/>
              </w:rPr>
              <w:t>Rate-limited; requires configured provider</w:t>
            </w:r>
          </w:p>
        </w:tc>
      </w:tr>
      <w:tr w:rsidR="0044532A" w14:paraId="5930E755" w14:textId="77777777" w:rsidTr="0044532A">
        <w:trPr>
          <w:jc w:val="center"/>
        </w:trPr>
        <w:tc>
          <w:tcPr>
            <w:tcW w:w="2640" w:type="dxa"/>
            <w:vAlign w:val="center"/>
          </w:tcPr>
          <w:p w14:paraId="4EB403F3" w14:textId="77777777" w:rsidR="0044532A" w:rsidRDefault="00000000">
            <w:pPr>
              <w:pStyle w:val="Compact"/>
              <w:spacing w:before="20" w:after="20"/>
            </w:pPr>
            <w:r>
              <w:rPr>
                <w:rStyle w:val="VerbatimChar"/>
                <w:rFonts w:ascii="Aptos" w:hAnsi="Aptos"/>
                <w:sz w:val="16"/>
              </w:rPr>
              <w:t>POST /api/bookings</w:t>
            </w:r>
          </w:p>
        </w:tc>
        <w:tc>
          <w:tcPr>
            <w:tcW w:w="2640" w:type="dxa"/>
            <w:vAlign w:val="center"/>
          </w:tcPr>
          <w:p w14:paraId="6B085711" w14:textId="77777777" w:rsidR="0044532A" w:rsidRDefault="00000000">
            <w:pPr>
              <w:pStyle w:val="Compact"/>
              <w:spacing w:before="20" w:after="20"/>
            </w:pPr>
            <w:r>
              <w:rPr>
                <w:sz w:val="16"/>
              </w:rPr>
              <w:t>Create residential/shared booking</w:t>
            </w:r>
          </w:p>
        </w:tc>
        <w:tc>
          <w:tcPr>
            <w:tcW w:w="2640" w:type="dxa"/>
            <w:vAlign w:val="center"/>
          </w:tcPr>
          <w:p w14:paraId="3A01268E" w14:textId="77777777" w:rsidR="0044532A" w:rsidRDefault="00000000">
            <w:pPr>
              <w:pStyle w:val="Compact"/>
              <w:spacing w:before="20" w:after="20"/>
            </w:pPr>
            <w:r>
              <w:rPr>
                <w:sz w:val="16"/>
              </w:rPr>
              <w:t>Server validates role, timing, resident key, capacity; failure often 409</w:t>
            </w:r>
          </w:p>
        </w:tc>
      </w:tr>
      <w:tr w:rsidR="0044532A" w14:paraId="31E1C5D6" w14:textId="77777777" w:rsidTr="0044532A">
        <w:trPr>
          <w:jc w:val="center"/>
        </w:trPr>
        <w:tc>
          <w:tcPr>
            <w:tcW w:w="2640" w:type="dxa"/>
            <w:vAlign w:val="center"/>
          </w:tcPr>
          <w:p w14:paraId="4427883D" w14:textId="77777777" w:rsidR="0044532A" w:rsidRDefault="00000000">
            <w:pPr>
              <w:pStyle w:val="Compact"/>
              <w:spacing w:before="20" w:after="20"/>
            </w:pPr>
            <w:r>
              <w:rPr>
                <w:rStyle w:val="VerbatimChar"/>
                <w:rFonts w:ascii="Aptos" w:hAnsi="Aptos"/>
                <w:sz w:val="16"/>
              </w:rPr>
              <w:t>DELETE /api/bookings/:id</w:t>
            </w:r>
          </w:p>
        </w:tc>
        <w:tc>
          <w:tcPr>
            <w:tcW w:w="2640" w:type="dxa"/>
            <w:vAlign w:val="center"/>
          </w:tcPr>
          <w:p w14:paraId="3BA25644" w14:textId="77777777" w:rsidR="0044532A" w:rsidRDefault="00000000">
            <w:pPr>
              <w:pStyle w:val="Compact"/>
              <w:spacing w:before="20" w:after="20"/>
            </w:pPr>
            <w:r>
              <w:rPr>
                <w:sz w:val="16"/>
              </w:rPr>
              <w:t>Cancel owned booking</w:t>
            </w:r>
          </w:p>
        </w:tc>
        <w:tc>
          <w:tcPr>
            <w:tcW w:w="2640" w:type="dxa"/>
            <w:vAlign w:val="center"/>
          </w:tcPr>
          <w:p w14:paraId="5DD43AD4" w14:textId="77777777" w:rsidR="0044532A" w:rsidRDefault="00000000">
            <w:pPr>
              <w:pStyle w:val="Compact"/>
              <w:spacing w:before="20" w:after="20"/>
            </w:pPr>
            <w:r>
              <w:rPr>
                <w:sz w:val="16"/>
              </w:rPr>
              <w:t xml:space="preserve">Requires matching </w:t>
            </w:r>
            <w:r>
              <w:rPr>
                <w:rStyle w:val="VerbatimChar"/>
                <w:rFonts w:ascii="Aptos" w:hAnsi="Aptos"/>
                <w:sz w:val="16"/>
              </w:rPr>
              <w:t>cancelToken</w:t>
            </w:r>
            <w:r>
              <w:rPr>
                <w:sz w:val="16"/>
              </w:rPr>
              <w:t>; cannot cancel after charging starts</w:t>
            </w:r>
          </w:p>
        </w:tc>
      </w:tr>
      <w:tr w:rsidR="0044532A" w14:paraId="78895DCE" w14:textId="77777777" w:rsidTr="0044532A">
        <w:trPr>
          <w:jc w:val="center"/>
        </w:trPr>
        <w:tc>
          <w:tcPr>
            <w:tcW w:w="2640" w:type="dxa"/>
            <w:vAlign w:val="center"/>
          </w:tcPr>
          <w:p w14:paraId="3D6F6F05" w14:textId="77777777" w:rsidR="0044532A" w:rsidRDefault="00000000">
            <w:pPr>
              <w:pStyle w:val="Compact"/>
              <w:spacing w:before="20" w:after="20"/>
            </w:pPr>
            <w:r>
              <w:rPr>
                <w:rStyle w:val="VerbatimChar"/>
                <w:rFonts w:ascii="Aptos" w:hAnsi="Aptos"/>
                <w:sz w:val="16"/>
              </w:rPr>
              <w:t>POST /api/bookings/:id/check-in</w:t>
            </w:r>
          </w:p>
        </w:tc>
        <w:tc>
          <w:tcPr>
            <w:tcW w:w="2640" w:type="dxa"/>
            <w:vAlign w:val="center"/>
          </w:tcPr>
          <w:p w14:paraId="7702E935" w14:textId="77777777" w:rsidR="0044532A" w:rsidRDefault="00000000">
            <w:pPr>
              <w:pStyle w:val="Compact"/>
              <w:spacing w:before="20" w:after="20"/>
            </w:pPr>
            <w:r>
              <w:rPr>
                <w:sz w:val="16"/>
              </w:rPr>
              <w:t>Assign a connected bay to booking</w:t>
            </w:r>
          </w:p>
        </w:tc>
        <w:tc>
          <w:tcPr>
            <w:tcW w:w="2640" w:type="dxa"/>
            <w:vAlign w:val="center"/>
          </w:tcPr>
          <w:p w14:paraId="45B980A7" w14:textId="77777777" w:rsidR="0044532A" w:rsidRDefault="00000000">
            <w:pPr>
              <w:pStyle w:val="Compact"/>
              <w:spacing w:before="20" w:after="20"/>
            </w:pPr>
            <w:r>
              <w:rPr>
                <w:sz w:val="16"/>
              </w:rPr>
              <w:t>Requires booking token; actual booked interval; returns one-time tag</w:t>
            </w:r>
          </w:p>
        </w:tc>
      </w:tr>
      <w:tr w:rsidR="0044532A" w14:paraId="60F21D8C" w14:textId="77777777" w:rsidTr="0044532A">
        <w:trPr>
          <w:jc w:val="center"/>
        </w:trPr>
        <w:tc>
          <w:tcPr>
            <w:tcW w:w="2640" w:type="dxa"/>
            <w:vAlign w:val="center"/>
          </w:tcPr>
          <w:p w14:paraId="48E0B18E" w14:textId="77777777" w:rsidR="0044532A" w:rsidRDefault="00000000">
            <w:pPr>
              <w:pStyle w:val="Compact"/>
              <w:spacing w:before="20" w:after="20"/>
            </w:pPr>
            <w:r>
              <w:rPr>
                <w:rStyle w:val="VerbatimChar"/>
                <w:rFonts w:ascii="Aptos" w:hAnsi="Aptos"/>
                <w:sz w:val="16"/>
              </w:rPr>
              <w:t>POST /api/bookings/:id/charging-status</w:t>
            </w:r>
          </w:p>
        </w:tc>
        <w:tc>
          <w:tcPr>
            <w:tcW w:w="2640" w:type="dxa"/>
            <w:vAlign w:val="center"/>
          </w:tcPr>
          <w:p w14:paraId="6F0868E1" w14:textId="77777777" w:rsidR="0044532A" w:rsidRDefault="00000000">
            <w:pPr>
              <w:pStyle w:val="Compact"/>
              <w:spacing w:before="20" w:after="20"/>
            </w:pPr>
            <w:r>
              <w:rPr>
                <w:sz w:val="16"/>
              </w:rPr>
              <w:t>Retrieve owner-visible OCPP charging state</w:t>
            </w:r>
          </w:p>
        </w:tc>
        <w:tc>
          <w:tcPr>
            <w:tcW w:w="2640" w:type="dxa"/>
            <w:vAlign w:val="center"/>
          </w:tcPr>
          <w:p w14:paraId="30AC66D7" w14:textId="77777777" w:rsidR="0044532A" w:rsidRDefault="00000000">
            <w:pPr>
              <w:pStyle w:val="Compact"/>
              <w:spacing w:before="20" w:after="20"/>
            </w:pPr>
            <w:r>
              <w:rPr>
                <w:sz w:val="16"/>
              </w:rPr>
              <w:t>Requires booking token; returns interim simulated meter when available</w:t>
            </w:r>
          </w:p>
        </w:tc>
      </w:tr>
      <w:tr w:rsidR="0044532A" w14:paraId="03FFD577" w14:textId="77777777" w:rsidTr="0044532A">
        <w:trPr>
          <w:jc w:val="center"/>
        </w:trPr>
        <w:tc>
          <w:tcPr>
            <w:tcW w:w="2640" w:type="dxa"/>
            <w:vAlign w:val="center"/>
          </w:tcPr>
          <w:p w14:paraId="43645CB9" w14:textId="77777777" w:rsidR="0044532A" w:rsidRDefault="00000000">
            <w:pPr>
              <w:pStyle w:val="Compact"/>
              <w:spacing w:before="20" w:after="20"/>
            </w:pPr>
            <w:r>
              <w:rPr>
                <w:rStyle w:val="VerbatimChar"/>
                <w:rFonts w:ascii="Aptos" w:hAnsi="Aptos"/>
                <w:sz w:val="16"/>
              </w:rPr>
              <w:t>POST /api/bookings/:id/demo-ocpp</w:t>
            </w:r>
          </w:p>
        </w:tc>
        <w:tc>
          <w:tcPr>
            <w:tcW w:w="2640" w:type="dxa"/>
            <w:vAlign w:val="center"/>
          </w:tcPr>
          <w:p w14:paraId="7C460F61" w14:textId="77777777" w:rsidR="0044532A" w:rsidRDefault="00000000">
            <w:pPr>
              <w:pStyle w:val="Compact"/>
              <w:spacing w:before="20" w:after="20"/>
            </w:pPr>
            <w:r>
              <w:rPr>
                <w:sz w:val="16"/>
              </w:rPr>
              <w:t>Start/finish owned demo simulation</w:t>
            </w:r>
          </w:p>
        </w:tc>
        <w:tc>
          <w:tcPr>
            <w:tcW w:w="2640" w:type="dxa"/>
            <w:vAlign w:val="center"/>
          </w:tcPr>
          <w:p w14:paraId="26C8E4D7" w14:textId="77777777" w:rsidR="0044532A" w:rsidRDefault="00000000">
            <w:pPr>
              <w:pStyle w:val="Compact"/>
              <w:spacing w:before="20" w:after="20"/>
            </w:pPr>
            <w:r>
              <w:rPr>
                <w:sz w:val="16"/>
              </w:rPr>
              <w:t xml:space="preserve">Only when </w:t>
            </w:r>
            <w:r>
              <w:rPr>
                <w:rStyle w:val="VerbatimChar"/>
                <w:rFonts w:ascii="Aptos" w:hAnsi="Aptos"/>
                <w:sz w:val="16"/>
              </w:rPr>
              <w:t>DEMO_OCPP_CONTROLS=1</w:t>
            </w:r>
            <w:r>
              <w:rPr>
                <w:sz w:val="16"/>
              </w:rPr>
              <w:t>; token + one-time tag required</w:t>
            </w:r>
          </w:p>
        </w:tc>
      </w:tr>
      <w:tr w:rsidR="0044532A" w14:paraId="0ECA5218" w14:textId="77777777" w:rsidTr="0044532A">
        <w:trPr>
          <w:jc w:val="center"/>
        </w:trPr>
        <w:tc>
          <w:tcPr>
            <w:tcW w:w="2640" w:type="dxa"/>
            <w:vAlign w:val="center"/>
          </w:tcPr>
          <w:p w14:paraId="08ACE30B" w14:textId="77777777" w:rsidR="0044532A" w:rsidRDefault="00000000">
            <w:pPr>
              <w:pStyle w:val="Compact"/>
              <w:spacing w:before="20" w:after="20"/>
            </w:pPr>
            <w:r>
              <w:rPr>
                <w:rStyle w:val="VerbatimChar"/>
                <w:rFonts w:ascii="Aptos" w:hAnsi="Aptos"/>
                <w:sz w:val="16"/>
              </w:rPr>
              <w:t>POST /api/jmb/login</w:t>
            </w:r>
          </w:p>
        </w:tc>
        <w:tc>
          <w:tcPr>
            <w:tcW w:w="2640" w:type="dxa"/>
            <w:vAlign w:val="center"/>
          </w:tcPr>
          <w:p w14:paraId="6B8EC1EF" w14:textId="77777777" w:rsidR="0044532A" w:rsidRDefault="00000000">
            <w:pPr>
              <w:pStyle w:val="Compact"/>
              <w:spacing w:before="20" w:after="20"/>
            </w:pPr>
            <w:r>
              <w:rPr>
                <w:sz w:val="16"/>
              </w:rPr>
              <w:t>Obtain a condominium-scoped JMB token</w:t>
            </w:r>
          </w:p>
        </w:tc>
        <w:tc>
          <w:tcPr>
            <w:tcW w:w="2640" w:type="dxa"/>
            <w:vAlign w:val="center"/>
          </w:tcPr>
          <w:p w14:paraId="5EB2DCB7" w14:textId="77777777" w:rsidR="0044532A" w:rsidRDefault="00000000">
            <w:pPr>
              <w:pStyle w:val="Compact"/>
              <w:spacing w:before="20" w:after="20"/>
            </w:pPr>
            <w:r>
              <w:rPr>
                <w:sz w:val="16"/>
              </w:rPr>
              <w:t>PIN authentication and throttling</w:t>
            </w:r>
          </w:p>
        </w:tc>
      </w:tr>
      <w:tr w:rsidR="0044532A" w14:paraId="2B4B2D19" w14:textId="77777777" w:rsidTr="0044532A">
        <w:trPr>
          <w:jc w:val="center"/>
        </w:trPr>
        <w:tc>
          <w:tcPr>
            <w:tcW w:w="2640" w:type="dxa"/>
            <w:vAlign w:val="center"/>
          </w:tcPr>
          <w:p w14:paraId="02BC0EA1" w14:textId="77777777" w:rsidR="0044532A" w:rsidRDefault="00000000">
            <w:pPr>
              <w:pStyle w:val="Compact"/>
              <w:spacing w:before="20" w:after="20"/>
            </w:pPr>
            <w:r>
              <w:rPr>
                <w:rStyle w:val="VerbatimChar"/>
                <w:rFonts w:ascii="Aptos" w:hAnsi="Aptos"/>
                <w:sz w:val="16"/>
              </w:rPr>
              <w:t>GET /api/jmb/:condoId</w:t>
            </w:r>
          </w:p>
        </w:tc>
        <w:tc>
          <w:tcPr>
            <w:tcW w:w="2640" w:type="dxa"/>
            <w:vAlign w:val="center"/>
          </w:tcPr>
          <w:p w14:paraId="0389FAE7" w14:textId="77777777" w:rsidR="0044532A" w:rsidRDefault="00000000">
            <w:pPr>
              <w:pStyle w:val="Compact"/>
              <w:spacing w:before="20" w:after="20"/>
            </w:pPr>
            <w:r>
              <w:rPr>
                <w:sz w:val="16"/>
              </w:rPr>
              <w:t>JMB operational/visitor view</w:t>
            </w:r>
          </w:p>
        </w:tc>
        <w:tc>
          <w:tcPr>
            <w:tcW w:w="2640" w:type="dxa"/>
            <w:vAlign w:val="center"/>
          </w:tcPr>
          <w:p w14:paraId="5F6B1D2D" w14:textId="77777777" w:rsidR="0044532A" w:rsidRDefault="00000000">
            <w:pPr>
              <w:pStyle w:val="Compact"/>
              <w:spacing w:before="20" w:after="20"/>
            </w:pPr>
            <w:r>
              <w:rPr>
                <w:sz w:val="16"/>
              </w:rPr>
              <w:t>Condo-scoped bearer token</w:t>
            </w:r>
          </w:p>
        </w:tc>
      </w:tr>
      <w:tr w:rsidR="0044532A" w14:paraId="25E21E22" w14:textId="77777777" w:rsidTr="0044532A">
        <w:trPr>
          <w:jc w:val="center"/>
        </w:trPr>
        <w:tc>
          <w:tcPr>
            <w:tcW w:w="2640" w:type="dxa"/>
            <w:vAlign w:val="center"/>
          </w:tcPr>
          <w:p w14:paraId="7E0DDD89" w14:textId="77777777" w:rsidR="0044532A" w:rsidRDefault="00000000">
            <w:pPr>
              <w:pStyle w:val="Compact"/>
              <w:spacing w:before="20" w:after="20"/>
            </w:pPr>
            <w:r>
              <w:rPr>
                <w:rStyle w:val="VerbatimChar"/>
                <w:rFonts w:ascii="Aptos" w:hAnsi="Aptos"/>
                <w:sz w:val="16"/>
              </w:rPr>
              <w:t>GET /api/jmb/:condoId/charging-revenue?month=YYYY-MM</w:t>
            </w:r>
          </w:p>
        </w:tc>
        <w:tc>
          <w:tcPr>
            <w:tcW w:w="2640" w:type="dxa"/>
            <w:vAlign w:val="center"/>
          </w:tcPr>
          <w:p w14:paraId="74F8DF94" w14:textId="77777777" w:rsidR="0044532A" w:rsidRDefault="00000000">
            <w:pPr>
              <w:pStyle w:val="Compact"/>
              <w:spacing w:before="20" w:after="20"/>
            </w:pPr>
            <w:r>
              <w:rPr>
                <w:sz w:val="16"/>
              </w:rPr>
              <w:t>Month’s completed linked sessions and cost recovery</w:t>
            </w:r>
          </w:p>
        </w:tc>
        <w:tc>
          <w:tcPr>
            <w:tcW w:w="2640" w:type="dxa"/>
            <w:vAlign w:val="center"/>
          </w:tcPr>
          <w:p w14:paraId="0AA638EA" w14:textId="77777777" w:rsidR="0044532A" w:rsidRDefault="00000000">
            <w:pPr>
              <w:pStyle w:val="Compact"/>
              <w:spacing w:before="20" w:after="20"/>
            </w:pPr>
            <w:r>
              <w:rPr>
                <w:sz w:val="16"/>
              </w:rPr>
              <w:t>Condo-scoped bearer token; not payment reconciliation</w:t>
            </w:r>
          </w:p>
        </w:tc>
      </w:tr>
      <w:tr w:rsidR="0044532A" w14:paraId="06B8D5ED" w14:textId="77777777" w:rsidTr="0044532A">
        <w:trPr>
          <w:jc w:val="center"/>
        </w:trPr>
        <w:tc>
          <w:tcPr>
            <w:tcW w:w="2640" w:type="dxa"/>
            <w:vAlign w:val="center"/>
          </w:tcPr>
          <w:p w14:paraId="6EAACFDF" w14:textId="77777777" w:rsidR="0044532A" w:rsidRDefault="00000000">
            <w:pPr>
              <w:pStyle w:val="Compact"/>
              <w:spacing w:before="20" w:after="20"/>
            </w:pPr>
            <w:r>
              <w:rPr>
                <w:rStyle w:val="VerbatimChar"/>
                <w:rFonts w:ascii="Aptos" w:hAnsi="Aptos"/>
                <w:sz w:val="16"/>
              </w:rPr>
              <w:t>POST /api/jmb/:condoId/resident-keys</w:t>
            </w:r>
          </w:p>
        </w:tc>
        <w:tc>
          <w:tcPr>
            <w:tcW w:w="2640" w:type="dxa"/>
            <w:vAlign w:val="center"/>
          </w:tcPr>
          <w:p w14:paraId="29F58FD4" w14:textId="77777777" w:rsidR="0044532A" w:rsidRDefault="00000000">
            <w:pPr>
              <w:pStyle w:val="Compact"/>
              <w:spacing w:before="20" w:after="20"/>
            </w:pPr>
            <w:r>
              <w:rPr>
                <w:sz w:val="16"/>
              </w:rPr>
              <w:t>Issue resident or verified-unit key</w:t>
            </w:r>
          </w:p>
        </w:tc>
        <w:tc>
          <w:tcPr>
            <w:tcW w:w="2640" w:type="dxa"/>
            <w:vAlign w:val="center"/>
          </w:tcPr>
          <w:p w14:paraId="4C9B8E8F" w14:textId="77777777" w:rsidR="0044532A" w:rsidRDefault="00000000">
            <w:pPr>
              <w:pStyle w:val="Compact"/>
              <w:spacing w:before="20" w:after="20"/>
            </w:pPr>
            <w:r>
              <w:rPr>
                <w:sz w:val="16"/>
              </w:rPr>
              <w:t>JMB token; secret shown only at issue time</w:t>
            </w:r>
          </w:p>
        </w:tc>
      </w:tr>
      <w:tr w:rsidR="0044532A" w14:paraId="54C550DE" w14:textId="77777777" w:rsidTr="0044532A">
        <w:trPr>
          <w:jc w:val="center"/>
        </w:trPr>
        <w:tc>
          <w:tcPr>
            <w:tcW w:w="2640" w:type="dxa"/>
            <w:vAlign w:val="center"/>
          </w:tcPr>
          <w:p w14:paraId="7BF38DA1" w14:textId="77777777" w:rsidR="0044532A" w:rsidRDefault="00000000">
            <w:pPr>
              <w:pStyle w:val="Compact"/>
              <w:spacing w:before="20" w:after="20"/>
            </w:pPr>
            <w:r>
              <w:rPr>
                <w:rStyle w:val="VerbatimChar"/>
                <w:rFonts w:ascii="Aptos" w:hAnsi="Aptos"/>
                <w:sz w:val="16"/>
              </w:rPr>
              <w:t>POST /api/condos/:condoId/proposal/vote</w:t>
            </w:r>
          </w:p>
        </w:tc>
        <w:tc>
          <w:tcPr>
            <w:tcW w:w="2640" w:type="dxa"/>
            <w:vAlign w:val="center"/>
          </w:tcPr>
          <w:p w14:paraId="498D63F5" w14:textId="77777777" w:rsidR="0044532A" w:rsidRDefault="00000000">
            <w:pPr>
              <w:pStyle w:val="Compact"/>
              <w:spacing w:before="20" w:after="20"/>
            </w:pPr>
            <w:r>
              <w:rPr>
                <w:sz w:val="16"/>
              </w:rPr>
              <w:t>Cast verified-unit vote</w:t>
            </w:r>
          </w:p>
        </w:tc>
        <w:tc>
          <w:tcPr>
            <w:tcW w:w="2640" w:type="dxa"/>
            <w:vAlign w:val="center"/>
          </w:tcPr>
          <w:p w14:paraId="50407B41" w14:textId="77777777" w:rsidR="0044532A" w:rsidRDefault="00000000">
            <w:pPr>
              <w:pStyle w:val="Compact"/>
              <w:spacing w:before="20" w:after="20"/>
            </w:pPr>
            <w:r>
              <w:rPr>
                <w:sz w:val="16"/>
              </w:rPr>
              <w:t>Valid unit-linked resident credential required</w:t>
            </w:r>
          </w:p>
        </w:tc>
      </w:tr>
      <w:tr w:rsidR="0044532A" w14:paraId="36906FB1" w14:textId="77777777" w:rsidTr="0044532A">
        <w:trPr>
          <w:jc w:val="center"/>
        </w:trPr>
        <w:tc>
          <w:tcPr>
            <w:tcW w:w="2640" w:type="dxa"/>
            <w:vAlign w:val="center"/>
          </w:tcPr>
          <w:p w14:paraId="30BC2FD6" w14:textId="77777777" w:rsidR="0044532A" w:rsidRDefault="00000000">
            <w:pPr>
              <w:pStyle w:val="Compact"/>
              <w:spacing w:before="20" w:after="20"/>
            </w:pPr>
            <w:r>
              <w:rPr>
                <w:rStyle w:val="VerbatimChar"/>
                <w:rFonts w:ascii="Aptos" w:hAnsi="Aptos"/>
                <w:sz w:val="16"/>
              </w:rPr>
              <w:t>POST /api/jmb/:condoId/maintenance</w:t>
            </w:r>
          </w:p>
        </w:tc>
        <w:tc>
          <w:tcPr>
            <w:tcW w:w="2640" w:type="dxa"/>
            <w:vAlign w:val="center"/>
          </w:tcPr>
          <w:p w14:paraId="3E8400C1" w14:textId="77777777" w:rsidR="0044532A" w:rsidRDefault="00000000">
            <w:pPr>
              <w:pStyle w:val="Compact"/>
              <w:spacing w:before="20" w:after="20"/>
            </w:pPr>
            <w:r>
              <w:rPr>
                <w:sz w:val="16"/>
              </w:rPr>
              <w:t>Record maintenance events</w:t>
            </w:r>
          </w:p>
        </w:tc>
        <w:tc>
          <w:tcPr>
            <w:tcW w:w="2640" w:type="dxa"/>
            <w:vAlign w:val="center"/>
          </w:tcPr>
          <w:p w14:paraId="691DC80C" w14:textId="77777777" w:rsidR="0044532A" w:rsidRDefault="00000000">
            <w:pPr>
              <w:pStyle w:val="Compact"/>
              <w:spacing w:before="20" w:after="20"/>
            </w:pPr>
            <w:r>
              <w:rPr>
                <w:sz w:val="16"/>
              </w:rPr>
              <w:t>JMB token</w:t>
            </w:r>
          </w:p>
        </w:tc>
      </w:tr>
      <w:tr w:rsidR="0044532A" w14:paraId="7652B946" w14:textId="77777777" w:rsidTr="0044532A">
        <w:trPr>
          <w:jc w:val="center"/>
        </w:trPr>
        <w:tc>
          <w:tcPr>
            <w:tcW w:w="2640" w:type="dxa"/>
            <w:vAlign w:val="center"/>
          </w:tcPr>
          <w:p w14:paraId="5E19B264" w14:textId="77777777" w:rsidR="0044532A" w:rsidRDefault="00000000">
            <w:pPr>
              <w:pStyle w:val="Compact"/>
              <w:spacing w:before="20" w:after="20"/>
            </w:pPr>
            <w:r>
              <w:rPr>
                <w:rStyle w:val="VerbatimChar"/>
                <w:rFonts w:ascii="Aptos" w:hAnsi="Aptos"/>
                <w:sz w:val="16"/>
              </w:rPr>
              <w:t>GET /api/ocpp/:condoId</w:t>
            </w:r>
          </w:p>
        </w:tc>
        <w:tc>
          <w:tcPr>
            <w:tcW w:w="2640" w:type="dxa"/>
            <w:vAlign w:val="center"/>
          </w:tcPr>
          <w:p w14:paraId="1ADD7F0C" w14:textId="77777777" w:rsidR="0044532A" w:rsidRDefault="00000000">
            <w:pPr>
              <w:pStyle w:val="Compact"/>
              <w:spacing w:before="20" w:after="20"/>
            </w:pPr>
            <w:r>
              <w:rPr>
                <w:sz w:val="16"/>
              </w:rPr>
              <w:t>View OCPP status summary</w:t>
            </w:r>
          </w:p>
        </w:tc>
        <w:tc>
          <w:tcPr>
            <w:tcW w:w="2640" w:type="dxa"/>
            <w:vAlign w:val="center"/>
          </w:tcPr>
          <w:p w14:paraId="3E5FA53C" w14:textId="77777777" w:rsidR="0044532A" w:rsidRDefault="00000000">
            <w:pPr>
              <w:pStyle w:val="Compact"/>
              <w:spacing w:before="20" w:after="20"/>
            </w:pPr>
            <w:r>
              <w:rPr>
                <w:sz w:val="16"/>
              </w:rPr>
              <w:t>Operational snapshot; not a settlement ledger</w:t>
            </w:r>
          </w:p>
        </w:tc>
      </w:tr>
    </w:tbl>
    <w:p w14:paraId="5E9AA166" w14:textId="554FBBC7" w:rsidR="0044532A" w:rsidRDefault="00000000">
      <w:pPr>
        <w:pStyle w:val="BodyText"/>
      </w:pPr>
      <w:r>
        <w:t xml:space="preserve">See </w:t>
      </w:r>
      <w:r>
        <w:rPr>
          <w:rStyle w:val="VerbatimChar"/>
        </w:rPr>
        <w:t>server/app.js</w:t>
      </w:r>
      <w:r>
        <w:t xml:space="preserve"> </w:t>
      </w:r>
      <w:r w:rsidR="00F05B8B">
        <w:t xml:space="preserve">for </w:t>
      </w:r>
      <w:r>
        <w:t>exact request schemas. This table is an implementation overview, not an externally versioned public API contract.</w:t>
      </w:r>
    </w:p>
    <w:p w14:paraId="6D2EA057" w14:textId="77777777" w:rsidR="0044532A" w:rsidRDefault="00000000">
      <w:pPr>
        <w:pStyle w:val="Heading2"/>
      </w:pPr>
      <w:bookmarkStart w:id="40" w:name="X9344f159961005ff2b13f9a33c0a562a4e94c17"/>
      <w:bookmarkEnd w:id="39"/>
      <w:r>
        <w:t>11. Quality assurance and acceptance evidence</w:t>
      </w:r>
    </w:p>
    <w:p w14:paraId="30CA2517" w14:textId="77777777" w:rsidR="0044532A" w:rsidRDefault="00000000">
      <w:pPr>
        <w:pStyle w:val="Heading3"/>
      </w:pPr>
      <w:bookmarkStart w:id="41" w:name="automated-verification"/>
      <w:r>
        <w:t>11.1 Automated verification</w:t>
      </w:r>
    </w:p>
    <w:p w14:paraId="55FDA404" w14:textId="77777777" w:rsidR="0044532A" w:rsidRDefault="00000000">
      <w:pPr>
        <w:pStyle w:val="FirstParagraph"/>
      </w:pPr>
      <w:r>
        <w:t>The codebase includes Node’s native test-runner suite plus an isolated acceptance script (</w:t>
      </w:r>
      <w:r>
        <w:rPr>
          <w:rStyle w:val="VerbatimChar"/>
        </w:rPr>
        <w:t>npm run acceptance:verify</w:t>
      </w:r>
      <w:r>
        <w:t xml:space="preserve">). The earlier Phase 8 report recorded </w:t>
      </w:r>
      <w:r>
        <w:rPr>
          <w:b/>
          <w:bCs/>
        </w:rPr>
        <w:t>259/259 regression tests passing</w:t>
      </w:r>
      <w:r>
        <w:t xml:space="preserve">, </w:t>
      </w:r>
      <w:r>
        <w:rPr>
          <w:b/>
          <w:bCs/>
        </w:rPr>
        <w:t>five acceptance scenarios passing</w:t>
      </w:r>
      <w:r>
        <w:t xml:space="preserve">, and a four-bay OCPP pilot. Later development introduced demo-meter and notice fixes with additional targeted tests; the number reported above is a </w:t>
      </w:r>
      <w:r>
        <w:rPr>
          <w:b/>
          <w:bCs/>
        </w:rPr>
        <w:t>historical test-run count</w:t>
      </w:r>
      <w:r>
        <w:t>, not a fresh test execution on the owner’s final Git branch.</w:t>
      </w:r>
    </w:p>
    <w:p w14:paraId="7E8A2449" w14:textId="77777777" w:rsidR="0044532A" w:rsidRDefault="00000000">
      <w:pPr>
        <w:pStyle w:val="BodyText"/>
      </w:pPr>
      <w:r>
        <w:t xml:space="preserve">Core automated scenarios cover protected resident capacity, overlapping booking rejection, cancellation ownership, unit-verified voting, AI tool-calling with a </w:t>
      </w:r>
      <w:r>
        <w:rPr>
          <w:i/>
          <w:iCs/>
        </w:rPr>
        <w:t>mock model</w:t>
      </w:r>
      <w:r>
        <w:t xml:space="preserve">, booking-linked OCPP transactions, fault handling, revenue exclusions, and four-bay pilot capacity. The user subsequently reported successful end-to-end browser checks for M1–M10, including live Gemini conversation, resident priority, OCPP simulation, JMB reporting, maintenance fault/recovery and invalid booking/security controls. This distinction between </w:t>
      </w:r>
      <w:r>
        <w:rPr>
          <w:b/>
          <w:bCs/>
        </w:rPr>
        <w:t>automated evidence</w:t>
      </w:r>
      <w:r>
        <w:t xml:space="preserve"> and </w:t>
      </w:r>
      <w:r>
        <w:rPr>
          <w:b/>
          <w:bCs/>
        </w:rPr>
        <w:t>user-reported manual acceptance</w:t>
      </w:r>
      <w:r>
        <w:t xml:space="preserve"> is intentional.</w:t>
      </w:r>
    </w:p>
    <w:p w14:paraId="149F07DF" w14:textId="77777777" w:rsidR="0044532A" w:rsidRDefault="00000000">
      <w:pPr>
        <w:pStyle w:val="Heading3"/>
      </w:pPr>
      <w:bookmarkStart w:id="42" w:name="local-reproduction"/>
      <w:bookmarkEnd w:id="41"/>
      <w:r>
        <w:lastRenderedPageBreak/>
        <w:t>11.2 Local reproduction</w:t>
      </w:r>
    </w:p>
    <w:p w14:paraId="33FDB986" w14:textId="77777777" w:rsidR="0044532A" w:rsidRDefault="00000000">
      <w:pPr>
        <w:pStyle w:val="SourceCode"/>
      </w:pPr>
      <w:r>
        <w:rPr>
          <w:rStyle w:val="ExtensionTok"/>
        </w:rPr>
        <w:t>npm</w:t>
      </w:r>
      <w:r>
        <w:rPr>
          <w:rStyle w:val="NormalTok"/>
        </w:rPr>
        <w:t xml:space="preserve"> ci</w:t>
      </w:r>
      <w:r>
        <w:br/>
      </w:r>
      <w:r>
        <w:rPr>
          <w:rStyle w:val="ExtensionTok"/>
        </w:rPr>
        <w:t>npm</w:t>
      </w:r>
      <w:r>
        <w:rPr>
          <w:rStyle w:val="NormalTok"/>
        </w:rPr>
        <w:t xml:space="preserve"> run acceptance:verify</w:t>
      </w:r>
      <w:r>
        <w:br/>
      </w:r>
      <w:r>
        <w:rPr>
          <w:rStyle w:val="ExtensionTok"/>
        </w:rPr>
        <w:t>npm</w:t>
      </w:r>
      <w:r>
        <w:rPr>
          <w:rStyle w:val="NormalTok"/>
        </w:rPr>
        <w:t xml:space="preserve"> run pilot:verify</w:t>
      </w:r>
      <w:r>
        <w:br/>
      </w:r>
      <w:r>
        <w:rPr>
          <w:rStyle w:val="ExtensionTok"/>
        </w:rPr>
        <w:t>npm</w:t>
      </w:r>
      <w:r>
        <w:rPr>
          <w:rStyle w:val="NormalTok"/>
        </w:rPr>
        <w:t xml:space="preserve"> test</w:t>
      </w:r>
      <w:r>
        <w:br/>
      </w:r>
      <w:r>
        <w:br/>
      </w:r>
      <w:r>
        <w:rPr>
          <w:rStyle w:val="CommentTok"/>
        </w:rPr>
        <w:t># Controlled local demo; never enable this against physical chargers.</w:t>
      </w:r>
      <w:r>
        <w:br/>
      </w:r>
      <w:r>
        <w:rPr>
          <w:rStyle w:val="VariableTok"/>
        </w:rPr>
        <w:t>DEMO_OCPP_CONTROLS</w:t>
      </w:r>
      <w:r>
        <w:rPr>
          <w:rStyle w:val="OperatorTok"/>
        </w:rPr>
        <w:t>=</w:t>
      </w:r>
      <w:r>
        <w:rPr>
          <w:rStyle w:val="NormalTok"/>
        </w:rPr>
        <w:t xml:space="preserve">1 </w:t>
      </w:r>
      <w:r>
        <w:rPr>
          <w:rStyle w:val="ExtensionTok"/>
        </w:rPr>
        <w:t>npm</w:t>
      </w:r>
      <w:r>
        <w:rPr>
          <w:rStyle w:val="NormalTok"/>
        </w:rPr>
        <w:t xml:space="preserve"> start</w:t>
      </w:r>
    </w:p>
    <w:p w14:paraId="27C31668" w14:textId="77777777" w:rsidR="0044532A" w:rsidRDefault="00000000">
      <w:pPr>
        <w:pStyle w:val="FirstParagraph"/>
      </w:pPr>
      <w:r>
        <w:t xml:space="preserve">For reliable demonstrations, use a </w:t>
      </w:r>
      <w:r>
        <w:rPr>
          <w:b/>
          <w:bCs/>
        </w:rPr>
        <w:t>fresh disposable booking</w:t>
      </w:r>
      <w:r>
        <w:t xml:space="preserve">, correct real server time, a connected simulator bay and fictional names/plates. Ensure the local </w:t>
      </w:r>
      <w:r>
        <w:rPr>
          <w:rStyle w:val="VerbatimChar"/>
        </w:rPr>
        <w:t>jirui</w:t>
      </w:r>
      <w:r>
        <w:t xml:space="preserve"> branch is tested separately, since this document was authored from the last available repository snapshot.</w:t>
      </w:r>
    </w:p>
    <w:p w14:paraId="023F6DA0" w14:textId="77777777" w:rsidR="0044532A" w:rsidRDefault="00000000">
      <w:pPr>
        <w:pStyle w:val="Heading3"/>
      </w:pPr>
      <w:bookmarkStart w:id="43" w:name="traceability-to-proposal"/>
      <w:bookmarkEnd w:id="42"/>
      <w:r>
        <w:t>11.3 Traceability to proposal</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6A0A3ECD"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565D3E6F" w14:textId="77777777" w:rsidR="0044532A" w:rsidRDefault="00000000">
            <w:pPr>
              <w:pStyle w:val="Compact"/>
              <w:spacing w:before="20" w:after="20"/>
            </w:pPr>
            <w:r>
              <w:rPr>
                <w:b/>
                <w:sz w:val="16"/>
              </w:rPr>
              <w:t>Proposal focus</w:t>
            </w:r>
          </w:p>
        </w:tc>
        <w:tc>
          <w:tcPr>
            <w:tcW w:w="2640" w:type="dxa"/>
            <w:shd w:val="clear" w:color="auto" w:fill="DFEFE9"/>
            <w:vAlign w:val="center"/>
          </w:tcPr>
          <w:p w14:paraId="523101B7" w14:textId="77777777" w:rsidR="0044532A" w:rsidRDefault="00000000">
            <w:pPr>
              <w:pStyle w:val="Compact"/>
              <w:spacing w:before="20" w:after="20"/>
            </w:pPr>
            <w:r>
              <w:rPr>
                <w:b/>
                <w:sz w:val="16"/>
              </w:rPr>
              <w:t>Prototype evidence</w:t>
            </w:r>
          </w:p>
        </w:tc>
        <w:tc>
          <w:tcPr>
            <w:tcW w:w="2640" w:type="dxa"/>
            <w:shd w:val="clear" w:color="auto" w:fill="DFEFE9"/>
            <w:vAlign w:val="center"/>
          </w:tcPr>
          <w:p w14:paraId="3D1BAEB6" w14:textId="77777777" w:rsidR="0044532A" w:rsidRDefault="00000000">
            <w:pPr>
              <w:pStyle w:val="Compact"/>
              <w:spacing w:before="20" w:after="20"/>
            </w:pPr>
            <w:r>
              <w:rPr>
                <w:b/>
                <w:sz w:val="16"/>
              </w:rPr>
              <w:t>Outstanding real-pilot work</w:t>
            </w:r>
          </w:p>
        </w:tc>
      </w:tr>
      <w:tr w:rsidR="0044532A" w14:paraId="0C5619B3" w14:textId="77777777" w:rsidTr="0044532A">
        <w:trPr>
          <w:jc w:val="center"/>
        </w:trPr>
        <w:tc>
          <w:tcPr>
            <w:tcW w:w="2640" w:type="dxa"/>
            <w:vAlign w:val="center"/>
          </w:tcPr>
          <w:p w14:paraId="261831A4" w14:textId="77777777" w:rsidR="0044532A" w:rsidRDefault="00000000">
            <w:pPr>
              <w:pStyle w:val="Compact"/>
              <w:spacing w:before="20" w:after="20"/>
            </w:pPr>
            <w:r>
              <w:rPr>
                <w:sz w:val="16"/>
              </w:rPr>
              <w:t>§1.4 discovery/booking</w:t>
            </w:r>
          </w:p>
        </w:tc>
        <w:tc>
          <w:tcPr>
            <w:tcW w:w="2640" w:type="dxa"/>
            <w:vAlign w:val="center"/>
          </w:tcPr>
          <w:p w14:paraId="09351B07" w14:textId="77777777" w:rsidR="0044532A" w:rsidRDefault="00000000">
            <w:pPr>
              <w:pStyle w:val="Compact"/>
              <w:spacing w:before="20" w:after="20"/>
            </w:pPr>
            <w:r>
              <w:rPr>
                <w:sz w:val="16"/>
              </w:rPr>
              <w:t>Map/Plan, public chargers, resident/visitor rules, overlap checks</w:t>
            </w:r>
          </w:p>
        </w:tc>
        <w:tc>
          <w:tcPr>
            <w:tcW w:w="2640" w:type="dxa"/>
            <w:vAlign w:val="center"/>
          </w:tcPr>
          <w:p w14:paraId="555A82BB" w14:textId="77777777" w:rsidR="0044532A" w:rsidRDefault="00000000">
            <w:pPr>
              <w:pStyle w:val="Compact"/>
              <w:spacing w:before="20" w:after="20"/>
            </w:pPr>
            <w:r>
              <w:rPr>
                <w:sz w:val="16"/>
              </w:rPr>
              <w:t>Operator integration, physical bay enforcement</w:t>
            </w:r>
          </w:p>
        </w:tc>
      </w:tr>
      <w:tr w:rsidR="0044532A" w14:paraId="7C1D2BF9" w14:textId="77777777" w:rsidTr="0044532A">
        <w:trPr>
          <w:jc w:val="center"/>
        </w:trPr>
        <w:tc>
          <w:tcPr>
            <w:tcW w:w="2640" w:type="dxa"/>
            <w:vAlign w:val="center"/>
          </w:tcPr>
          <w:p w14:paraId="5E24B2BB" w14:textId="77777777" w:rsidR="0044532A" w:rsidRDefault="00000000">
            <w:pPr>
              <w:pStyle w:val="Compact"/>
              <w:spacing w:before="20" w:after="20"/>
            </w:pPr>
            <w:r>
              <w:rPr>
                <w:sz w:val="16"/>
              </w:rPr>
              <w:t>§1.4.2 JMB operational tools</w:t>
            </w:r>
          </w:p>
        </w:tc>
        <w:tc>
          <w:tcPr>
            <w:tcW w:w="2640" w:type="dxa"/>
            <w:vAlign w:val="center"/>
          </w:tcPr>
          <w:p w14:paraId="40E98D72" w14:textId="77777777" w:rsidR="0044532A" w:rsidRDefault="00000000">
            <w:pPr>
              <w:pStyle w:val="Compact"/>
              <w:spacing w:before="20" w:after="20"/>
            </w:pPr>
            <w:r>
              <w:rPr>
                <w:sz w:val="16"/>
              </w:rPr>
              <w:t>Live OCPP state, faults, maintenance, cost-recovery dashboards</w:t>
            </w:r>
          </w:p>
        </w:tc>
        <w:tc>
          <w:tcPr>
            <w:tcW w:w="2640" w:type="dxa"/>
            <w:vAlign w:val="center"/>
          </w:tcPr>
          <w:p w14:paraId="5AE41C43" w14:textId="77777777" w:rsidR="0044532A" w:rsidRDefault="00000000">
            <w:pPr>
              <w:pStyle w:val="Compact"/>
              <w:spacing w:before="20" w:after="20"/>
            </w:pPr>
            <w:r>
              <w:rPr>
                <w:sz w:val="16"/>
              </w:rPr>
              <w:t>Operational SLAs, commercial reconciliation</w:t>
            </w:r>
          </w:p>
        </w:tc>
      </w:tr>
      <w:tr w:rsidR="0044532A" w14:paraId="1BAF8E0B" w14:textId="77777777" w:rsidTr="0044532A">
        <w:trPr>
          <w:jc w:val="center"/>
        </w:trPr>
        <w:tc>
          <w:tcPr>
            <w:tcW w:w="2640" w:type="dxa"/>
            <w:vAlign w:val="center"/>
          </w:tcPr>
          <w:p w14:paraId="062CF668" w14:textId="77777777" w:rsidR="0044532A" w:rsidRDefault="00000000">
            <w:pPr>
              <w:pStyle w:val="Compact"/>
              <w:spacing w:before="20" w:after="20"/>
            </w:pPr>
            <w:r>
              <w:rPr>
                <w:sz w:val="16"/>
              </w:rPr>
              <w:t>§1.4.3 AI smart planning</w:t>
            </w:r>
          </w:p>
        </w:tc>
        <w:tc>
          <w:tcPr>
            <w:tcW w:w="2640" w:type="dxa"/>
            <w:vAlign w:val="center"/>
          </w:tcPr>
          <w:p w14:paraId="05F5AC81" w14:textId="77777777" w:rsidR="0044532A" w:rsidRDefault="00000000">
            <w:pPr>
              <w:pStyle w:val="Compact"/>
              <w:spacing w:before="20" w:after="20"/>
            </w:pPr>
            <w:r>
              <w:rPr>
                <w:sz w:val="16"/>
              </w:rPr>
              <w:t>Gemini tool calling, ranking, schedules, trips, KB, guarded booking proposal</w:t>
            </w:r>
          </w:p>
        </w:tc>
        <w:tc>
          <w:tcPr>
            <w:tcW w:w="2640" w:type="dxa"/>
            <w:vAlign w:val="center"/>
          </w:tcPr>
          <w:p w14:paraId="3CE79799" w14:textId="77777777" w:rsidR="0044532A" w:rsidRDefault="00000000">
            <w:pPr>
              <w:pStyle w:val="Compact"/>
              <w:spacing w:before="20" w:after="20"/>
            </w:pPr>
            <w:r>
              <w:rPr>
                <w:sz w:val="16"/>
              </w:rPr>
              <w:t>Long-horizon evaluation, fresh data feeds</w:t>
            </w:r>
          </w:p>
        </w:tc>
      </w:tr>
      <w:tr w:rsidR="0044532A" w14:paraId="7DAC8880" w14:textId="77777777" w:rsidTr="0044532A">
        <w:trPr>
          <w:jc w:val="center"/>
        </w:trPr>
        <w:tc>
          <w:tcPr>
            <w:tcW w:w="2640" w:type="dxa"/>
            <w:vAlign w:val="center"/>
          </w:tcPr>
          <w:p w14:paraId="38E8FE15" w14:textId="77777777" w:rsidR="0044532A" w:rsidRDefault="00000000">
            <w:pPr>
              <w:pStyle w:val="Compact"/>
              <w:spacing w:before="20" w:after="20"/>
            </w:pPr>
            <w:r>
              <w:rPr>
                <w:sz w:val="16"/>
              </w:rPr>
              <w:t>§1.5 two showcase scenarios</w:t>
            </w:r>
          </w:p>
        </w:tc>
        <w:tc>
          <w:tcPr>
            <w:tcW w:w="2640" w:type="dxa"/>
            <w:vAlign w:val="center"/>
          </w:tcPr>
          <w:p w14:paraId="5D684D69" w14:textId="77777777" w:rsidR="0044532A" w:rsidRDefault="00000000">
            <w:pPr>
              <w:pStyle w:val="Compact"/>
              <w:spacing w:before="20" w:after="20"/>
            </w:pPr>
            <w:r>
              <w:rPr>
                <w:sz w:val="16"/>
              </w:rPr>
              <w:t>End-to-end visitor + charging demo; AI planning conversation</w:t>
            </w:r>
          </w:p>
        </w:tc>
        <w:tc>
          <w:tcPr>
            <w:tcW w:w="2640" w:type="dxa"/>
            <w:vAlign w:val="center"/>
          </w:tcPr>
          <w:p w14:paraId="056E9090" w14:textId="77777777" w:rsidR="0044532A" w:rsidRDefault="00000000">
            <w:pPr>
              <w:pStyle w:val="Compact"/>
              <w:spacing w:before="20" w:after="20"/>
            </w:pPr>
            <w:r>
              <w:rPr>
                <w:sz w:val="16"/>
              </w:rPr>
              <w:t>Live-site case study</w:t>
            </w:r>
          </w:p>
        </w:tc>
      </w:tr>
      <w:tr w:rsidR="0044532A" w14:paraId="3162E157" w14:textId="77777777" w:rsidTr="0044532A">
        <w:trPr>
          <w:jc w:val="center"/>
        </w:trPr>
        <w:tc>
          <w:tcPr>
            <w:tcW w:w="2640" w:type="dxa"/>
            <w:vAlign w:val="center"/>
          </w:tcPr>
          <w:p w14:paraId="5EFD8C70" w14:textId="77777777" w:rsidR="0044532A" w:rsidRDefault="00000000">
            <w:pPr>
              <w:pStyle w:val="Compact"/>
              <w:spacing w:before="20" w:after="20"/>
            </w:pPr>
            <w:r>
              <w:rPr>
                <w:sz w:val="16"/>
              </w:rPr>
              <w:t>§6 pilot feasibility</w:t>
            </w:r>
          </w:p>
        </w:tc>
        <w:tc>
          <w:tcPr>
            <w:tcW w:w="2640" w:type="dxa"/>
            <w:vAlign w:val="center"/>
          </w:tcPr>
          <w:p w14:paraId="40017AC8" w14:textId="77777777" w:rsidR="0044532A" w:rsidRDefault="00000000">
            <w:pPr>
              <w:pStyle w:val="Compact"/>
              <w:spacing w:before="20" w:after="20"/>
            </w:pPr>
            <w:r>
              <w:rPr>
                <w:sz w:val="16"/>
              </w:rPr>
              <w:t>Isolated four-AC-bay OCPP simulation and test</w:t>
            </w:r>
          </w:p>
        </w:tc>
        <w:tc>
          <w:tcPr>
            <w:tcW w:w="2640" w:type="dxa"/>
            <w:vAlign w:val="center"/>
          </w:tcPr>
          <w:p w14:paraId="13D0192F" w14:textId="77777777" w:rsidR="0044532A" w:rsidRDefault="00000000">
            <w:pPr>
              <w:pStyle w:val="Compact"/>
              <w:spacing w:before="20" w:after="20"/>
            </w:pPr>
            <w:r>
              <w:rPr>
                <w:sz w:val="16"/>
              </w:rPr>
              <w:t>One contracted CPO, 2–4 AC chargers, permissions, site survey</w:t>
            </w:r>
          </w:p>
        </w:tc>
      </w:tr>
      <w:tr w:rsidR="0044532A" w14:paraId="68DB8BB4" w14:textId="77777777" w:rsidTr="0044532A">
        <w:trPr>
          <w:jc w:val="center"/>
        </w:trPr>
        <w:tc>
          <w:tcPr>
            <w:tcW w:w="2640" w:type="dxa"/>
            <w:vAlign w:val="center"/>
          </w:tcPr>
          <w:p w14:paraId="396B8219" w14:textId="77777777" w:rsidR="0044532A" w:rsidRDefault="00000000">
            <w:pPr>
              <w:pStyle w:val="Compact"/>
              <w:spacing w:before="20" w:after="20"/>
            </w:pPr>
            <w:r>
              <w:rPr>
                <w:sz w:val="16"/>
              </w:rPr>
              <w:t>§6.2 economics</w:t>
            </w:r>
          </w:p>
        </w:tc>
        <w:tc>
          <w:tcPr>
            <w:tcW w:w="2640" w:type="dxa"/>
            <w:vAlign w:val="center"/>
          </w:tcPr>
          <w:p w14:paraId="6C6ADB76" w14:textId="77777777" w:rsidR="0044532A" w:rsidRDefault="00000000">
            <w:pPr>
              <w:pStyle w:val="Compact"/>
              <w:spacing w:before="20" w:after="20"/>
            </w:pPr>
            <w:r>
              <w:rPr>
                <w:sz w:val="16"/>
              </w:rPr>
              <w:t>RM0.55/RM0.05/RM500 costs, positive-surplus allocation</w:t>
            </w:r>
          </w:p>
        </w:tc>
        <w:tc>
          <w:tcPr>
            <w:tcW w:w="2640" w:type="dxa"/>
            <w:vAlign w:val="center"/>
          </w:tcPr>
          <w:p w14:paraId="5A722AA9" w14:textId="77777777" w:rsidR="0044532A" w:rsidRDefault="00000000">
            <w:pPr>
              <w:pStyle w:val="Compact"/>
              <w:spacing w:before="20" w:after="20"/>
            </w:pPr>
            <w:r>
              <w:rPr>
                <w:sz w:val="16"/>
              </w:rPr>
              <w:t>Verified tariffs, actual utilisation, invoices and settlements</w:t>
            </w:r>
          </w:p>
        </w:tc>
      </w:tr>
      <w:tr w:rsidR="0044532A" w14:paraId="017AF2E8" w14:textId="77777777" w:rsidTr="0044532A">
        <w:trPr>
          <w:jc w:val="center"/>
        </w:trPr>
        <w:tc>
          <w:tcPr>
            <w:tcW w:w="2640" w:type="dxa"/>
            <w:vAlign w:val="center"/>
          </w:tcPr>
          <w:p w14:paraId="498B7153" w14:textId="77777777" w:rsidR="0044532A" w:rsidRDefault="00000000">
            <w:pPr>
              <w:pStyle w:val="Compact"/>
              <w:spacing w:before="20" w:after="20"/>
            </w:pPr>
            <w:r>
              <w:rPr>
                <w:sz w:val="16"/>
              </w:rPr>
              <w:t>§7.2 security/operational risk</w:t>
            </w:r>
          </w:p>
        </w:tc>
        <w:tc>
          <w:tcPr>
            <w:tcW w:w="2640" w:type="dxa"/>
            <w:vAlign w:val="center"/>
          </w:tcPr>
          <w:p w14:paraId="05875D70" w14:textId="77777777" w:rsidR="0044532A" w:rsidRDefault="00000000">
            <w:pPr>
              <w:pStyle w:val="Compact"/>
              <w:spacing w:before="20" w:after="20"/>
            </w:pPr>
            <w:r>
              <w:rPr>
                <w:sz w:val="16"/>
              </w:rPr>
              <w:t>JMB tokens, resident-key hashes, booking ownership, review queue</w:t>
            </w:r>
          </w:p>
        </w:tc>
        <w:tc>
          <w:tcPr>
            <w:tcW w:w="2640" w:type="dxa"/>
            <w:vAlign w:val="center"/>
          </w:tcPr>
          <w:p w14:paraId="351854D3" w14:textId="77777777" w:rsidR="0044532A" w:rsidRDefault="00000000">
            <w:pPr>
              <w:pStyle w:val="Compact"/>
              <w:spacing w:before="20" w:after="20"/>
            </w:pPr>
            <w:r>
              <w:rPr>
                <w:sz w:val="16"/>
              </w:rPr>
              <w:t>Independent security, privacy and electrical compliance review</w:t>
            </w:r>
          </w:p>
        </w:tc>
      </w:tr>
    </w:tbl>
    <w:p w14:paraId="64C54FFF" w14:textId="77777777" w:rsidR="0044532A" w:rsidRDefault="00000000">
      <w:pPr>
        <w:pStyle w:val="Heading2"/>
      </w:pPr>
      <w:bookmarkStart w:id="44" w:name="Xca329c33446d9998841d84282b816f00068f993"/>
      <w:bookmarkEnd w:id="40"/>
      <w:bookmarkEnd w:id="43"/>
      <w:r>
        <w:t>12. Limitations, risks and realistic next steps</w:t>
      </w:r>
    </w:p>
    <w:tbl>
      <w:tblPr>
        <w:tblStyle w:val="Table"/>
        <w:tblW w:w="5000" w:type="pct"/>
        <w:jc w:val="center"/>
        <w:tblLayout w:type="fixed"/>
        <w:tblLook w:val="0020" w:firstRow="1" w:lastRow="0" w:firstColumn="0" w:lastColumn="0" w:noHBand="0" w:noVBand="0"/>
      </w:tblPr>
      <w:tblGrid>
        <w:gridCol w:w="3235"/>
        <w:gridCol w:w="3235"/>
        <w:gridCol w:w="3235"/>
      </w:tblGrid>
      <w:tr w:rsidR="0044532A" w14:paraId="5E3C1E5D"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FEFE9"/>
            <w:vAlign w:val="center"/>
          </w:tcPr>
          <w:p w14:paraId="009ADFCE" w14:textId="77777777" w:rsidR="0044532A" w:rsidRDefault="00000000">
            <w:pPr>
              <w:pStyle w:val="Compact"/>
              <w:spacing w:before="20" w:after="20"/>
            </w:pPr>
            <w:r>
              <w:rPr>
                <w:b/>
                <w:sz w:val="16"/>
              </w:rPr>
              <w:t>Risk / limitation</w:t>
            </w:r>
          </w:p>
        </w:tc>
        <w:tc>
          <w:tcPr>
            <w:tcW w:w="2640" w:type="dxa"/>
            <w:shd w:val="clear" w:color="auto" w:fill="DFEFE9"/>
            <w:vAlign w:val="center"/>
          </w:tcPr>
          <w:p w14:paraId="50888B92" w14:textId="77777777" w:rsidR="0044532A" w:rsidRDefault="00000000">
            <w:pPr>
              <w:pStyle w:val="Compact"/>
              <w:spacing w:before="20" w:after="20"/>
            </w:pPr>
            <w:r>
              <w:rPr>
                <w:b/>
                <w:sz w:val="16"/>
              </w:rPr>
              <w:t>Why it matters</w:t>
            </w:r>
          </w:p>
        </w:tc>
        <w:tc>
          <w:tcPr>
            <w:tcW w:w="2640" w:type="dxa"/>
            <w:shd w:val="clear" w:color="auto" w:fill="DFEFE9"/>
            <w:vAlign w:val="center"/>
          </w:tcPr>
          <w:p w14:paraId="215F408D" w14:textId="77777777" w:rsidR="0044532A" w:rsidRDefault="00000000">
            <w:pPr>
              <w:pStyle w:val="Compact"/>
              <w:spacing w:before="20" w:after="20"/>
            </w:pPr>
            <w:r>
              <w:rPr>
                <w:b/>
                <w:sz w:val="16"/>
              </w:rPr>
              <w:t>Mitigation or next step</w:t>
            </w:r>
          </w:p>
        </w:tc>
      </w:tr>
      <w:tr w:rsidR="0044532A" w14:paraId="4AA1C06F" w14:textId="77777777" w:rsidTr="0044532A">
        <w:trPr>
          <w:jc w:val="center"/>
        </w:trPr>
        <w:tc>
          <w:tcPr>
            <w:tcW w:w="2640" w:type="dxa"/>
            <w:vAlign w:val="center"/>
          </w:tcPr>
          <w:p w14:paraId="4365B804" w14:textId="77777777" w:rsidR="0044532A" w:rsidRDefault="00000000">
            <w:pPr>
              <w:pStyle w:val="Compact"/>
              <w:spacing w:before="20" w:after="20"/>
            </w:pPr>
            <w:r>
              <w:rPr>
                <w:sz w:val="16"/>
              </w:rPr>
              <w:t>OCPP simulator ≠ installed charger</w:t>
            </w:r>
          </w:p>
        </w:tc>
        <w:tc>
          <w:tcPr>
            <w:tcW w:w="2640" w:type="dxa"/>
            <w:vAlign w:val="center"/>
          </w:tcPr>
          <w:p w14:paraId="30515050" w14:textId="77777777" w:rsidR="0044532A" w:rsidRDefault="00000000">
            <w:pPr>
              <w:pStyle w:val="Compact"/>
              <w:spacing w:before="20" w:after="20"/>
            </w:pPr>
            <w:r>
              <w:rPr>
                <w:sz w:val="16"/>
              </w:rPr>
              <w:t>Synthetic energy is not verified delivered power</w:t>
            </w:r>
          </w:p>
        </w:tc>
        <w:tc>
          <w:tcPr>
            <w:tcW w:w="2640" w:type="dxa"/>
            <w:vAlign w:val="center"/>
          </w:tcPr>
          <w:p w14:paraId="3A82E541" w14:textId="77777777" w:rsidR="0044532A" w:rsidRDefault="00000000">
            <w:pPr>
              <w:pStyle w:val="Compact"/>
              <w:spacing w:before="20" w:after="20"/>
            </w:pPr>
            <w:r>
              <w:rPr>
                <w:sz w:val="16"/>
              </w:rPr>
              <w:t>Deploy a compatible charger under supervised pilot conditions</w:t>
            </w:r>
          </w:p>
        </w:tc>
      </w:tr>
      <w:tr w:rsidR="0044532A" w14:paraId="09559CEC" w14:textId="77777777" w:rsidTr="0044532A">
        <w:trPr>
          <w:jc w:val="center"/>
        </w:trPr>
        <w:tc>
          <w:tcPr>
            <w:tcW w:w="2640" w:type="dxa"/>
            <w:vAlign w:val="center"/>
          </w:tcPr>
          <w:p w14:paraId="3A6049A7" w14:textId="77777777" w:rsidR="0044532A" w:rsidRDefault="00000000">
            <w:pPr>
              <w:pStyle w:val="Compact"/>
              <w:spacing w:before="20" w:after="20"/>
            </w:pPr>
            <w:r>
              <w:rPr>
                <w:sz w:val="16"/>
              </w:rPr>
              <w:t>Forecast ≠ collected revenue</w:t>
            </w:r>
          </w:p>
        </w:tc>
        <w:tc>
          <w:tcPr>
            <w:tcW w:w="2640" w:type="dxa"/>
            <w:vAlign w:val="center"/>
          </w:tcPr>
          <w:p w14:paraId="1AF651A7" w14:textId="77777777" w:rsidR="0044532A" w:rsidRDefault="00000000">
            <w:pPr>
              <w:pStyle w:val="Compact"/>
              <w:spacing w:before="20" w:after="20"/>
            </w:pPr>
            <w:r>
              <w:rPr>
                <w:sz w:val="16"/>
              </w:rPr>
              <w:t>Projected financial benefit may be misleading</w:t>
            </w:r>
          </w:p>
        </w:tc>
        <w:tc>
          <w:tcPr>
            <w:tcW w:w="2640" w:type="dxa"/>
            <w:vAlign w:val="center"/>
          </w:tcPr>
          <w:p w14:paraId="76A7402B" w14:textId="77777777" w:rsidR="0044532A" w:rsidRDefault="00000000">
            <w:pPr>
              <w:pStyle w:val="Compact"/>
              <w:spacing w:before="20" w:after="20"/>
            </w:pPr>
            <w:r>
              <w:rPr>
                <w:sz w:val="16"/>
              </w:rPr>
              <w:t>Label forecast and calculated receipts distinctly; integrate payment settlement later</w:t>
            </w:r>
          </w:p>
        </w:tc>
      </w:tr>
      <w:tr w:rsidR="0044532A" w14:paraId="6C6BA902" w14:textId="77777777" w:rsidTr="0044532A">
        <w:trPr>
          <w:jc w:val="center"/>
        </w:trPr>
        <w:tc>
          <w:tcPr>
            <w:tcW w:w="2640" w:type="dxa"/>
            <w:vAlign w:val="center"/>
          </w:tcPr>
          <w:p w14:paraId="3471C168" w14:textId="77777777" w:rsidR="0044532A" w:rsidRDefault="00000000">
            <w:pPr>
              <w:pStyle w:val="Compact"/>
              <w:spacing w:before="20" w:after="20"/>
            </w:pPr>
            <w:r>
              <w:rPr>
                <w:sz w:val="16"/>
              </w:rPr>
              <w:t>Aggregate booking capacity</w:t>
            </w:r>
          </w:p>
        </w:tc>
        <w:tc>
          <w:tcPr>
            <w:tcW w:w="2640" w:type="dxa"/>
            <w:vAlign w:val="center"/>
          </w:tcPr>
          <w:p w14:paraId="0B158B0D" w14:textId="77777777" w:rsidR="0044532A" w:rsidRDefault="00000000">
            <w:pPr>
              <w:pStyle w:val="Compact"/>
              <w:spacing w:before="20" w:after="20"/>
            </w:pPr>
            <w:r>
              <w:rPr>
                <w:sz w:val="16"/>
              </w:rPr>
              <w:t>A valid slot does not guarantee a particular bay until check-in</w:t>
            </w:r>
          </w:p>
        </w:tc>
        <w:tc>
          <w:tcPr>
            <w:tcW w:w="2640" w:type="dxa"/>
            <w:vAlign w:val="center"/>
          </w:tcPr>
          <w:p w14:paraId="54842426" w14:textId="77777777" w:rsidR="0044532A" w:rsidRDefault="00000000">
            <w:pPr>
              <w:pStyle w:val="Compact"/>
              <w:spacing w:before="20" w:after="20"/>
            </w:pPr>
            <w:r>
              <w:rPr>
                <w:sz w:val="16"/>
              </w:rPr>
              <w:t>Add physical bay allocation and site operation policy</w:t>
            </w:r>
          </w:p>
        </w:tc>
      </w:tr>
      <w:tr w:rsidR="0044532A" w14:paraId="5B5F7A4A" w14:textId="77777777" w:rsidTr="0044532A">
        <w:trPr>
          <w:jc w:val="center"/>
        </w:trPr>
        <w:tc>
          <w:tcPr>
            <w:tcW w:w="2640" w:type="dxa"/>
            <w:vAlign w:val="center"/>
          </w:tcPr>
          <w:p w14:paraId="793F9E72" w14:textId="77777777" w:rsidR="0044532A" w:rsidRDefault="00000000">
            <w:pPr>
              <w:pStyle w:val="Compact"/>
              <w:spacing w:before="20" w:after="20"/>
            </w:pPr>
            <w:r>
              <w:rPr>
                <w:sz w:val="16"/>
              </w:rPr>
              <w:t>Single-process JSON persistence</w:t>
            </w:r>
          </w:p>
        </w:tc>
        <w:tc>
          <w:tcPr>
            <w:tcW w:w="2640" w:type="dxa"/>
            <w:vAlign w:val="center"/>
          </w:tcPr>
          <w:p w14:paraId="18AE6AD6" w14:textId="77777777" w:rsidR="0044532A" w:rsidRDefault="00000000">
            <w:pPr>
              <w:pStyle w:val="Compact"/>
              <w:spacing w:before="20" w:after="20"/>
            </w:pPr>
            <w:r>
              <w:rPr>
                <w:sz w:val="16"/>
              </w:rPr>
              <w:t>Concurrent replicas can race or lose consistency</w:t>
            </w:r>
          </w:p>
        </w:tc>
        <w:tc>
          <w:tcPr>
            <w:tcW w:w="2640" w:type="dxa"/>
            <w:vAlign w:val="center"/>
          </w:tcPr>
          <w:p w14:paraId="76454B1C" w14:textId="77777777" w:rsidR="0044532A" w:rsidRDefault="00000000">
            <w:pPr>
              <w:pStyle w:val="Compact"/>
              <w:spacing w:before="20" w:after="20"/>
            </w:pPr>
            <w:r>
              <w:rPr>
                <w:sz w:val="16"/>
              </w:rPr>
              <w:t>Move to transactional database and event audit trail</w:t>
            </w:r>
          </w:p>
        </w:tc>
      </w:tr>
      <w:tr w:rsidR="0044532A" w14:paraId="10A19AFD" w14:textId="77777777" w:rsidTr="0044532A">
        <w:trPr>
          <w:jc w:val="center"/>
        </w:trPr>
        <w:tc>
          <w:tcPr>
            <w:tcW w:w="2640" w:type="dxa"/>
            <w:vAlign w:val="center"/>
          </w:tcPr>
          <w:p w14:paraId="78E35227" w14:textId="77777777" w:rsidR="0044532A" w:rsidRDefault="00000000">
            <w:pPr>
              <w:pStyle w:val="Compact"/>
              <w:spacing w:before="20" w:after="20"/>
            </w:pPr>
            <w:r>
              <w:rPr>
                <w:sz w:val="16"/>
              </w:rPr>
              <w:t>JMB-issued unit identity</w:t>
            </w:r>
          </w:p>
        </w:tc>
        <w:tc>
          <w:tcPr>
            <w:tcW w:w="2640" w:type="dxa"/>
            <w:vAlign w:val="center"/>
          </w:tcPr>
          <w:p w14:paraId="43D3AA3D" w14:textId="77777777" w:rsidR="0044532A" w:rsidRDefault="00000000">
            <w:pPr>
              <w:pStyle w:val="Compact"/>
              <w:spacing w:before="20" w:after="20"/>
            </w:pPr>
            <w:r>
              <w:rPr>
                <w:sz w:val="16"/>
              </w:rPr>
              <w:t>Manual verification may be inconsistent or compromised</w:t>
            </w:r>
          </w:p>
        </w:tc>
        <w:tc>
          <w:tcPr>
            <w:tcW w:w="2640" w:type="dxa"/>
            <w:vAlign w:val="center"/>
          </w:tcPr>
          <w:p w14:paraId="2A36BA9B" w14:textId="77777777" w:rsidR="0044532A" w:rsidRDefault="00000000">
            <w:pPr>
              <w:pStyle w:val="Compact"/>
              <w:spacing w:before="20" w:after="20"/>
            </w:pPr>
            <w:r>
              <w:rPr>
                <w:sz w:val="16"/>
              </w:rPr>
              <w:t>Formal enrolment, audit and revocation processes</w:t>
            </w:r>
          </w:p>
        </w:tc>
      </w:tr>
      <w:tr w:rsidR="0044532A" w14:paraId="4A48E3BE" w14:textId="77777777" w:rsidTr="0044532A">
        <w:trPr>
          <w:jc w:val="center"/>
        </w:trPr>
        <w:tc>
          <w:tcPr>
            <w:tcW w:w="2640" w:type="dxa"/>
            <w:vAlign w:val="center"/>
          </w:tcPr>
          <w:p w14:paraId="22C384C0" w14:textId="77777777" w:rsidR="0044532A" w:rsidRDefault="00000000">
            <w:pPr>
              <w:pStyle w:val="Compact"/>
              <w:spacing w:before="20" w:after="20"/>
            </w:pPr>
            <w:r>
              <w:rPr>
                <w:sz w:val="16"/>
              </w:rPr>
              <w:t>Model or data provider outages</w:t>
            </w:r>
          </w:p>
        </w:tc>
        <w:tc>
          <w:tcPr>
            <w:tcW w:w="2640" w:type="dxa"/>
            <w:vAlign w:val="center"/>
          </w:tcPr>
          <w:p w14:paraId="41C86D00" w14:textId="77777777" w:rsidR="0044532A" w:rsidRDefault="00000000">
            <w:pPr>
              <w:pStyle w:val="Compact"/>
              <w:spacing w:before="20" w:after="20"/>
            </w:pPr>
            <w:r>
              <w:rPr>
                <w:sz w:val="16"/>
              </w:rPr>
              <w:t>Demo calls can time out or return stale/partial data</w:t>
            </w:r>
          </w:p>
        </w:tc>
        <w:tc>
          <w:tcPr>
            <w:tcW w:w="2640" w:type="dxa"/>
            <w:vAlign w:val="center"/>
          </w:tcPr>
          <w:p w14:paraId="410A7C21" w14:textId="77777777" w:rsidR="0044532A" w:rsidRDefault="00000000">
            <w:pPr>
              <w:pStyle w:val="Compact"/>
              <w:spacing w:before="20" w:after="20"/>
            </w:pPr>
            <w:r>
              <w:rPr>
                <w:sz w:val="16"/>
              </w:rPr>
              <w:t>Retain deterministic Map/Plan fallback; cache public data appropriately</w:t>
            </w:r>
          </w:p>
        </w:tc>
      </w:tr>
      <w:tr w:rsidR="0044532A" w14:paraId="77089271" w14:textId="77777777" w:rsidTr="0044532A">
        <w:trPr>
          <w:jc w:val="center"/>
        </w:trPr>
        <w:tc>
          <w:tcPr>
            <w:tcW w:w="2640" w:type="dxa"/>
            <w:vAlign w:val="center"/>
          </w:tcPr>
          <w:p w14:paraId="6955BD1F" w14:textId="77777777" w:rsidR="0044532A" w:rsidRDefault="00000000">
            <w:pPr>
              <w:pStyle w:val="Compact"/>
              <w:spacing w:before="20" w:after="20"/>
            </w:pPr>
            <w:r>
              <w:rPr>
                <w:sz w:val="16"/>
              </w:rPr>
              <w:t>Privacy and security</w:t>
            </w:r>
          </w:p>
        </w:tc>
        <w:tc>
          <w:tcPr>
            <w:tcW w:w="2640" w:type="dxa"/>
            <w:vAlign w:val="center"/>
          </w:tcPr>
          <w:p w14:paraId="19454AF2" w14:textId="77777777" w:rsidR="0044532A" w:rsidRDefault="00000000">
            <w:pPr>
              <w:pStyle w:val="Compact"/>
              <w:spacing w:before="20" w:after="20"/>
            </w:pPr>
            <w:r>
              <w:rPr>
                <w:sz w:val="16"/>
              </w:rPr>
              <w:t>Plates, keys, API tokens and logs create operational risk</w:t>
            </w:r>
          </w:p>
        </w:tc>
        <w:tc>
          <w:tcPr>
            <w:tcW w:w="2640" w:type="dxa"/>
            <w:vAlign w:val="center"/>
          </w:tcPr>
          <w:p w14:paraId="1258E2FC" w14:textId="77777777" w:rsidR="0044532A" w:rsidRDefault="00000000">
            <w:pPr>
              <w:pStyle w:val="Compact"/>
              <w:spacing w:before="20" w:after="20"/>
            </w:pPr>
            <w:r>
              <w:rPr>
                <w:sz w:val="16"/>
              </w:rPr>
              <w:t>Rotate exposed credentials; least privilege, retention and security assessment</w:t>
            </w:r>
          </w:p>
        </w:tc>
      </w:tr>
      <w:tr w:rsidR="0044532A" w14:paraId="60A2847F" w14:textId="77777777" w:rsidTr="0044532A">
        <w:trPr>
          <w:jc w:val="center"/>
        </w:trPr>
        <w:tc>
          <w:tcPr>
            <w:tcW w:w="2640" w:type="dxa"/>
            <w:vAlign w:val="center"/>
          </w:tcPr>
          <w:p w14:paraId="1EE70266" w14:textId="77777777" w:rsidR="0044532A" w:rsidRDefault="00000000">
            <w:pPr>
              <w:pStyle w:val="Compact"/>
              <w:spacing w:before="20" w:after="20"/>
            </w:pPr>
            <w:r>
              <w:rPr>
                <w:sz w:val="16"/>
              </w:rPr>
              <w:t>Electric load assumptions</w:t>
            </w:r>
          </w:p>
        </w:tc>
        <w:tc>
          <w:tcPr>
            <w:tcW w:w="2640" w:type="dxa"/>
            <w:vAlign w:val="center"/>
          </w:tcPr>
          <w:p w14:paraId="1F53B496" w14:textId="77777777" w:rsidR="0044532A" w:rsidRDefault="00000000">
            <w:pPr>
              <w:pStyle w:val="Compact"/>
              <w:spacing w:before="20" w:after="20"/>
            </w:pPr>
            <w:r>
              <w:rPr>
                <w:sz w:val="16"/>
              </w:rPr>
              <w:t>Default 60% cap is not an engineering study</w:t>
            </w:r>
          </w:p>
        </w:tc>
        <w:tc>
          <w:tcPr>
            <w:tcW w:w="2640" w:type="dxa"/>
            <w:vAlign w:val="center"/>
          </w:tcPr>
          <w:p w14:paraId="69439470" w14:textId="77777777" w:rsidR="0044532A" w:rsidRDefault="00000000">
            <w:pPr>
              <w:pStyle w:val="Compact"/>
              <w:spacing w:before="20" w:after="20"/>
            </w:pPr>
            <w:r>
              <w:rPr>
                <w:sz w:val="16"/>
              </w:rPr>
              <w:t>Licensed electrical assessment, metering and hardware commissioning</w:t>
            </w:r>
          </w:p>
        </w:tc>
      </w:tr>
      <w:tr w:rsidR="0044532A" w14:paraId="73DAD782" w14:textId="77777777" w:rsidTr="0044532A">
        <w:trPr>
          <w:jc w:val="center"/>
        </w:trPr>
        <w:tc>
          <w:tcPr>
            <w:tcW w:w="2640" w:type="dxa"/>
            <w:vAlign w:val="center"/>
          </w:tcPr>
          <w:p w14:paraId="55C1E6FC" w14:textId="77777777" w:rsidR="0044532A" w:rsidRDefault="00000000">
            <w:pPr>
              <w:pStyle w:val="Compact"/>
              <w:spacing w:before="20" w:after="20"/>
            </w:pPr>
            <w:r>
              <w:rPr>
                <w:sz w:val="16"/>
              </w:rPr>
              <w:t>Governance thresholds</w:t>
            </w:r>
          </w:p>
        </w:tc>
        <w:tc>
          <w:tcPr>
            <w:tcW w:w="2640" w:type="dxa"/>
            <w:vAlign w:val="center"/>
          </w:tcPr>
          <w:p w14:paraId="0AC72C24" w14:textId="77777777" w:rsidR="0044532A" w:rsidRDefault="00000000">
            <w:pPr>
              <w:pStyle w:val="Compact"/>
              <w:spacing w:before="20" w:after="20"/>
            </w:pPr>
            <w:r>
              <w:rPr>
                <w:sz w:val="16"/>
              </w:rPr>
              <w:t>Demo rule may not satisfy applicable strata law</w:t>
            </w:r>
          </w:p>
        </w:tc>
        <w:tc>
          <w:tcPr>
            <w:tcW w:w="2640" w:type="dxa"/>
            <w:vAlign w:val="center"/>
          </w:tcPr>
          <w:p w14:paraId="15F50559" w14:textId="77777777" w:rsidR="0044532A" w:rsidRDefault="00000000">
            <w:pPr>
              <w:pStyle w:val="Compact"/>
              <w:spacing w:before="20" w:after="20"/>
            </w:pPr>
            <w:r>
              <w:rPr>
                <w:sz w:val="16"/>
              </w:rPr>
              <w:t>Agree voting and approval workflow with legal and management stakeholders</w:t>
            </w:r>
          </w:p>
        </w:tc>
      </w:tr>
    </w:tbl>
    <w:p w14:paraId="378BF936" w14:textId="77777777" w:rsidR="0044532A" w:rsidRDefault="00000000">
      <w:pPr>
        <w:pStyle w:val="Heading2"/>
      </w:pPr>
      <w:bookmarkStart w:id="45" w:name="appendix-a-implementation-map"/>
      <w:bookmarkEnd w:id="44"/>
      <w:r>
        <w:t>Appendix A — Implementation map</w:t>
      </w:r>
    </w:p>
    <w:tbl>
      <w:tblPr>
        <w:tblStyle w:val="Table"/>
        <w:tblW w:w="5000" w:type="pct"/>
        <w:jc w:val="center"/>
        <w:tblLayout w:type="fixed"/>
        <w:tblLook w:val="0020" w:firstRow="1" w:lastRow="0" w:firstColumn="0" w:lastColumn="0" w:noHBand="0" w:noVBand="0"/>
      </w:tblPr>
      <w:tblGrid>
        <w:gridCol w:w="4852"/>
        <w:gridCol w:w="4853"/>
      </w:tblGrid>
      <w:tr w:rsidR="0044532A" w14:paraId="2DC70AC2" w14:textId="77777777" w:rsidTr="0044532A">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FEFE9"/>
            <w:vAlign w:val="center"/>
          </w:tcPr>
          <w:p w14:paraId="0FE470BA" w14:textId="77777777" w:rsidR="0044532A" w:rsidRDefault="00000000">
            <w:pPr>
              <w:pStyle w:val="Compact"/>
              <w:spacing w:before="20" w:after="20"/>
            </w:pPr>
            <w:r>
              <w:rPr>
                <w:b/>
                <w:sz w:val="16"/>
              </w:rPr>
              <w:t>Concern</w:t>
            </w:r>
          </w:p>
        </w:tc>
        <w:tc>
          <w:tcPr>
            <w:tcW w:w="3960" w:type="dxa"/>
            <w:shd w:val="clear" w:color="auto" w:fill="DFEFE9"/>
            <w:vAlign w:val="center"/>
          </w:tcPr>
          <w:p w14:paraId="49C53675" w14:textId="77777777" w:rsidR="0044532A" w:rsidRDefault="00000000">
            <w:pPr>
              <w:pStyle w:val="Compact"/>
              <w:spacing w:before="20" w:after="20"/>
            </w:pPr>
            <w:r>
              <w:rPr>
                <w:b/>
                <w:sz w:val="16"/>
              </w:rPr>
              <w:t>Main source files</w:t>
            </w:r>
          </w:p>
        </w:tc>
      </w:tr>
      <w:tr w:rsidR="0044532A" w14:paraId="664C8980" w14:textId="77777777" w:rsidTr="0044532A">
        <w:trPr>
          <w:jc w:val="center"/>
        </w:trPr>
        <w:tc>
          <w:tcPr>
            <w:tcW w:w="3960" w:type="dxa"/>
            <w:vAlign w:val="center"/>
          </w:tcPr>
          <w:p w14:paraId="47F48FAA" w14:textId="77777777" w:rsidR="0044532A" w:rsidRDefault="00000000">
            <w:pPr>
              <w:pStyle w:val="Compact"/>
              <w:spacing w:before="20" w:after="20"/>
            </w:pPr>
            <w:r>
              <w:rPr>
                <w:sz w:val="16"/>
              </w:rPr>
              <w:t>Frontend entry and navigation</w:t>
            </w:r>
          </w:p>
        </w:tc>
        <w:tc>
          <w:tcPr>
            <w:tcW w:w="3960" w:type="dxa"/>
            <w:vAlign w:val="center"/>
          </w:tcPr>
          <w:p w14:paraId="0C3848C6" w14:textId="77777777" w:rsidR="0044532A" w:rsidRDefault="00000000">
            <w:pPr>
              <w:pStyle w:val="Compact"/>
              <w:spacing w:before="20" w:after="20"/>
            </w:pPr>
            <w:r>
              <w:rPr>
                <w:rStyle w:val="VerbatimChar"/>
                <w:rFonts w:ascii="Aptos" w:hAnsi="Aptos"/>
                <w:sz w:val="16"/>
              </w:rPr>
              <w:t>index.html</w:t>
            </w:r>
            <w:r>
              <w:rPr>
                <w:sz w:val="16"/>
              </w:rPr>
              <w:t xml:space="preserve">, </w:t>
            </w:r>
            <w:r>
              <w:rPr>
                <w:rStyle w:val="VerbatimChar"/>
                <w:rFonts w:ascii="Aptos" w:hAnsi="Aptos"/>
                <w:sz w:val="16"/>
              </w:rPr>
              <w:t>app.js</w:t>
            </w:r>
            <w:r>
              <w:rPr>
                <w:sz w:val="16"/>
              </w:rPr>
              <w:t xml:space="preserve">, </w:t>
            </w:r>
            <w:r>
              <w:rPr>
                <w:rStyle w:val="VerbatimChar"/>
                <w:rFonts w:ascii="Aptos" w:hAnsi="Aptos"/>
                <w:sz w:val="16"/>
              </w:rPr>
              <w:t>views/driver.js</w:t>
            </w:r>
            <w:r>
              <w:rPr>
                <w:sz w:val="16"/>
              </w:rPr>
              <w:t xml:space="preserve">, </w:t>
            </w:r>
            <w:r>
              <w:rPr>
                <w:rStyle w:val="VerbatimChar"/>
                <w:rFonts w:ascii="Aptos" w:hAnsi="Aptos"/>
                <w:sz w:val="16"/>
              </w:rPr>
              <w:t>views/jmb.js</w:t>
            </w:r>
            <w:r>
              <w:rPr>
                <w:sz w:val="16"/>
              </w:rPr>
              <w:t xml:space="preserve">, </w:t>
            </w:r>
            <w:r>
              <w:rPr>
                <w:rStyle w:val="VerbatimChar"/>
                <w:rFonts w:ascii="Aptos" w:hAnsi="Aptos"/>
                <w:sz w:val="16"/>
              </w:rPr>
              <w:t>styles.css</w:t>
            </w:r>
          </w:p>
        </w:tc>
      </w:tr>
      <w:tr w:rsidR="0044532A" w14:paraId="7685E64E" w14:textId="77777777" w:rsidTr="0044532A">
        <w:trPr>
          <w:jc w:val="center"/>
        </w:trPr>
        <w:tc>
          <w:tcPr>
            <w:tcW w:w="3960" w:type="dxa"/>
            <w:vAlign w:val="center"/>
          </w:tcPr>
          <w:p w14:paraId="2143EED6" w14:textId="77777777" w:rsidR="0044532A" w:rsidRDefault="00000000">
            <w:pPr>
              <w:pStyle w:val="Compact"/>
              <w:spacing w:before="20" w:after="20"/>
            </w:pPr>
            <w:r>
              <w:rPr>
                <w:sz w:val="16"/>
              </w:rPr>
              <w:t>Remote API and local fallback</w:t>
            </w:r>
          </w:p>
        </w:tc>
        <w:tc>
          <w:tcPr>
            <w:tcW w:w="3960" w:type="dxa"/>
            <w:vAlign w:val="center"/>
          </w:tcPr>
          <w:p w14:paraId="462E3A78" w14:textId="77777777" w:rsidR="0044532A" w:rsidRDefault="00000000">
            <w:pPr>
              <w:pStyle w:val="Compact"/>
              <w:spacing w:before="20" w:after="20"/>
            </w:pPr>
            <w:r>
              <w:rPr>
                <w:rStyle w:val="VerbatimChar"/>
                <w:rFonts w:ascii="Aptos" w:hAnsi="Aptos"/>
                <w:sz w:val="16"/>
              </w:rPr>
              <w:t>data/api.js</w:t>
            </w:r>
            <w:r>
              <w:rPr>
                <w:sz w:val="16"/>
              </w:rPr>
              <w:t xml:space="preserve">, </w:t>
            </w:r>
            <w:r>
              <w:rPr>
                <w:rStyle w:val="VerbatimChar"/>
                <w:rFonts w:ascii="Aptos" w:hAnsi="Aptos"/>
                <w:sz w:val="16"/>
              </w:rPr>
              <w:t>state.js</w:t>
            </w:r>
          </w:p>
        </w:tc>
      </w:tr>
      <w:tr w:rsidR="0044532A" w14:paraId="06A0A59A" w14:textId="77777777" w:rsidTr="0044532A">
        <w:trPr>
          <w:jc w:val="center"/>
        </w:trPr>
        <w:tc>
          <w:tcPr>
            <w:tcW w:w="3960" w:type="dxa"/>
            <w:vAlign w:val="center"/>
          </w:tcPr>
          <w:p w14:paraId="09E140F1" w14:textId="77777777" w:rsidR="0044532A" w:rsidRDefault="00000000">
            <w:pPr>
              <w:pStyle w:val="Compact"/>
              <w:spacing w:before="20" w:after="20"/>
            </w:pPr>
            <w:r>
              <w:rPr>
                <w:sz w:val="16"/>
              </w:rPr>
              <w:t>AI orchestration</w:t>
            </w:r>
          </w:p>
        </w:tc>
        <w:tc>
          <w:tcPr>
            <w:tcW w:w="3960" w:type="dxa"/>
            <w:vAlign w:val="center"/>
          </w:tcPr>
          <w:p w14:paraId="218501BE" w14:textId="77777777" w:rsidR="0044532A" w:rsidRDefault="00000000">
            <w:pPr>
              <w:pStyle w:val="Compact"/>
              <w:spacing w:before="20" w:after="20"/>
            </w:pPr>
            <w:r>
              <w:rPr>
                <w:rStyle w:val="VerbatimChar"/>
                <w:rFonts w:ascii="Aptos" w:hAnsi="Aptos"/>
                <w:sz w:val="16"/>
              </w:rPr>
              <w:t>server/agent.js</w:t>
            </w:r>
            <w:r>
              <w:rPr>
                <w:sz w:val="16"/>
              </w:rPr>
              <w:t xml:space="preserve">, </w:t>
            </w:r>
            <w:r>
              <w:rPr>
                <w:rStyle w:val="VerbatimChar"/>
                <w:rFonts w:ascii="Aptos" w:hAnsi="Aptos"/>
                <w:sz w:val="16"/>
              </w:rPr>
              <w:t>engine/agent.js</w:t>
            </w:r>
            <w:r>
              <w:rPr>
                <w:sz w:val="16"/>
              </w:rPr>
              <w:t xml:space="preserve">, </w:t>
            </w:r>
            <w:r>
              <w:rPr>
                <w:rStyle w:val="VerbatimChar"/>
                <w:rFonts w:ascii="Aptos" w:hAnsi="Aptos"/>
                <w:sz w:val="16"/>
              </w:rPr>
              <w:t>engine/kb.js</w:t>
            </w:r>
            <w:r>
              <w:rPr>
                <w:sz w:val="16"/>
              </w:rPr>
              <w:t xml:space="preserve">, </w:t>
            </w:r>
            <w:r>
              <w:rPr>
                <w:rStyle w:val="VerbatimChar"/>
                <w:rFonts w:ascii="Aptos" w:hAnsi="Aptos"/>
                <w:sz w:val="16"/>
              </w:rPr>
              <w:t>data/knowledge.js</w:t>
            </w:r>
          </w:p>
        </w:tc>
      </w:tr>
      <w:tr w:rsidR="0044532A" w14:paraId="0C056724" w14:textId="77777777" w:rsidTr="0044532A">
        <w:trPr>
          <w:jc w:val="center"/>
        </w:trPr>
        <w:tc>
          <w:tcPr>
            <w:tcW w:w="3960" w:type="dxa"/>
            <w:vAlign w:val="center"/>
          </w:tcPr>
          <w:p w14:paraId="5BFDB4AC" w14:textId="77777777" w:rsidR="0044532A" w:rsidRDefault="00000000">
            <w:pPr>
              <w:pStyle w:val="Compact"/>
              <w:spacing w:before="20" w:after="20"/>
            </w:pPr>
            <w:r>
              <w:rPr>
                <w:sz w:val="16"/>
              </w:rPr>
              <w:t>Charger recommendation and trip</w:t>
            </w:r>
          </w:p>
        </w:tc>
        <w:tc>
          <w:tcPr>
            <w:tcW w:w="3960" w:type="dxa"/>
            <w:vAlign w:val="center"/>
          </w:tcPr>
          <w:p w14:paraId="2F091F60" w14:textId="77777777" w:rsidR="0044532A" w:rsidRDefault="00000000">
            <w:pPr>
              <w:pStyle w:val="Compact"/>
              <w:spacing w:before="20" w:after="20"/>
            </w:pPr>
            <w:r>
              <w:rPr>
                <w:rStyle w:val="VerbatimChar"/>
                <w:rFonts w:ascii="Aptos" w:hAnsi="Aptos"/>
                <w:sz w:val="16"/>
              </w:rPr>
              <w:t>engine/score.js</w:t>
            </w:r>
            <w:r>
              <w:rPr>
                <w:sz w:val="16"/>
              </w:rPr>
              <w:t xml:space="preserve">, </w:t>
            </w:r>
            <w:r>
              <w:rPr>
                <w:rStyle w:val="VerbatimChar"/>
                <w:rFonts w:ascii="Aptos" w:hAnsi="Aptos"/>
                <w:sz w:val="16"/>
              </w:rPr>
              <w:t>engine/balance.js</w:t>
            </w:r>
            <w:r>
              <w:rPr>
                <w:sz w:val="16"/>
              </w:rPr>
              <w:t xml:space="preserve">, </w:t>
            </w:r>
            <w:r>
              <w:rPr>
                <w:rStyle w:val="VerbatimChar"/>
                <w:rFonts w:ascii="Aptos" w:hAnsi="Aptos"/>
                <w:sz w:val="16"/>
              </w:rPr>
              <w:t>engine/trip.js</w:t>
            </w:r>
            <w:r>
              <w:rPr>
                <w:sz w:val="16"/>
              </w:rPr>
              <w:t xml:space="preserve">, </w:t>
            </w:r>
            <w:r>
              <w:rPr>
                <w:rStyle w:val="VerbatimChar"/>
                <w:rFonts w:ascii="Aptos" w:hAnsi="Aptos"/>
                <w:sz w:val="16"/>
              </w:rPr>
              <w:lastRenderedPageBreak/>
              <w:t>engine/schedule.js</w:t>
            </w:r>
          </w:p>
        </w:tc>
      </w:tr>
      <w:tr w:rsidR="0044532A" w14:paraId="7C1DEFAA" w14:textId="77777777" w:rsidTr="0044532A">
        <w:trPr>
          <w:jc w:val="center"/>
        </w:trPr>
        <w:tc>
          <w:tcPr>
            <w:tcW w:w="3960" w:type="dxa"/>
            <w:vAlign w:val="center"/>
          </w:tcPr>
          <w:p w14:paraId="46528B92" w14:textId="77777777" w:rsidR="0044532A" w:rsidRDefault="00000000">
            <w:pPr>
              <w:pStyle w:val="Compact"/>
              <w:spacing w:before="20" w:after="20"/>
            </w:pPr>
            <w:r>
              <w:rPr>
                <w:sz w:val="16"/>
              </w:rPr>
              <w:lastRenderedPageBreak/>
              <w:t>Sharing and booking</w:t>
            </w:r>
          </w:p>
        </w:tc>
        <w:tc>
          <w:tcPr>
            <w:tcW w:w="3960" w:type="dxa"/>
            <w:vAlign w:val="center"/>
          </w:tcPr>
          <w:p w14:paraId="67C1426B" w14:textId="77777777" w:rsidR="0044532A" w:rsidRDefault="00000000">
            <w:pPr>
              <w:pStyle w:val="Compact"/>
              <w:spacing w:before="20" w:after="20"/>
            </w:pPr>
            <w:r>
              <w:rPr>
                <w:rStyle w:val="VerbatimChar"/>
                <w:rFonts w:ascii="Aptos" w:hAnsi="Aptos"/>
                <w:sz w:val="16"/>
              </w:rPr>
              <w:t>engine/sharing.js</w:t>
            </w:r>
            <w:r>
              <w:rPr>
                <w:sz w:val="16"/>
              </w:rPr>
              <w:t xml:space="preserve">, </w:t>
            </w:r>
            <w:r>
              <w:rPr>
                <w:rStyle w:val="VerbatimChar"/>
                <w:rFonts w:ascii="Aptos" w:hAnsi="Aptos"/>
                <w:sz w:val="16"/>
              </w:rPr>
              <w:t>engine/reservations.js</w:t>
            </w:r>
            <w:r>
              <w:rPr>
                <w:sz w:val="16"/>
              </w:rPr>
              <w:t xml:space="preserve">, </w:t>
            </w:r>
            <w:r>
              <w:rPr>
                <w:rStyle w:val="VerbatimChar"/>
                <w:rFonts w:ascii="Aptos" w:hAnsi="Aptos"/>
                <w:sz w:val="16"/>
              </w:rPr>
              <w:t>server/app.js</w:t>
            </w:r>
          </w:p>
        </w:tc>
      </w:tr>
      <w:tr w:rsidR="0044532A" w14:paraId="4BA0DE53" w14:textId="77777777" w:rsidTr="0044532A">
        <w:trPr>
          <w:jc w:val="center"/>
        </w:trPr>
        <w:tc>
          <w:tcPr>
            <w:tcW w:w="3960" w:type="dxa"/>
            <w:vAlign w:val="center"/>
          </w:tcPr>
          <w:p w14:paraId="23804312" w14:textId="77777777" w:rsidR="0044532A" w:rsidRDefault="00000000">
            <w:pPr>
              <w:pStyle w:val="Compact"/>
              <w:spacing w:before="20" w:after="20"/>
            </w:pPr>
            <w:r>
              <w:rPr>
                <w:sz w:val="16"/>
              </w:rPr>
              <w:t>Charging and metering</w:t>
            </w:r>
          </w:p>
        </w:tc>
        <w:tc>
          <w:tcPr>
            <w:tcW w:w="3960" w:type="dxa"/>
            <w:vAlign w:val="center"/>
          </w:tcPr>
          <w:p w14:paraId="0A99DC30" w14:textId="77777777" w:rsidR="0044532A" w:rsidRDefault="00000000">
            <w:pPr>
              <w:pStyle w:val="Compact"/>
              <w:spacing w:before="20" w:after="20"/>
            </w:pPr>
            <w:r>
              <w:rPr>
                <w:rStyle w:val="VerbatimChar"/>
                <w:rFonts w:ascii="Aptos" w:hAnsi="Aptos"/>
                <w:sz w:val="16"/>
              </w:rPr>
              <w:t>server/ocpp.js</w:t>
            </w:r>
            <w:r>
              <w:rPr>
                <w:sz w:val="16"/>
              </w:rPr>
              <w:t xml:space="preserve">, </w:t>
            </w:r>
            <w:r>
              <w:rPr>
                <w:rStyle w:val="VerbatimChar"/>
                <w:rFonts w:ascii="Aptos" w:hAnsi="Aptos"/>
                <w:sz w:val="16"/>
              </w:rPr>
              <w:t>server/ocpp-sim.js</w:t>
            </w:r>
            <w:r>
              <w:rPr>
                <w:sz w:val="16"/>
              </w:rPr>
              <w:t xml:space="preserve">, </w:t>
            </w:r>
            <w:r>
              <w:rPr>
                <w:rStyle w:val="VerbatimChar"/>
                <w:rFonts w:ascii="Aptos" w:hAnsi="Aptos"/>
                <w:sz w:val="16"/>
              </w:rPr>
              <w:t>engine/charging.js</w:t>
            </w:r>
            <w:r>
              <w:rPr>
                <w:sz w:val="16"/>
              </w:rPr>
              <w:t xml:space="preserve">, </w:t>
            </w:r>
            <w:r>
              <w:rPr>
                <w:rStyle w:val="VerbatimChar"/>
                <w:rFonts w:ascii="Aptos" w:hAnsi="Aptos"/>
                <w:sz w:val="16"/>
              </w:rPr>
              <w:t>engine/demo-meter.js</w:t>
            </w:r>
          </w:p>
        </w:tc>
      </w:tr>
      <w:tr w:rsidR="0044532A" w14:paraId="6AC23477" w14:textId="77777777" w:rsidTr="0044532A">
        <w:trPr>
          <w:jc w:val="center"/>
        </w:trPr>
        <w:tc>
          <w:tcPr>
            <w:tcW w:w="3960" w:type="dxa"/>
            <w:vAlign w:val="center"/>
          </w:tcPr>
          <w:p w14:paraId="757DFB87" w14:textId="77777777" w:rsidR="0044532A" w:rsidRDefault="00000000">
            <w:pPr>
              <w:pStyle w:val="Compact"/>
              <w:spacing w:before="20" w:after="20"/>
            </w:pPr>
            <w:r>
              <w:rPr>
                <w:sz w:val="16"/>
              </w:rPr>
              <w:t>Financials</w:t>
            </w:r>
          </w:p>
        </w:tc>
        <w:tc>
          <w:tcPr>
            <w:tcW w:w="3960" w:type="dxa"/>
            <w:vAlign w:val="center"/>
          </w:tcPr>
          <w:p w14:paraId="7D276107" w14:textId="77777777" w:rsidR="0044532A" w:rsidRDefault="00000000">
            <w:pPr>
              <w:pStyle w:val="Compact"/>
              <w:spacing w:before="20" w:after="20"/>
            </w:pPr>
            <w:r>
              <w:rPr>
                <w:rStyle w:val="VerbatimChar"/>
                <w:rFonts w:ascii="Aptos" w:hAnsi="Aptos"/>
                <w:sz w:val="16"/>
              </w:rPr>
              <w:t>engine/economics.js</w:t>
            </w:r>
            <w:r>
              <w:rPr>
                <w:sz w:val="16"/>
              </w:rPr>
              <w:t xml:space="preserve">, </w:t>
            </w:r>
            <w:r>
              <w:rPr>
                <w:rStyle w:val="VerbatimChar"/>
                <w:rFonts w:ascii="Aptos" w:hAnsi="Aptos"/>
                <w:sz w:val="16"/>
              </w:rPr>
              <w:t>engine/recovery.js</w:t>
            </w:r>
            <w:r>
              <w:rPr>
                <w:sz w:val="16"/>
              </w:rPr>
              <w:t xml:space="preserve">, </w:t>
            </w:r>
            <w:r>
              <w:rPr>
                <w:rStyle w:val="VerbatimChar"/>
                <w:rFonts w:ascii="Aptos" w:hAnsi="Aptos"/>
                <w:sz w:val="16"/>
              </w:rPr>
              <w:t>engine/pricing.js</w:t>
            </w:r>
            <w:r>
              <w:rPr>
                <w:sz w:val="16"/>
              </w:rPr>
              <w:t xml:space="preserve">, </w:t>
            </w:r>
            <w:r>
              <w:rPr>
                <w:rStyle w:val="VerbatimChar"/>
                <w:rFonts w:ascii="Aptos" w:hAnsi="Aptos"/>
                <w:sz w:val="16"/>
              </w:rPr>
              <w:t>views/jmb-recorded.js</w:t>
            </w:r>
          </w:p>
        </w:tc>
      </w:tr>
      <w:tr w:rsidR="0044532A" w14:paraId="37A054A3" w14:textId="77777777" w:rsidTr="0044532A">
        <w:trPr>
          <w:jc w:val="center"/>
        </w:trPr>
        <w:tc>
          <w:tcPr>
            <w:tcW w:w="3960" w:type="dxa"/>
            <w:vAlign w:val="center"/>
          </w:tcPr>
          <w:p w14:paraId="37639ADD" w14:textId="77777777" w:rsidR="0044532A" w:rsidRDefault="00000000">
            <w:pPr>
              <w:pStyle w:val="Compact"/>
              <w:spacing w:before="20" w:after="20"/>
            </w:pPr>
            <w:r>
              <w:rPr>
                <w:sz w:val="16"/>
              </w:rPr>
              <w:t>Access and governance</w:t>
            </w:r>
          </w:p>
        </w:tc>
        <w:tc>
          <w:tcPr>
            <w:tcW w:w="3960" w:type="dxa"/>
            <w:vAlign w:val="center"/>
          </w:tcPr>
          <w:p w14:paraId="0338DDC4" w14:textId="77777777" w:rsidR="0044532A" w:rsidRDefault="00000000">
            <w:pPr>
              <w:pStyle w:val="Compact"/>
              <w:spacing w:before="20" w:after="20"/>
            </w:pPr>
            <w:r>
              <w:rPr>
                <w:rStyle w:val="VerbatimChar"/>
                <w:rFonts w:ascii="Aptos" w:hAnsi="Aptos"/>
                <w:sz w:val="16"/>
              </w:rPr>
              <w:t>server/auth.js</w:t>
            </w:r>
            <w:r>
              <w:rPr>
                <w:sz w:val="16"/>
              </w:rPr>
              <w:t xml:space="preserve">, </w:t>
            </w:r>
            <w:r>
              <w:rPr>
                <w:rStyle w:val="VerbatimChar"/>
                <w:rFonts w:ascii="Aptos" w:hAnsi="Aptos"/>
                <w:sz w:val="16"/>
              </w:rPr>
              <w:t>engine/governance.js</w:t>
            </w:r>
            <w:r>
              <w:rPr>
                <w:sz w:val="16"/>
              </w:rPr>
              <w:t xml:space="preserve">, </w:t>
            </w:r>
            <w:r>
              <w:rPr>
                <w:rStyle w:val="VerbatimChar"/>
                <w:rFonts w:ascii="Aptos" w:hAnsi="Aptos"/>
                <w:sz w:val="16"/>
              </w:rPr>
              <w:t>views/governance.js</w:t>
            </w:r>
          </w:p>
        </w:tc>
      </w:tr>
      <w:tr w:rsidR="0044532A" w14:paraId="39C5FB3C" w14:textId="77777777" w:rsidTr="0044532A">
        <w:trPr>
          <w:jc w:val="center"/>
        </w:trPr>
        <w:tc>
          <w:tcPr>
            <w:tcW w:w="3960" w:type="dxa"/>
            <w:vAlign w:val="center"/>
          </w:tcPr>
          <w:p w14:paraId="1CDBC00B" w14:textId="77777777" w:rsidR="0044532A" w:rsidRDefault="00000000">
            <w:pPr>
              <w:pStyle w:val="Compact"/>
              <w:spacing w:before="20" w:after="20"/>
            </w:pPr>
            <w:r>
              <w:rPr>
                <w:sz w:val="16"/>
              </w:rPr>
              <w:t>Tests</w:t>
            </w:r>
          </w:p>
        </w:tc>
        <w:tc>
          <w:tcPr>
            <w:tcW w:w="3960" w:type="dxa"/>
            <w:vAlign w:val="center"/>
          </w:tcPr>
          <w:p w14:paraId="356333C6" w14:textId="77777777" w:rsidR="0044532A" w:rsidRDefault="00000000">
            <w:pPr>
              <w:pStyle w:val="Compact"/>
              <w:spacing w:before="20" w:after="20"/>
            </w:pPr>
            <w:r>
              <w:rPr>
                <w:rStyle w:val="VerbatimChar"/>
                <w:rFonts w:ascii="Aptos" w:hAnsi="Aptos"/>
                <w:sz w:val="16"/>
              </w:rPr>
              <w:t>test/acceptance.test.js</w:t>
            </w:r>
            <w:r>
              <w:rPr>
                <w:sz w:val="16"/>
              </w:rPr>
              <w:t xml:space="preserve">, </w:t>
            </w:r>
            <w:r>
              <w:rPr>
                <w:rStyle w:val="VerbatimChar"/>
                <w:rFonts w:ascii="Aptos" w:hAnsi="Aptos"/>
                <w:sz w:val="16"/>
              </w:rPr>
              <w:t>test/pilot-readiness.test.js</w:t>
            </w:r>
            <w:r>
              <w:rPr>
                <w:sz w:val="16"/>
              </w:rPr>
              <w:t xml:space="preserve">, </w:t>
            </w:r>
            <w:r>
              <w:rPr>
                <w:rStyle w:val="VerbatimChar"/>
                <w:rFonts w:ascii="Aptos" w:hAnsi="Aptos"/>
                <w:sz w:val="16"/>
              </w:rPr>
              <w:t>test/charging-lifecycle.test.js</w:t>
            </w:r>
          </w:p>
        </w:tc>
      </w:tr>
      <w:tr w:rsidR="0044532A" w14:paraId="6FA31413" w14:textId="77777777" w:rsidTr="0044532A">
        <w:trPr>
          <w:jc w:val="center"/>
        </w:trPr>
        <w:tc>
          <w:tcPr>
            <w:tcW w:w="3960" w:type="dxa"/>
            <w:vAlign w:val="center"/>
          </w:tcPr>
          <w:p w14:paraId="7B44117F" w14:textId="77777777" w:rsidR="0044532A" w:rsidRDefault="00000000">
            <w:pPr>
              <w:pStyle w:val="Compact"/>
              <w:spacing w:before="20" w:after="20"/>
            </w:pPr>
            <w:r>
              <w:rPr>
                <w:sz w:val="16"/>
              </w:rPr>
              <w:t>Original supplementary docs</w:t>
            </w:r>
          </w:p>
        </w:tc>
        <w:tc>
          <w:tcPr>
            <w:tcW w:w="3960" w:type="dxa"/>
            <w:vAlign w:val="center"/>
          </w:tcPr>
          <w:p w14:paraId="7D603A22" w14:textId="77777777" w:rsidR="0044532A" w:rsidRDefault="00000000">
            <w:pPr>
              <w:pStyle w:val="Compact"/>
              <w:spacing w:before="20" w:after="20"/>
            </w:pPr>
            <w:r>
              <w:rPr>
                <w:rStyle w:val="VerbatimChar"/>
                <w:rFonts w:ascii="Aptos" w:hAnsi="Aptos"/>
                <w:sz w:val="16"/>
              </w:rPr>
              <w:t>AI_AGENT_REVIEW.md</w:t>
            </w:r>
            <w:r>
              <w:rPr>
                <w:sz w:val="16"/>
              </w:rPr>
              <w:t xml:space="preserve">, </w:t>
            </w:r>
            <w:r>
              <w:rPr>
                <w:rStyle w:val="VerbatimChar"/>
                <w:rFonts w:ascii="Aptos" w:hAnsi="Aptos"/>
                <w:sz w:val="16"/>
              </w:rPr>
              <w:t>PHASE8_ACCEPTANCE.md</w:t>
            </w:r>
            <w:r>
              <w:rPr>
                <w:sz w:val="16"/>
              </w:rPr>
              <w:t xml:space="preserve">, </w:t>
            </w:r>
            <w:r>
              <w:rPr>
                <w:rStyle w:val="VerbatimChar"/>
                <w:rFonts w:ascii="Aptos" w:hAnsi="Aptos"/>
                <w:sz w:val="16"/>
              </w:rPr>
              <w:t>PILOT_READINESS.md</w:t>
            </w:r>
            <w:r>
              <w:rPr>
                <w:sz w:val="16"/>
              </w:rPr>
              <w:t xml:space="preserve">, </w:t>
            </w:r>
            <w:r>
              <w:rPr>
                <w:rStyle w:val="VerbatimChar"/>
                <w:rFonts w:ascii="Aptos" w:hAnsi="Aptos"/>
                <w:sz w:val="16"/>
              </w:rPr>
              <w:t>GOVERNANCE_VERIFICATION.md</w:t>
            </w:r>
            <w:r>
              <w:rPr>
                <w:sz w:val="16"/>
              </w:rPr>
              <w:t xml:space="preserve">, </w:t>
            </w:r>
            <w:r>
              <w:rPr>
                <w:rStyle w:val="VerbatimChar"/>
                <w:rFonts w:ascii="Aptos" w:hAnsi="Aptos"/>
                <w:sz w:val="16"/>
              </w:rPr>
              <w:t>SECURITY_AUDIT.md</w:t>
            </w:r>
            <w:r>
              <w:rPr>
                <w:sz w:val="16"/>
              </w:rPr>
              <w:t xml:space="preserve">, </w:t>
            </w:r>
            <w:r>
              <w:rPr>
                <w:rStyle w:val="VerbatimChar"/>
                <w:rFonts w:ascii="Aptos" w:hAnsi="Aptos"/>
                <w:sz w:val="16"/>
              </w:rPr>
              <w:t>docs/CHARGING_LIFECYCLE.md</w:t>
            </w:r>
          </w:p>
        </w:tc>
      </w:tr>
    </w:tbl>
    <w:p w14:paraId="5E460221" w14:textId="77777777" w:rsidR="0044532A" w:rsidRDefault="00000000">
      <w:pPr>
        <w:pStyle w:val="Heading2"/>
      </w:pPr>
      <w:bookmarkStart w:id="46" w:name="appendix-b-evidence-classification"/>
      <w:bookmarkEnd w:id="45"/>
      <w:r>
        <w:t>Appendix B — Evidence classification</w:t>
      </w:r>
    </w:p>
    <w:p w14:paraId="3ECC951D" w14:textId="77777777" w:rsidR="0044532A" w:rsidRDefault="00000000">
      <w:pPr>
        <w:pStyle w:val="Compact"/>
        <w:numPr>
          <w:ilvl w:val="0"/>
          <w:numId w:val="4"/>
        </w:numPr>
      </w:pPr>
      <w:r>
        <w:rPr>
          <w:b/>
          <w:bCs/>
        </w:rPr>
        <w:t>Implemented code:</w:t>
      </w:r>
      <w:r>
        <w:t xml:space="preserve"> directly inspected in the repository snapshot.</w:t>
      </w:r>
    </w:p>
    <w:p w14:paraId="49814D4E" w14:textId="77777777" w:rsidR="0044532A" w:rsidRDefault="00000000">
      <w:pPr>
        <w:pStyle w:val="Compact"/>
        <w:numPr>
          <w:ilvl w:val="0"/>
          <w:numId w:val="4"/>
        </w:numPr>
      </w:pPr>
      <w:r>
        <w:rPr>
          <w:b/>
          <w:bCs/>
        </w:rPr>
        <w:t>Automated result:</w:t>
      </w:r>
      <w:r>
        <w:t xml:space="preserve"> previously reported in Phase 8 output; not silently reclassified as a new test execution.</w:t>
      </w:r>
    </w:p>
    <w:p w14:paraId="007F8607" w14:textId="77777777" w:rsidR="0044532A" w:rsidRDefault="00000000">
      <w:pPr>
        <w:pStyle w:val="Compact"/>
        <w:numPr>
          <w:ilvl w:val="0"/>
          <w:numId w:val="4"/>
        </w:numPr>
      </w:pPr>
      <w:r>
        <w:rPr>
          <w:b/>
          <w:bCs/>
        </w:rPr>
        <w:t>Manual result:</w:t>
      </w:r>
      <w:r>
        <w:t xml:space="preserve"> user-reported browser acceptance, not independently witnessed by this report.</w:t>
      </w:r>
    </w:p>
    <w:p w14:paraId="3745621B" w14:textId="77777777" w:rsidR="0044532A" w:rsidRDefault="00000000">
      <w:pPr>
        <w:pStyle w:val="Compact"/>
        <w:numPr>
          <w:ilvl w:val="0"/>
          <w:numId w:val="4"/>
        </w:numPr>
      </w:pPr>
      <w:r>
        <w:rPr>
          <w:b/>
          <w:bCs/>
        </w:rPr>
        <w:t>Illustrative scenario:</w:t>
      </w:r>
      <w:r>
        <w:t xml:space="preserve"> assumed or simulated, not real-world metering, contracted revenue or financial settlement.</w:t>
      </w:r>
    </w:p>
    <w:p w14:paraId="7BD17C0D" w14:textId="77777777" w:rsidR="0044532A" w:rsidRDefault="00000000">
      <w:pPr>
        <w:pStyle w:val="Compact"/>
        <w:numPr>
          <w:ilvl w:val="0"/>
          <w:numId w:val="4"/>
        </w:numPr>
      </w:pPr>
      <w:r>
        <w:rPr>
          <w:b/>
          <w:bCs/>
        </w:rPr>
        <w:t>Pilot recommendation:</w:t>
      </w:r>
      <w:r>
        <w:t xml:space="preserve"> future deployment requirement, not an implemented feature.</w:t>
      </w:r>
      <w:bookmarkEnd w:id="0"/>
      <w:bookmarkEnd w:id="46"/>
    </w:p>
    <w:sectPr w:rsidR="0044532A">
      <w:headerReference w:type="default" r:id="rId9"/>
      <w:footerReference w:type="default" r:id="rId10"/>
      <w:pgSz w:w="11909" w:h="16834"/>
      <w:pgMar w:top="1123" w:right="1210" w:bottom="994" w:left="1210" w:header="49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BF1A8D" w14:textId="77777777" w:rsidR="007679FB" w:rsidRDefault="007679FB">
      <w:pPr>
        <w:spacing w:after="0" w:line="240" w:lineRule="auto"/>
      </w:pPr>
      <w:r>
        <w:separator/>
      </w:r>
    </w:p>
  </w:endnote>
  <w:endnote w:type="continuationSeparator" w:id="0">
    <w:p w14:paraId="1E7C1E40" w14:textId="77777777" w:rsidR="007679FB" w:rsidRDefault="00767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CE660" w14:textId="77777777" w:rsidR="0044532A" w:rsidRDefault="00000000">
    <w:pPr>
      <w:jc w:val="right"/>
    </w:pPr>
    <w:r>
      <w:rPr>
        <w:color w:val="50655F"/>
        <w:sz w:val="15"/>
      </w:rPr>
      <w:t xml:space="preserve">PHASE </w:t>
    </w:r>
    <w:proofErr w:type="gramStart"/>
    <w:r>
      <w:rPr>
        <w:color w:val="50655F"/>
        <w:sz w:val="15"/>
      </w:rPr>
      <w:t>9  •</w:t>
    </w:r>
    <w:proofErr w:type="gramEnd"/>
    <w:r>
      <w:rPr>
        <w:color w:val="50655F"/>
        <w:sz w:val="15"/>
      </w:rPr>
      <w:t xml:space="preserve">  22 OCT 2026     |     PAGE </w:t>
    </w:r>
    <w:r>
      <w:fldChar w:fldCharType="begin"/>
    </w:r>
    <w:r>
      <w:instrText>PAGE</w:instrText>
    </w:r>
    <w:r>
      <w:fldChar w:fldCharType="separate"/>
    </w:r>
    <w:r w:rsidR="00823E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FA2A7C" w14:textId="77777777" w:rsidR="007679FB" w:rsidRDefault="007679FB">
      <w:r>
        <w:separator/>
      </w:r>
    </w:p>
  </w:footnote>
  <w:footnote w:type="continuationSeparator" w:id="0">
    <w:p w14:paraId="4E26037B" w14:textId="77777777" w:rsidR="007679FB" w:rsidRDefault="00767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AFA95" w14:textId="77777777" w:rsidR="0044532A" w:rsidRDefault="00000000">
    <w:pPr>
      <w:jc w:val="right"/>
    </w:pPr>
    <w:proofErr w:type="gramStart"/>
    <w:r>
      <w:rPr>
        <w:b/>
        <w:color w:val="50655F"/>
        <w:sz w:val="15"/>
      </w:rPr>
      <w:t>GREENGRU  /</w:t>
    </w:r>
    <w:proofErr w:type="gramEnd"/>
    <w:r>
      <w:rPr>
        <w:b/>
        <w:color w:val="50655F"/>
        <w:sz w:val="15"/>
      </w:rPr>
      <w:t xml:space="preserve">  </w:t>
    </w:r>
    <w:proofErr w:type="gramStart"/>
    <w:r>
      <w:rPr>
        <w:b/>
        <w:color w:val="50655F"/>
        <w:sz w:val="15"/>
      </w:rPr>
      <w:t>CASSAMA  /</w:t>
    </w:r>
    <w:proofErr w:type="gramEnd"/>
    <w:r>
      <w:rPr>
        <w:b/>
        <w:color w:val="50655F"/>
        <w:sz w:val="15"/>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8A6E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107D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4AEA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60445646">
    <w:abstractNumId w:val="0"/>
  </w:num>
  <w:num w:numId="2" w16cid:durableId="588390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375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64347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532A"/>
    <w:rsid w:val="0044532A"/>
    <w:rsid w:val="00602F4F"/>
    <w:rsid w:val="007679FB"/>
    <w:rsid w:val="00823E7C"/>
    <w:rsid w:val="00F05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3D0E97"/>
  <w15:docId w15:val="{BD82B223-E84E-9640-A086-A160C4DD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69" w:lineRule="auto"/>
    </w:pPr>
    <w:rPr>
      <w:rFonts w:ascii="Aptos" w:hAnsi="Aptos"/>
      <w:color w:val="10312A"/>
      <w:sz w:val="18"/>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B7A68"/>
      <w:sz w:val="4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4396</Words>
  <Characters>25063</Characters>
  <Application>Microsoft Office Word</Application>
  <DocSecurity>0</DocSecurity>
  <Lines>208</Lines>
  <Paragraphs>58</Paragraphs>
  <ScaleCrop>false</ScaleCrop>
  <Company/>
  <LinksUpToDate>false</LinksUpToDate>
  <CharactersWithSpaces>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CasSama — Technical Architecture and Implementation Report</dc:title>
  <dc:subject>GreenGru SDP University Hackathon 2026 — Phase 9</dc:subject>
  <dc:creator>GreenGru</dc:creator>
  <cp:keywords/>
  <cp:lastModifiedBy>LONG JIRUI</cp:lastModifiedBy>
  <cp:revision>3</cp:revision>
  <dcterms:created xsi:type="dcterms:W3CDTF">2026-10-22T10:24:00Z</dcterms:created>
  <dcterms:modified xsi:type="dcterms:W3CDTF">2026-10-22T11:54:00Z</dcterms:modified>
</cp:coreProperties>
</file>