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7d90c88a6c9b08f49f974cf4698a5271556a12"/>
    <w:p>
      <w:pPr>
        <w:pStyle w:val="Heading1"/>
      </w:pPr>
      <w:r>
        <w:t xml:space="preserve">Perceived value co-creation in AI-era consulting — an exploratory framework</w:t>
      </w:r>
    </w:p>
    <w:p>
      <w:pPr>
        <w:pStyle w:val="FirstParagraph"/>
      </w:pPr>
      <w:r>
        <w:t xml:space="preserve">Yunes, Clément - University of Bordeaux</w:t>
      </w:r>
    </w:p>
    <w:p>
      <w:pPr>
        <w:pStyle w:val="BodyText"/>
      </w:pPr>
      <w:r>
        <w:t xml:space="preserve">This text is also available online:</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bookmarkEnd w:id="21"/>
    <w:bookmarkStart w:id="26" w:name="research-positioning"/>
    <w:p>
      <w:r>
        <w:br w:type="page"/>
      </w:r>
    </w:p>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(Ciampi, 2017),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the integration of AI in consulting practices reconfigure the co-creation of perceived value for clients?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and, consequently, client-perceived value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It nevertheless brings an original perspective to it: to our knowledge, there is no unified framework for exploring the pressing question of perceived value co-creation in consulting in the AI era, even though this question is central to guiding the necessary transformation of consulting practices.</w:t>
      </w:r>
    </w:p>
    <w:p>
      <w:pPr>
        <w:numPr>
          <w:ilvl w:val="0"/>
          <w:numId w:val="1001"/>
        </w:numPr>
        <w:pStyle w:val="Compact"/>
      </w:pPr>
      <w:r>
        <w:t xml:space="preserve">The marketing literature documents perceived value (definition, central role, measurement scale, and the conditions of its realization, namely co-creation).</w:t>
      </w:r>
    </w:p>
    <w:p>
      <w:pPr>
        <w:numPr>
          <w:ilvl w:val="0"/>
          <w:numId w:val="1002"/>
        </w:numPr>
        <w:pStyle w:val="Compact"/>
      </w:pPr>
      <w:r>
        <w:t xml:space="preserve">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p>
    <w:p>
      <w:pPr>
        <w:numPr>
          <w:ilvl w:val="0"/>
          <w:numId w:val="1003"/>
        </w:numPr>
        <w:pStyle w:val="Compact"/>
      </w:pPr>
      <w:r>
        <w:t xml:space="preserve">Academic work attempting to synthesize these two bodies of literature around the perceived value of consulting remains rare. Work on consulting focuses on the purposes of consulting (technical and political), discusses its value (sources, conditions of formation, measurement), and the necessary transformation of the business model. This research contributes to that synthesis by focusing on the specific link between perceived value co-creation and the integration of AI into consulting practices, which to our knowledge has not yet been explored.</w:t>
      </w:r>
    </w:p>
    <w:p>
      <w:pPr>
        <w:pStyle w:val="FirstParagraph"/>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2" w:name="theoretical-framework"/>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This research proposes to formalize the effects of AI on perceived value co-creation in consulting through an original analytical framework and observational framework.</w:t>
      </w:r>
    </w:p>
    <w:p>
      <w:pPr>
        <w:pStyle w:val="BodyText"/>
      </w:pPr>
      <w:r>
        <w:t xml:space="preserve">The analytical framework formalizes the sequence through which perceived value is co-created in consulting missions.</w:t>
      </w:r>
    </w:p>
    <w:p>
      <w:pPr>
        <w:pStyle w:val="BodyText"/>
      </w:pPr>
      <w:r>
        <w:t xml:space="preserve">The observational framework seeks to structure the empirical observation of the conditions under which consulting perceived value is reconfigured in the AI era.</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31" w:name="the-three-propositions"/>
    <w:p>
      <w:pPr>
        <w:pStyle w:val="Heading3"/>
      </w:pPr>
      <w:r>
        <w:t xml:space="preserve">THE THREE PROPOSITIONS</w:t>
      </w:r>
    </w:p>
    <w:bookmarkStart w:id="28"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w:t>
      </w:r>
    </w:p>
    <w:p>
      <w:pPr>
        <w:pStyle w:val="BodyText"/>
      </w:pPr>
      <w:r>
        <w:t xml:space="preserve">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w:t>
      </w:r>
    </w:p>
    <w:p>
      <w:pPr>
        <w:pStyle w:val="BodyText"/>
      </w:pPr>
      <w:r>
        <w:t xml:space="preserve">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w:t>
      </w:r>
    </w:p>
    <w:p>
      <w:pPr>
        <w:pStyle w:val="BodyText"/>
      </w:pPr>
      <w:r>
        <w:t xml:space="preserve">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w:t>
      </w:r>
    </w:p>
    <w:p>
      <w:pPr>
        <w:pStyle w:val="BodyText"/>
      </w:pPr>
      <w:r>
        <w:t xml:space="preserve">Value co-destruction (Plé &amp; Cáceres 2010; Lumivalo et al. 2024) constitutes the boundary condition when P2 and P3 fail simultaneously.</w:t>
      </w:r>
    </w:p>
    <w:bookmarkEnd w:id="28"/>
    <w:bookmarkStart w:id="29"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w:t>
      </w:r>
    </w:p>
    <w:p>
      <w:pPr>
        <w:pStyle w:val="BodyText"/>
      </w:pPr>
      <w:r>
        <w:t xml:space="preserve">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w:t>
      </w:r>
    </w:p>
    <w:p>
      <w:pPr>
        <w:pStyle w:val="BodyText"/>
      </w:pPr>
      <w:r>
        <w:t xml:space="preserve">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w:t>
      </w:r>
    </w:p>
    <w:p>
      <w:pPr>
        <w:pStyle w:val="BodyText"/>
      </w:pPr>
      <w:r>
        <w:t xml:space="preserve">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w:t>
      </w:r>
    </w:p>
    <w:p>
      <w:pPr>
        <w:pStyle w:val="BodyText"/>
      </w:pPr>
      <w:r>
        <w:t xml:space="preserve">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29"/>
    <w:bookmarkStart w:id="30"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w:t>
      </w:r>
    </w:p>
    <w:p>
      <w:pPr>
        <w:pStyle w:val="BodyText"/>
      </w:pPr>
      <w:r>
        <w:t xml:space="preserve">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w:t>
      </w:r>
    </w:p>
    <w:p>
      <w:pPr>
        <w:pStyle w:val="BodyText"/>
      </w:pPr>
      <w:r>
        <w:t xml:space="preserve">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w:t>
      </w:r>
    </w:p>
    <w:p>
      <w:pPr>
        <w:pStyle w:val="BodyText"/>
      </w:pPr>
      <w:r>
        <w:t xml:space="preserve">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w:t>
      </w:r>
    </w:p>
    <w:p>
      <w:pPr>
        <w:pStyle w:val="BodyText"/>
      </w:pPr>
      <w:r>
        <w:t xml:space="preserve">Substantive transparency can therefore fail in two ways: either because the explanation is not cognitively appropriate, or because it is understood but normatively disqualified. Correct attribution requires both intelligibility and minimal acceptance.</w:t>
      </w:r>
    </w:p>
    <w:p>
      <w:pPr>
        <w:pStyle w:val="BodyText"/>
      </w:pPr>
      <w:r>
        <w:t xml:space="preserve">In this framework, correct attribution is treated as an important observable condition of client appropriation and, through that appropriation, as a pathway through which transparency acts on perceived value.</w:t>
      </w:r>
    </w:p>
    <w:bookmarkEnd w:id="30"/>
    <w:bookmarkEnd w:id="31"/>
    <w:bookmarkStart w:id="37" w:name="the-r-p-c-model"/>
    <w:p>
      <w:pPr>
        <w:pStyle w:val="Heading3"/>
      </w:pPr>
      <w:r>
        <w:t xml:space="preserve">THE R → P → C MODEL</w:t>
      </w:r>
    </w:p>
    <w:bookmarkStart w:id="32" w:name="r-p-c-dimensions"/>
    <w:p>
      <w:pPr>
        <w:pStyle w:val="Heading4"/>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p>
      <w:pPr>
        <w:pStyle w:val="BodyText"/>
      </w:pPr>
      <w:r>
        <w:t xml:space="preserve">SEQUENCE R → P → C with proposed feedback loop R ← P</w:t>
      </w:r>
    </w:p>
    <w:bookmarkEnd w:id="32"/>
    <w:bookmarkStart w:id="33" w:name="Xe76b656d9840b5eadf6d788a1d4dab5caecfa0b"/>
    <w:p>
      <w:pPr>
        <w:pStyle w:val="Heading4"/>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End w:id="33"/>
    <w:bookmarkStart w:id="34"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4"/>
    <w:bookmarkStart w:id="35"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5"/>
    <w:bookmarkStart w:id="36"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6"/>
    <w:bookmarkEnd w:id="37"/>
    <w:bookmarkStart w:id="38"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4"/>
        </w:numPr>
        <w:pStyle w:val="Compact"/>
      </w:pPr>
      <w:r>
        <w:t xml:space="preserve">S1 — Human dyad. AI absent. Relational baseline.</w:t>
      </w:r>
    </w:p>
    <w:p>
      <w:pPr>
        <w:numPr>
          <w:ilvl w:val="0"/>
          <w:numId w:val="1004"/>
        </w:numPr>
        <w:pStyle w:val="Compact"/>
      </w:pPr>
      <w:r>
        <w:t xml:space="preserve">S2 — AI in silo. Attribution and transparency latent.</w:t>
      </w:r>
    </w:p>
    <w:p>
      <w:pPr>
        <w:numPr>
          <w:ilvl w:val="0"/>
          <w:numId w:val="1004"/>
        </w:numPr>
        <w:pStyle w:val="Compact"/>
      </w:pPr>
      <w:r>
        <w:t xml:space="preserve">S3 — Tripartite co-creation. All dimensions observable.</w:t>
      </w:r>
    </w:p>
    <w:bookmarkEnd w:id="38"/>
    <w:bookmarkStart w:id="40" w:name="observational-sequencing"/>
    <w:p>
      <w:pPr>
        <w:pStyle w:val="Heading3"/>
      </w:pPr>
      <w:r>
        <w:t xml:space="preserve">Observational sequencing</w:t>
      </w:r>
    </w:p>
    <w:bookmarkStart w:id="39" w:name="initial-co-creation-situation"/>
    <w:p>
      <w:pPr>
        <w:pStyle w:val="Heading4"/>
      </w:pPr>
      <w:r>
        <w:t xml:space="preserve">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9"/>
    <w:bookmarkEnd w:id="40"/>
    <w:bookmarkStart w:id="41"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1"/>
    <w:bookmarkEnd w:id="42"/>
    <w:bookmarkStart w:id="50" w:name="observation-framework"/>
    <w:p>
      <w:pPr>
        <w:pStyle w:val="Heading2"/>
      </w:pPr>
      <w:r>
        <w:t xml:space="preserve">3. OBSERVATION FRAMEWORK</w:t>
      </w:r>
    </w:p>
    <w:bookmarkStart w:id="49"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4953000" cy="4953000"/>
            <wp:effectExtent b="0" l="0" r="0" t="0"/>
            <wp:docPr descr="The 3 spheres of consultant-client-AI co-creation" title="" id="44" name="Picture"/>
            <a:graphic>
              <a:graphicData uri="http://schemas.openxmlformats.org/drawingml/2006/picture">
                <pic:pic>
                  <pic:nvPicPr>
                    <pic:cNvPr descr="assets/spheres-en.png" id="45" name="Picture"/>
                    <pic:cNvPicPr>
                      <a:picLocks noChangeArrowheads="1" noChangeAspect="1"/>
                    </pic:cNvPicPr>
                  </pic:nvPicPr>
                  <pic:blipFill>
                    <a:blip r:embed="rId43"/>
                    <a:stretch>
                      <a:fillRect/>
                    </a:stretch>
                  </pic:blipFill>
                  <pic:spPr bwMode="auto">
                    <a:xfrm>
                      <a:off x="0" y="0"/>
                      <a:ext cx="4953000" cy="4953000"/>
                    </a:xfrm>
                    <a:prstGeom prst="rect">
                      <a:avLst/>
                    </a:prstGeom>
                    <a:noFill/>
                    <a:ln w="9525">
                      <a:noFill/>
                      <a:headEnd/>
                      <a:tailEnd/>
                    </a:ln>
                  </pic:spPr>
                </pic:pic>
              </a:graphicData>
            </a:graphic>
          </wp:inline>
        </w:drawing>
      </w:r>
    </w:p>
    <w:bookmarkStart w:id="46"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6"/>
    <w:bookmarkStart w:id="47"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7"/>
    <w:bookmarkStart w:id="48"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8"/>
    <w:bookmarkEnd w:id="49"/>
    <w:bookmarkEnd w:id="50"/>
    <w:bookmarkStart w:id="61" w:name="illustration"/>
    <w:p>
      <w:pPr>
        <w:pStyle w:val="Heading2"/>
      </w:pPr>
      <w:r>
        <w:t xml:space="preserve">4. ILLUSTRATION</w:t>
      </w:r>
    </w:p>
    <w:bookmarkStart w:id="51"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1"/>
    <w:bookmarkStart w:id="52"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2"/>
    <w:bookmarkStart w:id="60" w:name="sub-steps"/>
    <w:p>
      <w:pPr>
        <w:pStyle w:val="Heading3"/>
      </w:pPr>
      <w:r>
        <w:t xml:space="preserve">Sub-steps</w:t>
      </w:r>
    </w:p>
    <w:bookmarkStart w:id="53"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3"/>
    <w:bookmarkStart w:id="54"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4"/>
    <w:bookmarkStart w:id="55"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5"/>
    <w:bookmarkStart w:id="56"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6"/>
    <w:bookmarkStart w:id="57"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7"/>
    <w:bookmarkStart w:id="58"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8"/>
    <w:bookmarkStart w:id="59"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2026-04-23T15:00:48Z</dcterms:created>
  <dcterms:modified xsi:type="dcterms:W3CDTF">2026-04-23T15:00:48Z</dcterms:modified>
</cp:coreProperties>
</file>

<file path=docProps/custom.xml><?xml version="1.0" encoding="utf-8"?>
<Properties xmlns="http://schemas.openxmlformats.org/officeDocument/2006/custom-properties" xmlns:vt="http://schemas.openxmlformats.org/officeDocument/2006/docPropsVTypes"/>
</file>