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3e2867ec329977d0aca2a0d328d02568833b9e"/>
    <w:p>
      <w:pPr>
        <w:pStyle w:val="Heading1"/>
      </w:pPr>
      <w:r>
        <w:t xml:space="preserve">La co-création de valeur perçue dans le conseil à l'ère de l'IA — un cadre exploratoire</w:t>
      </w:r>
    </w:p>
    <w:p>
      <w:pPr>
        <w:pStyle w:val="FirstParagraph"/>
      </w:pPr>
      <w:r>
        <w:t xml:space="preserve">Yunes, Clément - Université de Bordeaux</w:t>
      </w:r>
    </w:p>
    <w:p>
      <w:pPr>
        <w:pStyle w:val="BodyText"/>
      </w:pPr>
      <w:r>
        <w:t xml:space="preserve">Ce texte est disponible également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positionnement-de-la-recherche"/>
    <w:p>
      <w:r>
        <w:br w:type="page"/>
      </w:r>
    </w:p>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(Ciampi, 2017), qui permettent in-fine, la résolution du problème à traiter.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et par conséquent la valeur perçue par le client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et y apporte une perspective originale : à notre connaissance, il n’existe pas de cadre unifié pour explorer la question pressante de la co-création de valeur perçue du conseil à l’ère de l’IA, pourtant centrale pour guider la nécessaire transformation des pratiques du conseil à l'oeuvre.</w:t>
      </w:r>
    </w:p>
    <w:p>
      <w:pPr>
        <w:pStyle w:val="BodyText"/>
      </w:pPr>
      <w:r>
        <w:t xml:space="preserve">• La littérature marketing, documente la valeur perçue (définition, rôle central, échelle de mesure, conditions de sa réalisation, à savoir la co-création).</w:t>
      </w:r>
      <w:r>
        <w:br/>
      </w:r>
      <w:r>
        <w:t xml:space="preserve">•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r>
        <w:br/>
      </w:r>
      <w:r>
        <w:t xml:space="preserve">• Les travaux académiques qui tentent une synthèse de ces deux corpus autour de la valeur perçue du conseil, sont rares. Les travaux sur le conseil, se focalisent sur les buts du conseil (techniques et politiques), en discutent la valeur (sources, conditions de sa formation, mesure), la nécessaire transformation du modèle d’affaires. Nos travaux contribuent à cette synthèse en se focalisant sur le lien spécifique entre co-création de valeur perçue et intégration de l'IA dans les pratiques du conseil, non encore exploré à notre connaissance.</w:t>
      </w:r>
    </w:p>
    <w:p>
      <w:pPr>
        <w:pStyle w:val="BodyText"/>
      </w:pPr>
      <w:r>
        <w:t xml:space="preserve">Au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2" w:name="cadre-théorique"/>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Notre recherche propose de formaliser les effets de l'IA sur la co-création de valeur perçue du conseil, au travers d’un cadre d'analyse et d'un cadre d'observation originaux.</w:t>
      </w:r>
    </w:p>
    <w:p>
      <w:pPr>
        <w:pStyle w:val="BodyText"/>
      </w:pPr>
      <w:r>
        <w:t xml:space="preserve">Notre cadre d'analyse formalise la séquence par laquelle la valeur perçue se co-crée dans les missions de conseil.</w:t>
      </w:r>
    </w:p>
    <w:p>
      <w:pPr>
        <w:pStyle w:val="BodyText"/>
      </w:pPr>
      <w:r>
        <w:t xml:space="preserve">Notre cadre d'observation cherche à structurer l’observation empirique des conditions de la reconfiguration de la valeur perçue du conseil à l’ère de l’IA.</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31" w:name="les-trois-propositions"/>
    <w:p>
      <w:pPr>
        <w:pStyle w:val="Heading3"/>
      </w:pPr>
      <w:r>
        <w:t xml:space="preserve">LES TROIS PROPOSITIONS</w:t>
      </w:r>
    </w:p>
    <w:bookmarkStart w:id="28"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w:t>
      </w:r>
    </w:p>
    <w:p>
      <w:pPr>
        <w:pStyle w:val="BodyText"/>
      </w:pPr>
      <w:r>
        <w:t xml:space="preserve">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w:t>
      </w:r>
    </w:p>
    <w:p>
      <w:pPr>
        <w:pStyle w:val="BodyText"/>
      </w:pPr>
      <w:r>
        <w:t xml:space="preserve">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w:t>
      </w:r>
    </w:p>
    <w:p>
      <w:pPr>
        <w:pStyle w:val="BodyText"/>
      </w:pPr>
      <w:r>
        <w:t xml:space="preserve">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w:t>
      </w:r>
    </w:p>
    <w:p>
      <w:pPr>
        <w:pStyle w:val="BodyText"/>
      </w:pPr>
      <w:r>
        <w:t xml:space="preserve">La co-destruction de valeur (Plé &amp; Cáceres 2010 ; Lumivalo et al. 2024) constitue la condition limite lorsque P2 et P3 échouent simultanément.</w:t>
      </w:r>
    </w:p>
    <w:bookmarkEnd w:id="28"/>
    <w:bookmarkStart w:id="29"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w:t>
      </w:r>
    </w:p>
    <w:p>
      <w:pPr>
        <w:pStyle w:val="BodyText"/>
      </w:pPr>
      <w:r>
        <w:t xml:space="preserve">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w:t>
      </w:r>
    </w:p>
    <w:p>
      <w:pPr>
        <w:pStyle w:val="BodyText"/>
      </w:pPr>
      <w:r>
        <w:t xml:space="preserve">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w:t>
      </w:r>
    </w:p>
    <w:p>
      <w:pPr>
        <w:pStyle w:val="BodyText"/>
      </w:pPr>
      <w:r>
        <w:t xml:space="preserve">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w:t>
      </w:r>
    </w:p>
    <w:p>
      <w:pPr>
        <w:pStyle w:val="BodyText"/>
      </w:pPr>
      <w:r>
        <w:t xml:space="preserve">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29"/>
    <w:bookmarkStart w:id="30"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et aversion à l’algorithme).</w:t>
      </w:r>
    </w:p>
    <w:p>
      <w:pPr>
        <w:pStyle w:val="BodyText"/>
      </w:pPr>
      <w:r>
        <w:t xml:space="preserve">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w:t>
      </w:r>
    </w:p>
    <w:p>
      <w:pPr>
        <w:pStyle w:val="BodyText"/>
      </w:pPr>
      <w:r>
        <w:t xml:space="preserve">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w:t>
      </w:r>
    </w:p>
    <w:p>
      <w:pPr>
        <w:pStyle w:val="BodyText"/>
      </w:pPr>
      <w:r>
        <w:t xml:space="preserve">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pPr>
        <w:pStyle w:val="BodyText"/>
      </w:pPr>
      <w:r>
        <w:t xml:space="preserve">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p>
    <w:p>
      <w:pPr>
        <w:pStyle w:val="BodyText"/>
      </w:pPr>
      <w:r>
        <w:t xml:space="preserve">Dans ce cadre, l'attribution correcte est traitée comme une condition observable importante de l'appropriation par le client et, par cette appropriation, comme une voie par laquelle la transparence agit sur la valeur perçue.</w:t>
      </w:r>
    </w:p>
    <w:bookmarkEnd w:id="30"/>
    <w:bookmarkEnd w:id="31"/>
    <w:bookmarkStart w:id="37" w:name="le-modèle-r-p-c"/>
    <w:p>
      <w:pPr>
        <w:pStyle w:val="Heading3"/>
      </w:pPr>
      <w:r>
        <w:t xml:space="preserve">LE MODÈLE R → P → C</w:t>
      </w:r>
    </w:p>
    <w:bookmarkStart w:id="32" w:name="Xaf9523961197c7e0c640a0c3c54597de6e4d023"/>
    <w:p>
      <w:pPr>
        <w:pStyle w:val="Heading4"/>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p>
      <w:pPr>
        <w:pStyle w:val="BodyText"/>
      </w:pPr>
      <w:r>
        <w:t xml:space="preserve">SÉQUENCE R → P → C avec boucle de rétroaction proposée R ← P</w:t>
      </w:r>
    </w:p>
    <w:bookmarkEnd w:id="32"/>
    <w:bookmarkStart w:id="33" w:name="Xc385fbec0e6f933d5644591557ff11ffbcb1a16"/>
    <w:p>
      <w:pPr>
        <w:pStyle w:val="Heading4"/>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End w:id="33"/>
    <w:bookmarkStart w:id="34"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4"/>
    <w:bookmarkStart w:id="35"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5"/>
    <w:bookmarkStart w:id="36"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6"/>
    <w:bookmarkEnd w:id="37"/>
    <w:bookmarkStart w:id="38"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en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1"/>
        </w:numPr>
        <w:pStyle w:val="Compact"/>
      </w:pPr>
      <w:r>
        <w:t xml:space="preserve">S1 — Dyade humaine. IA absente. Base relationnelle.</w:t>
      </w:r>
    </w:p>
    <w:p>
      <w:pPr>
        <w:numPr>
          <w:ilvl w:val="0"/>
          <w:numId w:val="1001"/>
        </w:numPr>
        <w:pStyle w:val="Compact"/>
      </w:pPr>
      <w:r>
        <w:t xml:space="preserve">S2 — IA en silo. Attribution et transparence latentes.</w:t>
      </w:r>
    </w:p>
    <w:p>
      <w:pPr>
        <w:numPr>
          <w:ilvl w:val="0"/>
          <w:numId w:val="1001"/>
        </w:numPr>
        <w:pStyle w:val="Compact"/>
      </w:pPr>
      <w:r>
        <w:t xml:space="preserve">S3 — Co-création tripartite. Toutes les dimensions sont observables.</w:t>
      </w:r>
    </w:p>
    <w:bookmarkEnd w:id="38"/>
    <w:bookmarkStart w:id="40" w:name="séquencement-dobservation"/>
    <w:p>
      <w:pPr>
        <w:pStyle w:val="Heading3"/>
      </w:pPr>
      <w:r>
        <w:t xml:space="preserve">Séquencement d'observation</w:t>
      </w:r>
    </w:p>
    <w:bookmarkStart w:id="39" w:name="situation-initiale-de-co-création"/>
    <w:p>
      <w:pPr>
        <w:pStyle w:val="Heading4"/>
      </w:pPr>
      <w:r>
        <w:t xml:space="preserve">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9"/>
    <w:bookmarkEnd w:id="40"/>
    <w:bookmarkStart w:id="41"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1"/>
    <w:bookmarkEnd w:id="42"/>
    <w:bookmarkStart w:id="50" w:name="cadre-dobservation"/>
    <w:p>
      <w:pPr>
        <w:pStyle w:val="Heading2"/>
      </w:pPr>
      <w:r>
        <w:t xml:space="preserve">3. CADRE D'OBSERVATION</w:t>
      </w:r>
    </w:p>
    <w:bookmarkStart w:id="49"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4953000" cy="4953000"/>
            <wp:effectExtent b="0" l="0" r="0" t="0"/>
            <wp:docPr descr="Les 3 sphères de la co-création consultant-client-IA" title="" id="44" name="Picture"/>
            <a:graphic>
              <a:graphicData uri="http://schemas.openxmlformats.org/drawingml/2006/picture">
                <pic:pic>
                  <pic:nvPicPr>
                    <pic:cNvPr descr="assets/spheres-fr.png" id="45" name="Picture"/>
                    <pic:cNvPicPr>
                      <a:picLocks noChangeArrowheads="1" noChangeAspect="1"/>
                    </pic:cNvPicPr>
                  </pic:nvPicPr>
                  <pic:blipFill>
                    <a:blip r:embed="rId43"/>
                    <a:stretch>
                      <a:fillRect/>
                    </a:stretch>
                  </pic:blipFill>
                  <pic:spPr bwMode="auto">
                    <a:xfrm>
                      <a:off x="0" y="0"/>
                      <a:ext cx="4953000" cy="4953000"/>
                    </a:xfrm>
                    <a:prstGeom prst="rect">
                      <a:avLst/>
                    </a:prstGeom>
                    <a:noFill/>
                    <a:ln w="9525">
                      <a:noFill/>
                      <a:headEnd/>
                      <a:tailEnd/>
                    </a:ln>
                  </pic:spPr>
                </pic:pic>
              </a:graphicData>
            </a:graphic>
          </wp:inline>
        </w:drawing>
      </w:r>
    </w:p>
    <w:bookmarkStart w:id="46"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6"/>
    <w:bookmarkStart w:id="47"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7"/>
    <w:bookmarkStart w:id="48"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8"/>
    <w:bookmarkEnd w:id="49"/>
    <w:bookmarkEnd w:id="50"/>
    <w:bookmarkStart w:id="61" w:name="illustration"/>
    <w:p>
      <w:pPr>
        <w:pStyle w:val="Heading2"/>
      </w:pPr>
      <w:r>
        <w:t xml:space="preserve">4. ILLUSTRATION</w:t>
      </w:r>
    </w:p>
    <w:bookmarkStart w:id="51"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1"/>
    <w:bookmarkStart w:id="52"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2"/>
    <w:bookmarkStart w:id="60" w:name="sous-étapes"/>
    <w:p>
      <w:pPr>
        <w:pStyle w:val="Heading3"/>
      </w:pPr>
      <w:r>
        <w:t xml:space="preserve">Sous étapes</w:t>
      </w:r>
    </w:p>
    <w:bookmarkStart w:id="53"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3"/>
    <w:bookmarkStart w:id="54"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4"/>
    <w:bookmarkStart w:id="55"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5"/>
    <w:bookmarkStart w:id="56"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6"/>
    <w:bookmarkStart w:id="57"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7"/>
    <w:bookmarkStart w:id="58"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8"/>
    <w:bookmarkStart w:id="59"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2026-04-23T14:15:12Z</dcterms:created>
  <dcterms:modified xsi:type="dcterms:W3CDTF">2026-04-23T14:15:12Z</dcterms:modified>
</cp:coreProperties>
</file>

<file path=docProps/custom.xml><?xml version="1.0" encoding="utf-8"?>
<Properties xmlns="http://schemas.openxmlformats.org/officeDocument/2006/custom-properties" xmlns:vt="http://schemas.openxmlformats.org/officeDocument/2006/docPropsVTypes"/>
</file>