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doc-heading--1"&gt;Document complémentaire des contenus de l'artefact&lt;/h1&gt;</w:t>
      </w:r>
    </w:p>
    <w:p>
      <w:pPr/>
      <w:r>
        <w:rPr>
          <w:rFonts w:ascii="Helvetica Light" w:hAnsi="Helvetica Light" w:cs="Helvetica Light"/>
          <w:sz w:val="24"/>
          <w:sz-cs w:val="24"/>
        </w:rPr>
        <w:t xml:space="preserve">&lt;p&gt;Ce document restitue, mot pour mot, la version française des contenus textuels de l'application interactive. Il est destiné à une lecture humaine hors interface et régénéré depuis content.js, source maître des contenus de l'app.&lt;/p&gt;</w:t>
      </w:r>
    </w:p>
    <w:p>
      <w:pPr/>
      <w:r>
        <w:rPr>
          <w:rFonts w:ascii="Helvetica Light" w:hAnsi="Helvetica Light" w:cs="Helvetica Light"/>
          <w:sz w:val="24"/>
          <w:sz-cs w:val="24"/>
        </w:rPr>
        <w:t xml:space="preserve">&lt;p&gt;Application en ligne : &lt;a href="https://s1s2s3.vercel.app"&gt;https://s1s2s3.vercel.app&lt;/a&gt;&lt;/p&gt;</w:t>
      </w:r>
    </w:p>
    <w:p>
      <w:pPr/>
      <w:r>
        <w:rPr>
          <w:rFonts w:ascii="Helvetica Light" w:hAnsi="Helvetica Light" w:cs="Helvetica Light"/>
          <w:sz w:val="24"/>
          <w:sz-cs w:val="24"/>
        </w:rPr>
        <w:t xml:space="preserve">&lt;h2 class="doc-heading doc-heading--2"&gt;Table des matières&lt;/h2&gt;</w:t>
      </w:r>
    </w:p>
    <w:p>
      <w:pPr/>
      <w:r>
        <w:rPr>
          <w:rFonts w:ascii="Helvetica Light" w:hAnsi="Helvetica Light" w:cs="Helvetica Light"/>
          <w:sz w:val="24"/>
          <w:sz-cs w:val="24"/>
        </w:rPr>
        <w:t xml:space="preserve">&lt;p class="toc-group"&gt;Version française&lt;/p&gt;&lt;table class="toc-table"&gt;&lt;tbody&gt;&lt;tr&gt;&lt;td class="toc-label"&gt;1. Positionnement de la recherche&lt;/td&gt;&lt;td class="toc-page"&gt;p. 2&lt;/td&gt;&lt;/tr&gt;&lt;tr&gt;&lt;td class="toc-label"&gt;2. Cadre théorique&lt;/td&gt;&lt;td class="toc-page"&gt;p. 3&lt;/td&gt;&lt;/tr&gt;&lt;tr&gt;&lt;td class="toc-label"&gt;3. Cadre d'observation&lt;/td&gt;&lt;td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POSITIONNEMENT DE LA RECHERCHE&lt;/h2&gt;</w:t>
      </w:r>
    </w:p>
    <w:p>
      <w:pPr/>
      <w:r>
        <w:rPr>
          <w:rFonts w:ascii="Helvetica Light" w:hAnsi="Helvetica Light" w:cs="Helvetica Light"/>
          <w:sz w:val="24"/>
          <w:sz-cs w:val="24"/>
        </w:rPr>
        <w:t xml:space="preserve">&lt;h3 class="doc-heading doc-heading--3"&gt;Comprendre la co-création de valeur perçue dans le conseil à l'ère de l'IA&lt;/h3&gt;</w:t>
      </w:r>
    </w:p>
    <w:p>
      <w:pPr/>
      <w:r>
        <w:rPr>
          <w:rFonts w:ascii="Helvetica Light" w:hAnsi="Helvetica Light" w:cs="Helvetica Light"/>
          <w:sz w:val="24"/>
          <w:sz-cs w:val="24"/>
        </w:rPr>
        <w:t xml:space="preserve">&lt;h3 class="doc-heading doc-heading--3"&gt;LA QUESTION&lt;/h3&gt;</w:t>
      </w:r>
    </w:p>
    <w:p>
      <w:pPr/>
      <w:r>
        <w:rPr>
          <w:rFonts w:ascii="Helvetica Light" w:hAnsi="Helvetica Light" w:cs="Helvetica Light"/>
          <w:sz w:val="24"/>
          <w:sz-cs w:val="24"/>
        </w:rPr>
        <w:t xml:space="preserve">&lt;p&gt;Le conseil augmenté par l'IA est souvent présenté comme une promesse de valeur supérieure pour les clients, car il permet de produire plus vite, mieux, plus fort, moins cher, plus sûr. Or, la valeur est subjective, et sa perception par le client, en rien automatique.&lt;/p&gt;</w:t>
      </w:r>
    </w:p>
    <w:p>
      <w:pPr/>
      <w:r>
        <w:rPr>
          <w:rFonts w:ascii="Helvetica Light" w:hAnsi="Helvetica Light" w:cs="Helvetica Light"/>
          <w:sz w:val="24"/>
          <w:sz-cs w:val="24"/>
        </w:rPr>
        <w:t xml:space="preserve">&lt;p&gt;Dans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co-création.&lt;/p&gt;</w:t>
      </w:r>
    </w:p>
    <w:p>
      <w:pPr/>
      <w:r>
        <w:rPr>
          <w:rFonts w:ascii="Helvetica Light" w:hAnsi="Helvetica Light" w:cs="Helvetica Light"/>
          <w:sz w:val="24"/>
          <w:sz-cs w:val="24"/>
        </w:rPr>
        <w:t xml:space="preserve">&lt;p&gt;Or,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?&lt;/p&gt;</w:t>
      </w:r>
    </w:p>
    <w:p>
      <w:pPr/>
      <w:r>
        <w:rPr>
          <w:rFonts w:ascii="Helvetica Light" w:hAnsi="Helvetica Light" w:cs="Helvetica Light"/>
          <w:sz w:val="24"/>
          <w:sz-cs w:val="24"/>
        </w:rPr>
        <w:t xml:space="preserve">&lt;p&gt;Autrement dit, comment l’IA reconfigure-t-elle la valeur perçue des missions de conseil ?&lt;/p&gt;</w:t>
      </w:r>
    </w:p>
    <w:p>
      <w:pPr/>
      <w:r>
        <w:rPr>
          <w:rFonts w:ascii="Helvetica Light" w:hAnsi="Helvetica Light" w:cs="Helvetica Light"/>
          <w:sz w:val="24"/>
          <w:sz-cs w:val="24"/>
        </w:rPr>
        <w:t xml:space="preserve">&lt;h3 class="doc-heading doc-heading--3"&gt;POURQUOI CELA COMPTE&lt;/h3&gt;</w:t>
      </w:r>
    </w:p>
    <w:p>
      <w:pPr/>
      <w:r>
        <w:rPr>
          <w:rFonts w:ascii="Helvetica Light" w:hAnsi="Helvetica Light" w:cs="Helvetica Light"/>
          <w:sz w:val="24"/>
          <w:sz-cs w:val="24"/>
        </w:rPr>
        <w:t xml:space="preserve">&lt;p&gt;L'intégration de l'IA dans le conseil, ne génère pas nécessairement une valeur supérieure pour le client. Paradoxalement, l’IA peut à la fois renforcer le processus de production du conseil et fragiliser la situation de co-création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l’IA.&lt;/p&gt;</w:t>
      </w:r>
    </w:p>
    <w:p>
      <w:pPr/>
      <w:r>
        <w:rPr>
          <w:rFonts w:ascii="Helvetica Light" w:hAnsi="Helvetica Light" w:cs="Helvetica Light"/>
          <w:sz w:val="24"/>
          <w:sz-cs w:val="24"/>
        </w:rPr>
        <w:t xml:space="preserve">&lt;h3 class="doc-heading doc-heading--3"&gt;UNE QUESTION LAISSÉE OUVERTE&lt;/h3&gt;</w:t>
      </w:r>
    </w:p>
    <w:p>
      <w:pPr/>
      <w:r>
        <w:rPr>
          <w:rFonts w:ascii="Helvetica Light" w:hAnsi="Helvetica Light" w:cs="Helvetica Light"/>
          <w:sz w:val="24"/>
          <w:sz-cs w:val="24"/>
        </w:rPr>
        <w:t xml:space="preserve">&lt;p&gt;Au plan théorique, notre recherche mobilise une double perspective (marketing, systèmes d’information), analysée par le prisme de son application au domaine du conseil (voir ci-dessous).&lt;/p&gt;</w:t>
      </w:r>
    </w:p>
    <w:p>
      <w:pPr/>
      <w:r>
        <w:rPr>
          <w:rFonts w:ascii="Helvetica Light" w:hAnsi="Helvetica Light" w:cs="Helvetica Light"/>
          <w:sz w:val="24"/>
          <w:sz-cs w:val="24"/>
        </w:rPr>
        <w:t xml:space="preserve">&lt;p&gt;Notre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conseil.&lt;/p&gt;</w:t>
      </w:r>
    </w:p>
    <w:p>
      <w:pPr/>
      <w:r>
        <w:rPr>
          <w:rFonts w:ascii="Helvetica Light" w:hAnsi="Helvetica Light" w:cs="Helvetica Light"/>
          <w:sz w:val="24"/>
          <w:sz-cs w:val="24"/>
        </w:rPr>
        <w:t xml:space="preserve">&lt;p&gt;• La littérature marketing, documente la valeur perçue (définition, rôle central, échelle de mesure, conditions de sa réalisation, à savoir la co-création).&lt;br&gt;•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appauvrissement).&lt;br&gt;•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l’IA.&lt;/p&gt;</w:t>
      </w:r>
    </w:p>
    <w:p>
      <w:pPr/>
      <w:r>
        <w:rPr>
          <w:rFonts w:ascii="Helvetica Light" w:hAnsi="Helvetica Light" w:cs="Helvetica Light"/>
          <w:sz w:val="24"/>
          <w:sz-cs w:val="24"/>
        </w:rPr>
        <w:t xml:space="preserve">&lt;p&gt;An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initiatives.&lt;/p&gt;</w:t>
      </w:r>
    </w:p>
    <w:p>
      <w:pPr/>
      <w:r>
        <w:rPr>
          <w:rFonts w:ascii="Helvetica Light" w:hAnsi="Helvetica Light" w:cs="Helvetica Light"/>
          <w:sz w:val="24"/>
          <w:sz-cs w:val="24"/>
        </w:rPr>
        <w:t xml:space="preserve">&lt;h2 class="doc-heading doc-heading--2"&gt;2. CADRE THÉORIQUE&lt;/h2&gt;</w:t>
      </w:r>
    </w:p>
    <w:p>
      <w:pPr/>
      <w:r>
        <w:rPr>
          <w:rFonts w:ascii="Helvetica Light" w:hAnsi="Helvetica Light" w:cs="Helvetica Light"/>
          <w:sz w:val="24"/>
          <w:sz-cs w:val="24"/>
        </w:rPr>
        <w:t xml:space="preserve">&lt;p&gt;Nous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fonctionner.&lt;/p&gt;</w:t>
      </w:r>
    </w:p>
    <w:p>
      <w:pPr/>
      <w:r>
        <w:rPr>
          <w:rFonts w:ascii="Helvetica Light" w:hAnsi="Helvetica Light" w:cs="Helvetica Light"/>
          <w:sz w:val="24"/>
          <w:sz-cs w:val="24"/>
        </w:rPr>
        <w:t xml:space="preserve">&lt;h3 class="doc-heading doc-heading--3"&gt;L’ABSENCE DE CADRE D’EXPLORATION&lt;/h3&gt;</w:t>
      </w:r>
    </w:p>
    <w:p>
      <w:pPr/>
      <w:r>
        <w:rPr>
          <w:rFonts w:ascii="Helvetica Light" w:hAnsi="Helvetica Light" w:cs="Helvetica Light"/>
          <w:sz w:val="24"/>
          <w:sz-cs w:val="24"/>
        </w:rPr>
        <w:t xml:space="preserve">&lt;p&gt;La littérature sur la valeur perçue des activités à forte intensité de connaissances (telles que le conseil), identifie trois dimensions centrales de formation de la valeur perçue : fonctionnelle, émotionnelle et sociale (Arslanagic-Kalajdzic &amp;amp; Zabkar, 2017). Nous les reprenons, en les ajustant avec un cadre original qui propose un séquencement causal, adapté au cas du conseil et au cadre de notre recherche : dimension relationnelle, processuelle et cognitive.&lt;/p&gt;</w:t>
      </w:r>
    </w:p>
    <w:p>
      <w:pPr/>
      <w:r>
        <w:rPr>
          <w:rFonts w:ascii="Helvetica Light" w:hAnsi="Helvetica Light" w:cs="Helvetica Light"/>
          <w:sz w:val="24"/>
          <w:sz-cs w:val="24"/>
        </w:rPr>
        <w:t xml:space="preserve">&lt;p&gt;Le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l’IA.&lt;/p&gt;</w:t>
      </w:r>
    </w:p>
    <w:p>
      <w:pPr/>
      <w:r>
        <w:rPr>
          <w:rFonts w:ascii="Helvetica Light" w:hAnsi="Helvetica Light" w:cs="Helvetica Light"/>
          <w:sz w:val="24"/>
          <w:sz-cs w:val="24"/>
        </w:rPr>
        <w:t xml:space="preserve">&lt;p&gt;L’absence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légitimité.&lt;/p&gt;</w:t>
      </w:r>
    </w:p>
    <w:p>
      <w:pPr/>
      <w:r>
        <w:rPr>
          <w:rFonts w:ascii="Helvetica Light" w:hAnsi="Helvetica Light" w:cs="Helvetica Light"/>
          <w:sz w:val="24"/>
          <w:sz-cs w:val="24"/>
        </w:rPr>
        <w:t xml:space="preserve">&lt;p&gt;La littérature sur le conseil étaie empiriquement deux liens constitutifs entre ces dimensions : la confiance relationnelle comme précondition de l'engagement processuel (Nikolova et al. 2014 ; Glückler &amp;amp; Armbrüster 2003), et l'expérience de co-création comme condition de l'appropriation cognitive — y compris la capacité d'absorption du client comme facteur décisif (Oesterle et al. 2020 ; Aarikka-Stenroos &amp;amp;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mission.&lt;/p&gt;</w:t>
      </w:r>
    </w:p>
    <w:p>
      <w:pPr/>
      <w:r>
        <w:rPr>
          <w:rFonts w:ascii="Helvetica Light" w:hAnsi="Helvetica Light" w:cs="Helvetica Light"/>
          <w:sz w:val="24"/>
          <w:sz-cs w:val="24"/>
        </w:rPr>
        <w:t xml:space="preserve">&lt;p&gt;Parallèlement, une littérature plus large sur le management et le travail de la connaissance théorise des mécanismes encore non testés dans les contextes de conseil : le brouillage des contributions dans les systèmes humain-IA (Raisch &amp;amp; Krakowski 2020), l'augmentation récursive de la connaissance organisationnelle par l'IA (Harfouche et al. 2023), et les implications des cadres de délégation dans les systèmes hybrides humain-IA (Baird &amp;amp; Maruping 2021).&lt;/p&gt;</w:t>
      </w:r>
    </w:p>
    <w:p>
      <w:pPr/>
      <w:r>
        <w:rPr>
          <w:rFonts w:ascii="Helvetica Light" w:hAnsi="Helvetica Light" w:cs="Helvetica Light"/>
          <w:sz w:val="24"/>
          <w:sz-cs w:val="24"/>
        </w:rPr>
        <w:t xml:space="preserve">&lt;h3 class="doc-heading doc-heading--3"&gt;Les dimensions de la valeur perçue du conseil à l'ère de l'IA : R / P / C&lt;/h3&gt;</w:t>
      </w:r>
    </w:p>
    <w:p>
      <w:pPr/>
      <w:r>
        <w:rPr>
          <w:rFonts w:ascii="Helvetica Light" w:hAnsi="Helvetica Light" w:cs="Helvetica Light"/>
          <w:sz w:val="24"/>
          <w:sz-cs w:val="24"/>
        </w:rPr>
        <w:t xml:space="preserve">&lt;div class="definition"&gt;&lt;p class="block-label"&gt;&lt;strong&gt;R — Relationnelle&lt;/strong&gt;&lt;/p&gt;&lt;p&gt;Confiance, légitimité et jugement politique — activement produits, et de plus en plus ambigus dans les systèmes humain-IA&lt;/p&gt;&lt;/div&gt;</w:t>
      </w:r>
    </w:p>
    <w:p>
      <w:pPr/>
      <w:r>
        <w:rPr>
          <w:rFonts w:ascii="Helvetica Light" w:hAnsi="Helvetica Light" w:cs="Helvetica Light"/>
          <w:sz w:val="24"/>
          <w:sz-cs w:val="24"/>
        </w:rPr>
        <w:t xml:space="preserve">&lt;div class="definition"&gt;&lt;p class="block-label"&gt;&lt;strong&gt;P — Processuelle&lt;/strong&gt;&lt;/p&gt;&lt;p&gt;L'expérience même de co-création — sa nature, sa lisibilité et la distribution des rôles, reconfigurées par l'IA comme troisième acteur&lt;/p&gt;&lt;/div&gt;</w:t>
      </w:r>
    </w:p>
    <w:p>
      <w:pPr/>
      <w:r>
        <w:rPr>
          <w:rFonts w:ascii="Helvetica Light" w:hAnsi="Helvetica Light" w:cs="Helvetica Light"/>
          <w:sz w:val="24"/>
          <w:sz-cs w:val="24"/>
        </w:rPr>
        <w:t xml:space="preserve">&lt;div class="definition"&gt;&lt;p class="block-label"&gt;&lt;strong&gt;C — Cognitive&lt;/strong&gt;&lt;/p&gt;&lt;p&gt;La capacité à interpréter, comprendre et évaluer ce qui a été co-produit — afin que les productions de la mission deviennent intelligibles, évaluables, appropriables et mobilisables comme connaissance managériale&lt;/p&gt;&lt;/div&gt;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&lt;div class="definition"&gt;&lt;p class="block-label"&gt;&lt;strong&gt;P1 — CE QUI EST RECONFIGURÉ&lt;/strong&gt;&lt;/p&gt;&lt;p&gt;L'intégration de l'IA dans les missions de conseil reconfigure la valeur perçue par le client selon trois dimensions interdépendantes : relationnelle, processuelle et cognitive.&lt;/p&gt;&lt;/div&gt;</w:t>
      </w:r>
    </w:p>
    <w:p>
      <w:pPr/>
      <w:r>
        <w:rPr>
          <w:rFonts w:ascii="Helvetica Light" w:hAnsi="Helvetica Light" w:cs="Helvetica Light"/>
          <w:sz w:val="24"/>
          <w:sz-cs w:val="24"/>
        </w:rPr>
        <w:t xml:space="preserve">&lt;div class="definition"&gt;&lt;p class="block-label"&gt;&lt;strong&gt;P2 — LE MÉCANISME&lt;/strong&gt;&lt;/p&gt;&lt;p&gt;La transparence est le mécanisme médiateur de la valeur perçue du conseil à l’ère de l’IA.&lt;/p&gt;&lt;/div&gt;</w:t>
      </w:r>
    </w:p>
    <w:p>
      <w:pPr/>
      <w:r>
        <w:rPr>
          <w:rFonts w:ascii="Helvetica Light" w:hAnsi="Helvetica Light" w:cs="Helvetica Light"/>
          <w:sz w:val="24"/>
          <w:sz-cs w:val="24"/>
        </w:rPr>
        <w:t xml:space="preserve">&lt;div class="definition"&gt;&lt;p class="block-label"&gt;&lt;strong&gt;P3 — LES CONDITIONS&lt;/strong&gt;&lt;/p&gt;&lt;p&gt;Trois catégories de contingence déterminent si P2 produit une attribution correcte : au niveau relationnel, au niveau situationnel et au niveau acteur.&lt;/p&gt;&lt;/div&gt;</w:t>
      </w:r>
    </w:p>
    <w:p>
      <w:pPr/>
      <w:r>
        <w:rPr>
          <w:rFonts w:ascii="Helvetica Light" w:hAnsi="Helvetica Light" w:cs="Helvetica Light"/>
          <w:sz w:val="24"/>
          <w:sz-cs w:val="24"/>
        </w:rPr>
        <w:t xml:space="preserve">&lt;h3 class="doc-heading doc-heading--3"&gt;Comment l'IA reconfigure de façon contingente la chaîne R → P → C&lt;/h3&gt;</w:t>
      </w:r>
    </w:p>
    <w:p>
      <w:pPr/>
      <w:r>
        <w:rPr>
          <w:rFonts w:ascii="Helvetica Light" w:hAnsi="Helvetica Light" w:cs="Helvetica Light"/>
          <w:sz w:val="24"/>
          <w:sz-cs w:val="24"/>
        </w:rPr>
        <w:t xml:space="preserve">&lt;div class="figure"&gt;&lt;p class="figure-title"&gt;Figure — Comment l'IA reconfigure de façon contingente la chaîne R → P → C&lt;/p&gt;&lt;table class="figure-table"&gt;&lt;tbody&gt;&lt;tr&gt;&lt;td class="figure-cell"&gt;&lt;p class="figure-node"&gt;R — Relationnelle&lt;/p&gt;&lt;p&gt;Confiance, légitimité et jugement politique — activement produits, et de plus en plus ambigus dans les systèmes humain-IA&lt;/p&gt;&lt;/td&gt;&lt;td class="figure-arrow"&gt;→&lt;/td&gt;&lt;td class="figure-cell"&gt;&lt;p class="figure-node"&gt;P — Processuelle&lt;/p&gt;&lt;p&gt;L'expérience même de co-création — sa nature, sa lisibilité et la distribution des rôles, reconfigurées par l'IA comme troisième acteur&lt;/p&gt;&lt;/td&gt;&lt;td class="figure-arrow"&gt;→&lt;/td&gt;&lt;td class="figure-cell"&gt;&lt;p class="figure-node"&gt;C — Cognitive&lt;/p&gt;&lt;p&gt;La capacité à interpréter, comprendre et évaluer ce qui a été co-produit — afin que les productions de la mission deviennent intelligibles, évaluables, appropriables et mobilisables comme connaissance managériale&lt;/p&gt;&lt;/td&gt;&lt;/tr&gt;&lt;tr&gt;&lt;td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orchestration visible et une construction crédible de la légitimité peuvent approfondir l'engagement processuel lorsque l'usage de l'IA est compris et accepté.&lt;/p&gt;&lt;/div&gt;</w:t>
      </w:r>
    </w:p>
    <w:p>
      <w:pPr/>
      <w:r>
        <w:rPr>
          <w:rFonts w:ascii="Helvetica Light" w:hAnsi="Helvetica Light" w:cs="Helvetica Light"/>
          <w:sz w:val="24"/>
          <w:sz-cs w:val="24"/>
        </w:rPr>
        <w:t xml:space="preserve">&lt;div class="definition"&gt;&lt;p class="block-label"&gt;&lt;strong&gt;Reconfiguration négative&lt;/strong&gt;&lt;/p&gt;&lt;p&gt;Un usage masqué de l'IA peut fragiliser la légitimité et délégitimer rétrospectivement le processus aux yeux du client (par exemple si la contribution cachée est découverte à posteriori par le client).&lt;/p&gt;&lt;/div&gt;</w:t>
      </w:r>
    </w:p>
    <w:p>
      <w:pPr/>
      <w:r>
        <w:rPr>
          <w:rFonts w:ascii="Helvetica Light" w:hAnsi="Helvetica Light" w:cs="Helvetica Light"/>
          <w:sz w:val="24"/>
          <w:sz-cs w:val="24"/>
        </w:rPr>
        <w:t xml:space="preserve">&lt;div class="definition"&gt;&lt;p class="block-label"&gt;&lt;strong&gt;Contingences&lt;/strong&gt;&lt;/p&gt;&lt;p&gt;Protégé par P2, mais seulement de façon conditionnelle via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expérience de co-création fluide peut renforcer la légitimité du consultant au fil de la mission.&lt;/p&gt;&lt;/div&gt;</w:t>
      </w:r>
    </w:p>
    <w:p>
      <w:pPr/>
      <w:r>
        <w:rPr>
          <w:rFonts w:ascii="Helvetica Light" w:hAnsi="Helvetica Light" w:cs="Helvetica Light"/>
          <w:sz w:val="24"/>
          <w:sz-cs w:val="24"/>
        </w:rPr>
        <w:t xml:space="preserve">&lt;div class="definition"&gt;&lt;p class="block-label"&gt;&lt;strong&gt;Reconfiguration négative&lt;/strong&gt;&lt;/p&gt;&lt;p&gt;Une expérience de co-création qui génère des productions IA (output) spectaculaires, peut déplacer le crédit du consultant vers l'IA, en inversant la boucle de rétroaction attendue.&lt;/p&gt;&lt;/div&gt;</w:t>
      </w:r>
    </w:p>
    <w:p>
      <w:pPr/>
      <w:r>
        <w:rPr>
          <w:rFonts w:ascii="Helvetica Light" w:hAnsi="Helvetica Light" w:cs="Helvetica Light"/>
          <w:sz w:val="24"/>
          <w:sz-cs w:val="24"/>
        </w:rPr>
        <w:t xml:space="preserve">&lt;div class="definition"&gt;&lt;p class="block-label"&gt;&lt;strong&gt;Contingences&lt;/strong&gt;&lt;/p&gt;&lt;p&gt;Dépend de la lisibilité des contributions par le client (P2), de sa littératie IA et de son aversion à l’algorithme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class="block-label"&gt;&lt;strong&gt;Reconfiguration positive&lt;/strong&gt;&lt;/p&gt;&lt;p&gt;Une co-création visible avec l'IA peut enrichir la diversité et la nouveauté des insights lorsque le client est cognitivement engagé dans le processus.&lt;/p&gt;&lt;/div&gt;</w:t>
      </w:r>
    </w:p>
    <w:p>
      <w:pPr/>
      <w:r>
        <w:rPr>
          <w:rFonts w:ascii="Helvetica Light" w:hAnsi="Helvetica Light" w:cs="Helvetica Light"/>
          <w:sz w:val="24"/>
          <w:sz-cs w:val="24"/>
        </w:rPr>
        <w:t xml:space="preserve">&lt;div class="definition"&gt;&lt;p class="block-label"&gt;&lt;strong&gt;Reconfiguration négative&lt;/strong&gt;&lt;/p&gt;&lt;p&gt;L'IA peut aussi découpler la connaissance de la co-production : le client reçoit des outputs sans participer réellement à la manière dont ils ont été générés.&lt;/p&gt;&lt;/div&gt;</w:t>
      </w:r>
    </w:p>
    <w:p>
      <w:pPr/>
      <w:r>
        <w:rPr>
          <w:rFonts w:ascii="Helvetica Light" w:hAnsi="Helvetica Light" w:cs="Helvetica Light"/>
          <w:sz w:val="24"/>
          <w:sz-cs w:val="24"/>
        </w:rPr>
        <w:t xml:space="preserve">&lt;div class="definition"&gt;&lt;p class="block-label"&gt;&lt;strong&gt;Contingences&lt;/strong&gt;&lt;/p&gt;&lt;p&gt;Dépend de dépend de l’explicitation substantive du consultant (P2) et, via P3, de l’intelligibilité, de l’acceptation et des conditions relationnelles et situationnelles.&lt;/p&gt;&lt;/div&gt;</w:t>
      </w:r>
    </w:p>
    <w:p>
      <w:pPr/>
      <w:r>
        <w:rPr>
          <w:rFonts w:ascii="Helvetica Light" w:hAnsi="Helvetica Light" w:cs="Helvetica Light"/>
          <w:sz w:val="24"/>
          <w:sz-cs w:val="24"/>
        </w:rPr>
        <w:t xml:space="preserve">&lt;p&gt;La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&lt;h4 class="doc-heading doc-heading--4"&gt;P1 — Reconfiguration multidimensionnelle de la valeur perçue&lt;/h4&gt;</w:t>
      </w:r>
    </w:p>
    <w:p>
      <w:pPr/>
      <w:r>
        <w:rPr>
          <w:rFonts w:ascii="Helvetica Light" w:hAnsi="Helvetica Light" w:cs="Helvetica Light"/>
          <w:sz w:val="24"/>
          <w:sz-cs w:val="24"/>
        </w:rPr>
        <w:t xml:space="preserve">&lt;p&gt;L'intégration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&lt;h4 class="doc-heading doc-heading--4"&gt;P2 — La transparence comme mécanisme médiateur&lt;/h4&gt;</w:t>
      </w:r>
    </w:p>
    <w:p>
      <w:pPr/>
      <w:r>
        <w:rPr>
          <w:rFonts w:ascii="Helvetica Light" w:hAnsi="Helvetica Light" w:cs="Helvetica Light"/>
          <w:sz w:val="24"/>
          <w:sz-cs w:val="24"/>
        </w:rPr>
        <w:t xml:space="preserve">&lt;p&gt;La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&amp;amp; Flyverbom 2019 ; Ciampi 2017). P2 traite donc la transparence substantive — plutôt que la simple divulgation — comme le mécanisme médiateur par lequel l'intégration de l'IA façonne la valeur perçue, fonction des conditions de P3.&lt;/p&gt;</w:t>
      </w:r>
    </w:p>
    <w:p>
      <w:pPr/>
      <w:r>
        <w:rPr>
          <w:rFonts w:ascii="Helvetica Light" w:hAnsi="Helvetica Light" w:cs="Helvetica Light"/>
          <w:sz w:val="24"/>
          <w:sz-cs w:val="24"/>
        </w:rPr>
        <w:t xml:space="preserve">&lt;h4 class="doc-heading doc-heading--4"&gt;P3 — Conditions de modération&lt;/h4&gt;</w:t>
      </w:r>
    </w:p>
    <w:p>
      <w:pPr/>
      <w:r>
        <w:rPr>
          <w:rFonts w:ascii="Helvetica Light" w:hAnsi="Helvetica Light" w:cs="Helvetica Light"/>
          <w:sz w:val="24"/>
          <w:sz-cs w:val="24"/>
        </w:rPr>
        <w:t xml:space="preserve">&lt;p&gt;Trois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perçue.&lt;/p&gt;</w:t>
      </w:r>
    </w:p>
    <w:p>
      <w:pPr/>
      <w:r>
        <w:rPr>
          <w:rFonts w:ascii="Helvetica Light" w:hAnsi="Helvetica Light" w:cs="Helvetica Light"/>
          <w:sz w:val="24"/>
          <w:sz-cs w:val="24"/>
        </w:rPr>
        <w:t xml:space="preserve">&lt;h4 class="doc-heading doc-heading--4"&gt;Séquencement d'observation — Situation initiale de co-création&lt;/h4&gt;</w:t>
      </w:r>
    </w:p>
    <w:p>
      <w:pPr/>
      <w:r>
        <w:rPr>
          <w:rFonts w:ascii="Helvetica Light" w:hAnsi="Helvetica Light" w:cs="Helvetica Light"/>
          <w:sz w:val="24"/>
          <w:sz-cs w:val="24"/>
        </w:rPr>
        <w:t xml:space="preserve">&lt;p&gt;La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(P3).&lt;/p&gt;</w:t>
      </w:r>
    </w:p>
    <w:p>
      <w:pPr/>
      <w:r>
        <w:rPr>
          <w:rFonts w:ascii="Helvetica Light" w:hAnsi="Helvetica Light" w:cs="Helvetica Light"/>
          <w:sz w:val="24"/>
          <w:sz-cs w:val="24"/>
        </w:rPr>
        <w:t xml:space="preserve">&lt;h3 class="doc-heading doc-heading--3"&gt;LA NÉCESSITÉ D’UN CADRE D’OBSERVATION DE LA CO-CRÉATION DE VALEUR PERÇUE DU CONSEIL À L’ÈRE DE L’IA&lt;/h3&gt;</w:t>
      </w:r>
    </w:p>
    <w:p>
      <w:pPr/>
      <w:r>
        <w:rPr>
          <w:rFonts w:ascii="Helvetica Light" w:hAnsi="Helvetica Light" w:cs="Helvetica Light"/>
          <w:sz w:val="24"/>
          <w:sz-cs w:val="24"/>
        </w:rPr>
        <w:t xml:space="preserve">&lt;p&gt;Les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P3.&lt;/p&gt;</w:t>
      </w:r>
    </w:p>
    <w:p>
      <w:pPr/>
      <w:r>
        <w:rPr>
          <w:rFonts w:ascii="Helvetica Light" w:hAnsi="Helvetica Light" w:cs="Helvetica Light"/>
          <w:sz w:val="24"/>
          <w:sz-cs w:val="24"/>
        </w:rPr>
        <w:t xml:space="preserve">&lt;ul&gt;&lt;li&gt;S1 — Dyade humaine. IA absente. Base relationnelle.&lt;/li&gt;&lt;li&gt;S2 — IA en silo. Attribution et transparence latentes.&lt;/li&gt;&lt;li&gt;S3 — Co-création tripartite. Toutes les dimensions sont observables.&lt;/li&gt;&lt;/ul&gt;</w:t>
      </w:r>
    </w:p>
    <w:p>
      <w:pPr/>
      <w:r>
        <w:rPr>
          <w:rFonts w:ascii="Helvetica Light" w:hAnsi="Helvetica Light" w:cs="Helvetica Light"/>
          <w:sz w:val="24"/>
          <w:sz-cs w:val="24"/>
        </w:rPr>
        <w:t xml:space="preserve">&lt;h3 class="doc-heading doc-heading--3"&gt;STATUT DU CADRE D’OBSERVATION&lt;/h3&gt;</w:t>
      </w:r>
    </w:p>
    <w:p>
      <w:pPr/>
      <w:r>
        <w:rPr>
          <w:rFonts w:ascii="Helvetica Light" w:hAnsi="Helvetica Light" w:cs="Helvetica Light"/>
          <w:sz w:val="24"/>
          <w:sz-cs w:val="24"/>
        </w:rPr>
        <w:t xml:space="preserve">&lt;p&gt;S1/S2/S3 est un cadre d’observation empirique, pas une nouvelle proposition théorique.&lt;/p&gt;</w:t>
      </w:r>
    </w:p>
    <w:p>
      <w:pPr/>
      <w:r>
        <w:rPr>
          <w:rFonts w:ascii="Helvetica Light" w:hAnsi="Helvetica Light" w:cs="Helvetica Light"/>
          <w:sz w:val="24"/>
          <w:sz-cs w:val="24"/>
        </w:rPr>
        <w:t xml:space="preserve">&lt;p&gt;Chaque situation rend certains mécanismes particulièrement observables : S1 la base relationnelle, S2 la transparence latente et l’attribution, S3 l’observabilité simultanée des trois dimensions.&lt;/p&gt;</w:t>
      </w:r>
    </w:p>
    <w:p>
      <w:pPr/>
      <w:r>
        <w:rPr>
          <w:rFonts w:ascii="Helvetica Light" w:hAnsi="Helvetica Light" w:cs="Helvetica Light"/>
          <w:sz w:val="24"/>
          <w:sz-cs w:val="24"/>
        </w:rPr>
        <w:t xml:space="preserve">&lt;h2 class="doc-heading doc-heading--2"&gt;3. CADRE D'OBSERVATION&lt;/h2&gt;</w:t>
      </w:r>
    </w:p>
    <w:p>
      <w:pPr/>
      <w:r>
        <w:rPr>
          <w:rFonts w:ascii="Helvetica Light" w:hAnsi="Helvetica Light" w:cs="Helvetica Light"/>
          <w:sz w:val="24"/>
          <w:sz-cs w:val="24"/>
        </w:rPr>
        <w:t xml:space="preserve">&lt;h3 class="doc-heading doc-heading--3"&gt;Les 3 sphères de co-création de valeur perçue du conseil à l’ère de l’IA&lt;/h3&gt;</w:t>
      </w:r>
    </w:p>
    <w:p>
      <w:pPr/>
      <w:r>
        <w:rPr>
          <w:rFonts w:ascii="Helvetica Light" w:hAnsi="Helvetica Light" w:cs="Helvetica Light"/>
          <w:sz w:val="24"/>
          <w:sz-cs w:val="24"/>
        </w:rPr>
        <w:t xml:space="preserve">&lt;p&gt;Le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figée.&lt;/p&gt;</w:t>
      </w:r>
    </w:p>
    <w:p>
      <w:pPr/>
      <w:r>
        <w:rPr>
          <w:rFonts w:ascii="Helvetica Light" w:hAnsi="Helvetica Light" w:cs="Helvetica Light"/>
          <w:sz w:val="24"/>
          <w:sz-cs w:val="24"/>
        </w:rPr>
        <w:t xml:space="preserve">&lt;div class="figure"&gt;&lt;p class="figure-title"&gt;Figure — Les 3 sphères de la co-création consultant-client-IA&lt;/p&gt;&lt;table class="figure-table"&gt;&lt;tbody&gt;&lt;tr&gt;&lt;td class="figure-cell"&gt;&lt;p class="figure-node"&gt;S1 — Sans IA&lt;/p&gt;&lt;p&gt;Le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légitimité.&lt;/p&gt;&lt;/td&gt;&lt;td class="figure-cell"&gt;&lt;p class="figure-node"&gt;S2 — IA en silo&lt;/p&gt;&lt;p&gt;L'IA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légitimité.&lt;/p&gt;&lt;/td&gt;&lt;td class="figure-cell"&gt;&lt;p class="figure-node"&gt;S3 — Co-création tripartite&lt;/p&gt;&lt;p&gt;La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2021).&lt;/p&gt;&lt;/td&gt;&lt;/tr&gt;&lt;/tbody&gt;&lt;/table&gt;&lt;/div&gt;</w:t>
      </w:r>
    </w:p>
    <w:p>
      <w:pPr/>
      <w:r>
        <w:rPr>
          <w:rFonts w:ascii="Helvetica Light" w:hAnsi="Helvetica Light" w:cs="Helvetica Light"/>
          <w:sz w:val="24"/>
          <w:sz-cs w:val="24"/>
        </w:rPr>
        <w:t xml:space="preserve">&lt;h4 class="doc-heading doc-heading--4"&gt;S1 — Sans IA&lt;/h4&gt;</w:t>
      </w:r>
    </w:p>
    <w:p>
      <w:pPr/>
      <w:r>
        <w:rPr>
          <w:rFonts w:ascii="Helvetica Light" w:hAnsi="Helvetica Light" w:cs="Helvetica Light"/>
          <w:sz w:val="24"/>
          <w:sz-cs w:val="24"/>
        </w:rPr>
        <w:t xml:space="preserve">&lt;p&gt;Le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w:t>
      </w:r>
    </w:p>
    <w:p>
      <w:pPr/>
      <w:r>
        <w:rPr>
          <w:rFonts w:ascii="Helvetica Light" w:hAnsi="Helvetica Light" w:cs="Helvetica Light"/>
          <w:sz w:val="24"/>
          <w:sz-cs w:val="24"/>
        </w:rPr>
        <w:t xml:space="preserve">&lt;h4 class="doc-heading doc-heading--4"&gt;S2 — IA en silo&lt;/h4&gt;</w:t>
      </w:r>
    </w:p>
    <w:p>
      <w:pPr/>
      <w:r>
        <w:rPr>
          <w:rFonts w:ascii="Helvetica Light" w:hAnsi="Helvetica Light" w:cs="Helvetica Light"/>
          <w:sz w:val="24"/>
          <w:sz-cs w:val="24"/>
        </w:rPr>
        <w:t xml:space="preserve">&lt;p&gt;L'IA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w:t>
      </w:r>
    </w:p>
    <w:p>
      <w:pPr/>
      <w:r>
        <w:rPr>
          <w:rFonts w:ascii="Helvetica Light" w:hAnsi="Helvetica Light" w:cs="Helvetica Light"/>
          <w:sz w:val="24"/>
          <w:sz-cs w:val="24"/>
        </w:rPr>
        <w:t xml:space="preserve">&lt;h4 class="doc-heading doc-heading--4"&gt;S3 — Co-création tripartite&lt;/h4&gt;</w:t>
      </w:r>
    </w:p>
    <w:p>
      <w:pPr/>
      <w:r>
        <w:rPr>
          <w:rFonts w:ascii="Helvetica Light" w:hAnsi="Helvetica Light" w:cs="Helvetica Light"/>
          <w:sz w:val="24"/>
          <w:sz-cs w:val="24"/>
        </w:rPr>
        <w:t xml:space="preserve">&lt;p&gt;La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doc-heading--3"&gt;Scénario fictif d'une mission de conseil : audit de plateforme digitale&lt;/h3&gt;</w:t>
      </w:r>
    </w:p>
    <w:p>
      <w:pPr/>
      <w:r>
        <w:rPr>
          <w:rFonts w:ascii="Helvetica Light" w:hAnsi="Helvetica Light" w:cs="Helvetica Light"/>
          <w:sz w:val="24"/>
          <w:sz-cs w:val="24"/>
        </w:rPr>
        <w:t xml:space="preserve">&lt;p&gt;Thomas (consultant) et Marie (cliente, société TechX)&lt;/p&gt;</w:t>
      </w:r>
    </w:p>
    <w:p>
      <w:pPr/>
      <w:r>
        <w:rPr>
          <w:rFonts w:ascii="Helvetica Light" w:hAnsi="Helvetica Light" w:cs="Helvetica Light"/>
          <w:sz w:val="24"/>
          <w:sz-cs w:val="24"/>
        </w:rPr>
        <w:t xml:space="preserve">&lt;p&gt;Ce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l'organisation.&lt;/p&gt;</w:t>
      </w:r>
    </w:p>
    <w:p>
      <w:pPr/>
      <w:r>
        <w:rPr>
          <w:rFonts w:ascii="Helvetica Light" w:hAnsi="Helvetica Light" w:cs="Helvetica Light"/>
          <w:sz w:val="24"/>
          <w:sz-cs w:val="24"/>
        </w:rPr>
        <w:t xml:space="preserve">&lt;p&gt;Mission fictive de 10 semaines : audit de plateforme digitale. La mission est structurée en trois grandes étapes du conseil. Chaque sous-phase indique la configuration de co-création observée (S) et les propositions de recherche les plus directement examinées (P).&lt;/p&gt;</w:t>
      </w:r>
    </w:p>
    <w:p>
      <w:pPr/>
      <w:r>
        <w:rPr>
          <w:rFonts w:ascii="Helvetica Light" w:hAnsi="Helvetica Light" w:cs="Helvetica Light"/>
          <w:sz w:val="24"/>
          <w:sz-cs w:val="24"/>
        </w:rPr>
        <w:t xml:space="preserve">&lt;h3 class="doc-heading doc-heading--3"&gt;Phases de la mission&lt;/h3&gt;</w:t>
      </w:r>
    </w:p>
    <w:p>
      <w:pPr/>
      <w:r>
        <w:rPr>
          <w:rFonts w:ascii="Helvetica Light" w:hAnsi="Helvetica Light" w:cs="Helvetica Light"/>
          <w:sz w:val="24"/>
          <w:sz-cs w:val="24"/>
        </w:rPr>
        <w:t xml:space="preserve">&lt;div class="figure"&gt;&lt;p class="figure-title"&gt;Figure — Phases de la mission&lt;/p&gt;&lt;table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class="figure-cell"&gt;&lt;p&gt;&lt;strong&gt;Exploration — Sem.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class="figure-cell"&gt;&lt;p&gt;&lt;strong&gt;Préparation — Sem.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class="figure-cell"&gt;&lt;p&gt;&lt;strong&gt;Analyse collaborative — Sem.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class="figure-cell"&gt;&lt;p&gt;&lt;strong&gt;Affinement — Sem.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class="figure-cell"&gt;&lt;p&gt;&lt;strong&gt;Validation mutuelle — Sem.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Recommandations&lt;/p&gt;&lt;/td&gt;</w:t>
      </w:r>
    </w:p>
    <w:p>
      <w:pPr/>
      <w:r>
        <w:rPr>
          <w:rFonts w:ascii="Helvetica Light" w:hAnsi="Helvetica Light" w:cs="Helvetica Light"/>
          <w:sz w:val="24"/>
          <w:sz-cs w:val="24"/>
        </w:rPr>
        <w:t xml:space="preserve">        &lt;td class="figure-cell"&gt;&lt;p&gt;&lt;strong&gt;Présentation au COMEX — Sem.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class="figure-cell"&gt;&lt;p&gt;&lt;strong&gt;Rétrospective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Cadrage — Sem. 1-3&lt;/strong&gt;&lt;/p&gt;&lt;p&gt;Ancrage relationnel et cadrage initial de la mission.&lt;/p&gt;&lt;/div&gt;</w:t>
      </w:r>
    </w:p>
    <w:p>
      <w:pPr/>
      <w:r>
        <w:rPr>
          <w:rFonts w:ascii="Helvetica Light" w:hAnsi="Helvetica Light" w:cs="Helvetica Light"/>
          <w:sz w:val="24"/>
          <w:sz-cs w:val="24"/>
        </w:rPr>
        <w:t xml:space="preserve">&lt;div class="definition"&gt;&lt;p class="block-label"&gt;&lt;strong&gt;2. Analyse — Sem. 4-9&lt;/strong&gt;&lt;/p&gt;&lt;p&gt;Enquête conjointe, affinement et validation progressive des interprétations.&lt;/p&gt;&lt;/div&gt;</w:t>
      </w:r>
    </w:p>
    <w:p>
      <w:pPr/>
      <w:r>
        <w:rPr>
          <w:rFonts w:ascii="Helvetica Light" w:hAnsi="Helvetica Light" w:cs="Helvetica Light"/>
          <w:sz w:val="24"/>
          <w:sz-cs w:val="24"/>
        </w:rPr>
        <w:t xml:space="preserve">&lt;div class="definition"&gt;&lt;p class="block-label"&gt;&lt;strong&gt;3. Recommandations — Sem. 10&lt;/strong&gt;&lt;/p&gt;&lt;p&gt;Formalisation et présentation des recommandations.&lt;/p&gt;&lt;/div&gt;</w:t>
      </w:r>
    </w:p>
    <w:p>
      <w:pPr/>
      <w:r>
        <w:rPr>
          <w:rFonts w:ascii="Helvetica Light" w:hAnsi="Helvetica Light" w:cs="Helvetica Light"/>
          <w:sz w:val="24"/>
          <w:sz-cs w:val="24"/>
        </w:rPr>
        <w:t xml:space="preserve">&lt;h3 class="doc-heading doc-heading--3"&gt;Sous étapes&lt;/h3&gt;</w:t>
      </w:r>
    </w:p>
    <w:p>
      <w:pPr/>
      <w:r>
        <w:rPr>
          <w:rFonts w:ascii="Helvetica Light" w:hAnsi="Helvetica Light" w:cs="Helvetica Light"/>
          <w:sz w:val="24"/>
          <w:sz-cs w:val="24"/>
        </w:rPr>
        <w:t xml:space="preserve">&lt;h4 class="doc-heading doc-heading--4"&gt;Exploration — Sem. 1-2&lt;/h4&gt;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examinées&lt;/strong&gt;&lt;/p&gt;&lt;p&gt;P1&lt;/p&gt;&lt;/div&gt;</w:t>
      </w:r>
    </w:p>
    <w:p>
      <w:pPr/>
      <w:r>
        <w:rPr>
          <w:rFonts w:ascii="Helvetica Light" w:hAnsi="Helvetica Light" w:cs="Helvetica Light"/>
          <w:sz w:val="24"/>
          <w:sz-cs w:val="24"/>
        </w:rPr>
        <w:t xml:space="preserve">&lt;div class="definition"&gt;&lt;p class="block-label"&gt;&lt;strong&gt;Dimensions de la valeur perçue&lt;/strong&gt;&lt;/p&gt;&lt;p&gt;R&lt;/p&gt;&lt;/div&gt;</w:t>
      </w:r>
    </w:p>
    <w:p>
      <w:pPr/>
      <w:r>
        <w:rPr>
          <w:rFonts w:ascii="Helvetica Light" w:hAnsi="Helvetica Light" w:cs="Helvetica Light"/>
          <w:sz w:val="24"/>
          <w:sz-cs w:val="24"/>
        </w:rPr>
        <w:t xml:space="preserve">&lt;p&gt;Entretiens individuels en face-à-face avec les dirigeants de TechX. Thomas construit sa légitimité relationnelle par l'écoute active, le signalement d'autorité et des démonstrations progressives de compétence. Aucune IA mobilisée.&lt;/p&gt;</w:t>
      </w:r>
    </w:p>
    <w:p>
      <w:pPr/>
      <w:r>
        <w:rPr>
          <w:rFonts w:ascii="Helvetica Light" w:hAnsi="Helvetica Light" w:cs="Helvetica Light"/>
          <w:sz w:val="24"/>
          <w:sz-cs w:val="24"/>
        </w:rPr>
        <w:t xml:space="preserve">&lt;p&gt;Observable principal : R (base relationnelle) — ligne de base de P1 pour les configurations suivantes&lt;/p&gt;</w:t>
      </w:r>
    </w:p>
    <w:p>
      <w:pPr/>
      <w:r>
        <w:rPr>
          <w:rFonts w:ascii="Helvetica Light" w:hAnsi="Helvetica Light" w:cs="Helvetica Light"/>
          <w:sz w:val="24"/>
          <w:sz-cs w:val="24"/>
        </w:rPr>
        <w:t xml:space="preserve">&lt;h4 class="doc-heading doc-heading--4"&gt;Préparation — Sem. 3&lt;/h4&gt;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examinées&lt;/strong&gt;&lt;/p&gt;&lt;p&gt;P2, P3&lt;/p&gt;&lt;/div&gt;</w:t>
      </w:r>
    </w:p>
    <w:p>
      <w:pPr/>
      <w:r>
        <w:rPr>
          <w:rFonts w:ascii="Helvetica Light" w:hAnsi="Helvetica Light" w:cs="Helvetica Light"/>
          <w:sz w:val="24"/>
          <w:sz-cs w:val="24"/>
        </w:rPr>
        <w:t xml:space="preserve">&lt;div class="definition"&gt;&lt;p class="block-label"&gt;&lt;strong&gt;Dimensions de la valeur perçue&lt;/strong&gt;&lt;/p&gt;&lt;p&gt;R, P&lt;/p&gt;&lt;/div&gt;</w:t>
      </w:r>
    </w:p>
    <w:p>
      <w:pPr/>
      <w:r>
        <w:rPr>
          <w:rFonts w:ascii="Helvetica Light" w:hAnsi="Helvetica Light" w:cs="Helvetica Light"/>
          <w:sz w:val="24"/>
          <w:sz-cs w:val="24"/>
        </w:rPr>
        <w:t xml:space="preserve">&lt;p&gt;Thomas utilise l'IA pour transcrire et structurer thématiquement les entretiens sans en informer Marie. Il présente une synthèse structurée attribuée à son propre jugement.&lt;/p&gt;</w:t>
      </w:r>
    </w:p>
    <w:p>
      <w:pPr/>
      <w:r>
        <w:rPr>
          <w:rFonts w:ascii="Helvetica Light" w:hAnsi="Helvetica Light" w:cs="Helvetica Light"/>
          <w:sz w:val="24"/>
          <w:sz-cs w:val="24"/>
        </w:rPr>
        <w:t xml:space="preserve">&lt;p&gt;Observable principal : P2 (transparence nulle) — P3 (mécanisme d'attribution latent) — risque de délégitimation rétrospective&lt;/p&gt;</w:t>
      </w:r>
    </w:p>
    <w:p>
      <w:pPr/>
      <w:r>
        <w:rPr>
          <w:rFonts w:ascii="Helvetica Light" w:hAnsi="Helvetica Light" w:cs="Helvetica Light"/>
          <w:sz w:val="24"/>
          <w:sz-cs w:val="24"/>
        </w:rPr>
        <w:t xml:space="preserve">&lt;h4 class="doc-heading doc-heading--4"&gt;Analyse collaborative — Sem. 4-6&lt;/h4&gt;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&lt;p&gt;Sessions tripartites hebdomadaires : Thomas mobilise l'IA de manière visible comme composante explicite de l'échange, Marie challenge les outputs, et les insights sont co-construits dans une triade explicite. Les trois propositions y sont simultanément observables.&lt;/p&gt;</w:t>
      </w:r>
    </w:p>
    <w:p>
      <w:pPr/>
      <w:r>
        <w:rPr>
          <w:rFonts w:ascii="Helvetica Light" w:hAnsi="Helvetica Light" w:cs="Helvetica Light"/>
          <w:sz w:val="24"/>
          <w:sz-cs w:val="24"/>
        </w:rPr>
        <w:t xml:space="preserve">&lt;p&gt;Observable principal : P1 (toutes les dimensions R, P, C) — P2 (substantive vs performative) — P3 (AI literacy et algorithm aversion)&lt;/p&gt;</w:t>
      </w:r>
    </w:p>
    <w:p>
      <w:pPr/>
      <w:r>
        <w:rPr>
          <w:rFonts w:ascii="Helvetica Light" w:hAnsi="Helvetica Light" w:cs="Helvetica Light"/>
          <w:sz w:val="24"/>
          <w:sz-cs w:val="24"/>
        </w:rPr>
        <w:t xml:space="preserve">&lt;h4 class="doc-heading doc-heading--4"&gt;Affinement — Sem. 7-8&lt;/h4&gt;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examinées&lt;/strong&gt;&lt;/p&gt;&lt;p&gt;P1, P2&lt;/p&gt;&lt;/div&gt;</w:t>
      </w:r>
    </w:p>
    <w:p>
      <w:pPr/>
      <w:r>
        <w:rPr>
          <w:rFonts w:ascii="Helvetica Light" w:hAnsi="Helvetica Light" w:cs="Helvetica Light"/>
          <w:sz w:val="24"/>
          <w:sz-cs w:val="24"/>
        </w:rPr>
        <w:t xml:space="preserve">&lt;div class="definition"&gt;&lt;p class="block-label"&gt;&lt;strong&gt;Dimensions de la valeur perçue&lt;/strong&gt;&lt;/p&gt;&lt;p&gt;P, C&lt;/p&gt;&lt;/div&gt;</w:t>
      </w:r>
    </w:p>
    <w:p>
      <w:pPr/>
      <w:r>
        <w:rPr>
          <w:rFonts w:ascii="Helvetica Light" w:hAnsi="Helvetica Light" w:cs="Helvetica Light"/>
          <w:sz w:val="24"/>
          <w:sz-cs w:val="24"/>
        </w:rPr>
        <w:t xml:space="preserve">&lt;p&gt;Thomas alterne entre usage d'IA en silo (structuration des scénarios) et co-création visible avec Marie (validation des options). La transparence est sélective et stratégique.&lt;/p&gt;</w:t>
      </w:r>
    </w:p>
    <w:p>
      <w:pPr/>
      <w:r>
        <w:rPr>
          <w:rFonts w:ascii="Helvetica Light" w:hAnsi="Helvetica Light" w:cs="Helvetica Light"/>
          <w:sz w:val="24"/>
          <w:sz-cs w:val="24"/>
        </w:rPr>
        <w:t xml:space="preserve">&lt;p&gt;Observable principal : P2 (performative vs substantive) — P1 (reconfiguration processuelle) — ambiguïté d'attribution&lt;/p&gt;</w:t>
      </w:r>
    </w:p>
    <w:p>
      <w:pPr/>
      <w:r>
        <w:rPr>
          <w:rFonts w:ascii="Helvetica Light" w:hAnsi="Helvetica Light" w:cs="Helvetica Light"/>
          <w:sz w:val="24"/>
          <w:sz-cs w:val="24"/>
        </w:rPr>
        <w:t xml:space="preserve">&lt;h4 class="doc-heading doc-heading--4"&gt;Validation mutuelle — Sem. 9&lt;/h4&gt;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examinées&lt;/strong&gt;&lt;/p&gt;&lt;p&gt;P1, P3&lt;/p&gt;&lt;/div&gt;</w:t>
      </w:r>
    </w:p>
    <w:p>
      <w:pPr/>
      <w:r>
        <w:rPr>
          <w:rFonts w:ascii="Helvetica Light" w:hAnsi="Helvetica Light" w:cs="Helvetica Light"/>
          <w:sz w:val="24"/>
          <w:sz-cs w:val="24"/>
        </w:rPr>
        <w:t xml:space="preserve">&lt;div class="definition"&gt;&lt;p class="block-label"&gt;&lt;strong&gt;Dimensions de la valeur perçue&lt;/strong&gt;&lt;/p&gt;&lt;p&gt;C&lt;/p&gt;&lt;/div&gt;</w:t>
      </w:r>
    </w:p>
    <w:p>
      <w:pPr/>
      <w:r>
        <w:rPr>
          <w:rFonts w:ascii="Helvetica Light" w:hAnsi="Helvetica Light" w:cs="Helvetica Light"/>
          <w:sz w:val="24"/>
          <w:sz-cs w:val="24"/>
        </w:rPr>
        <w:t xml:space="preserve">&lt;p&gt;Thomas finalise les recommandations en utilisant l'IA pour les stress-tester. Marie relit les outputs mais ne peut pas évaluer pleinement la chaîne analytique assistée par IA.&lt;/p&gt;</w:t>
      </w:r>
    </w:p>
    <w:p>
      <w:pPr/>
      <w:r>
        <w:rPr>
          <w:rFonts w:ascii="Helvetica Light" w:hAnsi="Helvetica Light" w:cs="Helvetica Light"/>
          <w:sz w:val="24"/>
          <w:sz-cs w:val="24"/>
        </w:rPr>
        <w:t xml:space="preserve">&lt;p&gt;Observable principal : P3 (AI literacy comme facteur limitant) — P1 (dimension cognitive) — capacité d'absorption&lt;/p&gt;</w:t>
      </w:r>
    </w:p>
    <w:p>
      <w:pPr/>
      <w:r>
        <w:rPr>
          <w:rFonts w:ascii="Helvetica Light" w:hAnsi="Helvetica Light" w:cs="Helvetica Light"/>
          <w:sz w:val="24"/>
          <w:sz-cs w:val="24"/>
        </w:rPr>
        <w:t xml:space="preserve">&lt;h4 class="doc-heading doc-heading--4"&gt;Présentation au COMEX — Sem. 10&lt;/h4&gt;</w:t>
      </w:r>
    </w:p>
    <w:p>
      <w:pPr/>
      <w:r>
        <w:rPr>
          <w:rFonts w:ascii="Helvetica Light" w:hAnsi="Helvetica Light" w:cs="Helvetica Light"/>
          <w:sz w:val="24"/>
          <w:sz-cs w:val="24"/>
        </w:rPr>
        <w:t xml:space="preserve">&lt;div class="definition"&gt;&lt;p class="block-label"&gt;&lt;strong&gt;Étape&lt;/strong&gt;&lt;/p&gt;&lt;p&gt;recommendations&lt;/p&gt;&lt;/div&gt;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examinées&lt;/strong&gt;&lt;/p&gt;&lt;p&gt;P3&lt;/p&gt;&lt;/div&gt;</w:t>
      </w:r>
    </w:p>
    <w:p>
      <w:pPr/>
      <w:r>
        <w:rPr>
          <w:rFonts w:ascii="Helvetica Light" w:hAnsi="Helvetica Light" w:cs="Helvetica Light"/>
          <w:sz w:val="24"/>
          <w:sz-cs w:val="24"/>
        </w:rPr>
        <w:t xml:space="preserve">&lt;div class="definition"&gt;&lt;p class="block-label"&gt;&lt;strong&gt;Dimensions de la valeur perçue&lt;/strong&gt;&lt;/p&gt;&lt;p&gt;R, C&lt;/p&gt;&lt;/div&gt;</w:t>
      </w:r>
    </w:p>
    <w:p>
      <w:pPr/>
      <w:r>
        <w:rPr>
          <w:rFonts w:ascii="Helvetica Light" w:hAnsi="Helvetica Light" w:cs="Helvetica Light"/>
          <w:sz w:val="24"/>
          <w:sz-cs w:val="24"/>
        </w:rPr>
        <w:t xml:space="preserve">&lt;p&gt;Thomas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recommandations.&lt;/p&gt;</w:t>
      </w:r>
    </w:p>
    <w:p>
      <w:pPr/>
      <w:r>
        <w:rPr>
          <w:rFonts w:ascii="Helvetica Light" w:hAnsi="Helvetica Light" w:cs="Helvetica Light"/>
          <w:sz w:val="24"/>
          <w:sz-cs w:val="24"/>
        </w:rPr>
        <w:t xml:space="preserve">&lt;p&gt;Observable principal : R (légitimité politique et jugement) + C (évaluation de la chaîne analytique) — P3 (AI literacy du COMEX et disposition à l'égard d'une analyse assistée par IA comme modérateur contextuel)&lt;/p&gt;</w:t>
      </w:r>
    </w:p>
    <w:p>
      <w:pPr/>
      <w:r>
        <w:rPr>
          <w:rFonts w:ascii="Helvetica Light" w:hAnsi="Helvetica Light" w:cs="Helvetica Light"/>
          <w:sz w:val="24"/>
          <w:sz-cs w:val="24"/>
        </w:rPr>
        <w:t xml:space="preserve">&lt;h4 class="doc-heading doc-heading--4"&gt;Rétrospective — Post&lt;/h4&gt;</w:t>
      </w:r>
    </w:p>
    <w:p>
      <w:pPr/>
      <w:r>
        <w:rPr>
          <w:rFonts w:ascii="Helvetica Light" w:hAnsi="Helvetica Light" w:cs="Helvetica Light"/>
          <w:sz w:val="24"/>
          <w:sz-cs w:val="24"/>
        </w:rPr>
        <w:t xml:space="preserve">&lt;div class="definition"&gt;&lt;p class="block-label"&gt;&lt;strong&gt;Étape&lt;/strong&gt;&lt;/p&gt;&lt;p&gt;postmission&lt;/p&gt;&lt;/div&gt;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&lt;p&gt;Évaluation rétrospective de la valeur perçue sur les trois dimensions. Quelle configuration a généré la plus forte valeur perçue dans ses dimensions relationnelle, processuelle et cognitive — et sous quelles conditions ?&lt;/p&gt;</w:t>
      </w:r>
    </w:p>
    <w:p>
      <w:pPr/>
      <w:r>
        <w:rPr>
          <w:rFonts w:ascii="Helvetica Light" w:hAnsi="Helvetica Light" w:cs="Helvetica Light"/>
          <w:sz w:val="24"/>
          <w:sz-cs w:val="24"/>
        </w:rPr>
        <w:t xml:space="preserve">&lt;p&gt;Observable principal : P1 complet (R, P, C) à travers S1/S2/S3 — P2 et P3 comme conditions modératrices&lt;/p&gt;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