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w:t>
      </w:r>
      <w:r>
        <w:t xml:space="preserve"> </w:t>
      </w:r>
      <w:r>
        <w:t xml:space="preserve">complémentaire</w:t>
      </w:r>
      <w:r>
        <w:t xml:space="preserve"> </w:t>
      </w:r>
      <w:r>
        <w:t xml:space="preserve">-</w:t>
      </w:r>
      <w:r>
        <w:t xml:space="preserve"> </w:t>
      </w:r>
      <w:r>
        <w:t xml:space="preserve">contenus</w:t>
      </w:r>
      <w:r>
        <w:t xml:space="preserve"> </w:t>
      </w:r>
      <w:r>
        <w:t xml:space="preserve">de</w:t>
      </w:r>
      <w:r>
        <w:t xml:space="preserve"> </w:t>
      </w:r>
      <w:r>
        <w:t xml:space="preserve">l'artefact</w:t>
      </w:r>
    </w:p>
    <w:bookmarkStart w:id="62" w:name="X872a7b2c0633ecc9426550a7617762a93665a81"/>
    <w:p>
      <w:pPr>
        <w:pStyle w:val="Heading1"/>
      </w:pPr>
      <w:r>
        <w:t xml:space="preserve">Document complémentaire des contenus de l'artefact</w:t>
      </w:r>
    </w:p>
    <w:p>
      <w:pPr>
        <w:pStyle w:val="FirstParagraph"/>
      </w:pPr>
      <w:r>
        <w:t xml:space="preserve">Ce document restitue, mot pour mot, la version française des contenus textuels de l'application interactive. Il est destiné à une lecture humaine hors interface et régénéré depuis content.js, source maître des contenus de l'app.</w:t>
      </w:r>
    </w:p>
    <w:p>
      <w:pPr>
        <w:pStyle w:val="BodyText"/>
      </w:pPr>
      <w:r>
        <w:t xml:space="preserve">Application en ligne :</w:t>
      </w:r>
      <w:r>
        <w:t xml:space="preserve"> </w:t>
      </w:r>
      <w:hyperlink r:id="rId20">
        <w:r>
          <w:rPr>
            <w:rStyle w:val="Hyperlink"/>
          </w:rPr>
          <w:t xml:space="preserve">https://s1s2s3.vercel.app</w:t>
        </w:r>
      </w:hyperlink>
    </w:p>
    <w:bookmarkStart w:id="21" w:name="table-des-matières"/>
    <w:p>
      <w:pPr>
        <w:pStyle w:val="Heading2"/>
      </w:pPr>
      <w:r>
        <w:t xml:space="preserve">Table des matières</w:t>
      </w:r>
    </w:p>
    <w:p>
      <w:pPr>
        <w:pStyle w:val="FirstParagraph"/>
      </w:pPr>
      <w:r>
        <w:t xml:space="preserve">Version française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Positionnement de la recherche</w:t>
            </w:r>
          </w:p>
        </w:tc>
        <w:tc>
          <w:tcPr/>
          <w:p>
            <w:pPr>
              <w:pStyle w:val="Compact"/>
              <w:jc w:val="left"/>
            </w:pPr>
            <w:r>
              <w:t xml:space="preserve">p. 2</w:t>
            </w:r>
          </w:p>
        </w:tc>
      </w:tr>
      <w:tr>
        <w:tc>
          <w:tcPr/>
          <w:p>
            <w:pPr>
              <w:pStyle w:val="Compact"/>
              <w:jc w:val="left"/>
            </w:pPr>
            <w:r>
              <w:t xml:space="preserve">2. Cadre théorique</w:t>
            </w:r>
          </w:p>
        </w:tc>
        <w:tc>
          <w:tcPr/>
          <w:p>
            <w:pPr>
              <w:pStyle w:val="Compact"/>
              <w:jc w:val="left"/>
            </w:pPr>
            <w:r>
              <w:t xml:space="preserve">p. 3</w:t>
            </w:r>
          </w:p>
        </w:tc>
      </w:tr>
      <w:tr>
        <w:tc>
          <w:tcPr/>
          <w:p>
            <w:pPr>
              <w:pStyle w:val="Compact"/>
              <w:jc w:val="left"/>
            </w:pPr>
            <w:r>
              <w:t xml:space="preserve">3. Cadre d'observation</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positionnement-de-la-recherche"/>
    <w:p>
      <w:r>
        <w:br w:type="page"/>
      </w:r>
    </w:p>
    <w:p>
      <w:pPr>
        <w:pStyle w:val="Heading2"/>
      </w:pPr>
      <w:r>
        <w:t xml:space="preserve">1. POSITIONNEMENT DE LA RECHERCHE</w:t>
      </w:r>
    </w:p>
    <w:bookmarkStart w:id="22" w:name="Xdd6470c8f8855ddfc8920dcf9014511e6963a5e"/>
    <w:p>
      <w:pPr>
        <w:pStyle w:val="Heading3"/>
      </w:pPr>
      <w:r>
        <w:t xml:space="preserve">Comprendre la co-création de valeur perçue dans le conseil à l'ère de l'IA</w:t>
      </w:r>
    </w:p>
    <w:bookmarkEnd w:id="22"/>
    <w:bookmarkStart w:id="23" w:name="la-question"/>
    <w:p>
      <w:pPr>
        <w:pStyle w:val="Heading3"/>
      </w:pPr>
      <w:r>
        <w:t xml:space="preserve">LA QUESTION</w:t>
      </w:r>
    </w:p>
    <w:p>
      <w:pPr>
        <w:pStyle w:val="FirstParagraph"/>
      </w:pPr>
      <w:r>
        <w:t xml:space="preserve">Le conseil augmenté par l'IA est souvent présenté comme une promesse de valeur supérieure pour les clients, car il permet de produire plus vite, mieux, plus fort, moins cher, plus sûr. Or, la valeur est subjective, et sa perception par le client, en rien automatique.</w:t>
      </w:r>
    </w:p>
    <w:p>
      <w:pPr>
        <w:pStyle w:val="BodyText"/>
      </w:pPr>
      <w:r>
        <w:t xml:space="preserve">Dans le conseil, la valeur perçue n'est pas simplement délivrée au client, elle se construit dans la relation, l'expérience de la mission, l'appropriation par le client des connaissances managériales produites, qui permettent in-fine, la résolution du problème à traiter. La valeur perçue est donc le fruit d'une co-création.</w:t>
      </w:r>
    </w:p>
    <w:p>
      <w:pPr>
        <w:pStyle w:val="BodyText"/>
      </w:pPr>
      <w:r>
        <w:t xml:space="preserve">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w:t>
      </w:r>
    </w:p>
    <w:p>
      <w:pPr>
        <w:pStyle w:val="BodyText"/>
      </w:pPr>
      <w:r>
        <w:t xml:space="preserve">Autrement dit, comment l’IA reconfigure-t-elle la valeur perçue des missions de conseil ?</w:t>
      </w:r>
    </w:p>
    <w:bookmarkEnd w:id="23"/>
    <w:bookmarkStart w:id="24" w:name="pourquoi-cela-compte"/>
    <w:p>
      <w:pPr>
        <w:pStyle w:val="Heading3"/>
      </w:pPr>
      <w:r>
        <w:t xml:space="preserve">POURQUOI CELA COMPTE</w:t>
      </w:r>
    </w:p>
    <w:p>
      <w:pPr>
        <w:pStyle w:val="FirstParagraph"/>
      </w:pPr>
      <w:r>
        <w:t xml:space="preserve">L'intégration de l'IA dans le conseil, ne génère pas nécessairement une valeur supérieure pour le client. Paradoxalement, l’IA peut à la fois renforcer le processus de production du conseil et fragiliser la situation de co-création, et par conséquent la valeur perçue par le client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w:t>
      </w:r>
    </w:p>
    <w:bookmarkEnd w:id="24"/>
    <w:bookmarkStart w:id="25" w:name="une-question-laissée-ouverte"/>
    <w:p>
      <w:pPr>
        <w:pStyle w:val="Heading3"/>
      </w:pPr>
      <w:r>
        <w:t xml:space="preserve">UNE QUESTION LAISSÉE OUVERTE</w:t>
      </w:r>
    </w:p>
    <w:p>
      <w:pPr>
        <w:pStyle w:val="FirstParagraph"/>
      </w:pPr>
      <w:r>
        <w:t xml:space="preserve">Au plan théorique, notre recherche mobilise une double perspective (marketing, systèmes d’information), analysée par le prisme de son application au domaine du conseil (voir ci-dessous).</w:t>
      </w:r>
    </w:p>
    <w:p>
      <w:pPr>
        <w:pStyle w:val="BodyText"/>
      </w:pPr>
      <w:r>
        <w:t xml:space="preserve">Notre recherche apporte une perspective originale : à notre connaissance, il n’existe pas de cadre unifié pour explorer la question pressante de la co-création de valeur perçue du conseil à l’ère de l’IA, pourtant centrale pour guider la nécessaire transformation des pratiques du conseil.</w:t>
      </w:r>
    </w:p>
    <w:p>
      <w:pPr>
        <w:pStyle w:val="BodyText"/>
      </w:pPr>
      <w:r>
        <w:t xml:space="preserve">• La littérature marketing, documente la valeur perçue (définition, rôle central, échelle de mesure, conditions de sa réalisation, à savoir la co-création).</w:t>
      </w:r>
      <w:r>
        <w:br/>
      </w:r>
      <w:r>
        <w:t xml:space="preserve">•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w:t>
      </w:r>
      <w:r>
        <w:br/>
      </w:r>
      <w:r>
        <w:t xml:space="preserve">• Les travaux académiques qui tentent une synthèse de ces deux corpus autour de la valeur du conseil, sont rares. Les recherches se focalisent sur les buts du conseil (techniques et politiques), en discutent la valeur (conditions de sa formation, mesure) ou la transformation du modèle d’affaires. Nos travaux contribuent à cette synthèse en se focalisant sur l’exploration de la valeur perçue à laquelle nous intégrons la dimension spécifique liée à l’IA.</w:t>
      </w:r>
    </w:p>
    <w:p>
      <w:pPr>
        <w:pStyle w:val="BodyText"/>
      </w:pPr>
      <w:r>
        <w:t xml:space="preserve">An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w:t>
      </w:r>
    </w:p>
    <w:bookmarkEnd w:id="25"/>
    <w:bookmarkEnd w:id="26"/>
    <w:bookmarkStart w:id="42" w:name="cadre-théorique"/>
    <w:p>
      <w:pPr>
        <w:pStyle w:val="Heading2"/>
      </w:pPr>
      <w:r>
        <w:t xml:space="preserve">2. CADRE THÉORIQUE</w:t>
      </w:r>
    </w:p>
    <w:p>
      <w:pPr>
        <w:pStyle w:val="FirstParagraph"/>
      </w:pPr>
      <w:r>
        <w:t xml:space="preserve">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w:t>
      </w:r>
    </w:p>
    <w:bookmarkStart w:id="27" w:name="labsence-de-cadre-dexploration"/>
    <w:p>
      <w:pPr>
        <w:pStyle w:val="Heading3"/>
      </w:pPr>
      <w:r>
        <w:t xml:space="preserve">L’ABSENCE DE CADRE D’EXPLORATION</w:t>
      </w:r>
    </w:p>
    <w:p>
      <w:pPr>
        <w:pStyle w:val="FirstParagraph"/>
      </w:pPr>
      <w:r>
        <w:t xml:space="preserve">La littérature sur la valeur perçue des activités à forte intensité de connaissances (telles que le conseil), identifie trois dimensions centrales de formation de la valeur perçue : fonctionnelle, émotionnelle et sociale (Arslanagic-Kalajdzic &amp; Zabkar, 2017). Nous les reprenons, en les ajustant avec un cadre original qui propose un séquencement causal, adapté au cas du conseil et au cadre de notre recherche : dimension relationnelle, processuelle et cognitive.</w:t>
      </w:r>
    </w:p>
    <w:p>
      <w:pPr>
        <w:pStyle w:val="BodyText"/>
      </w:pPr>
      <w:r>
        <w:t xml:space="preserve">Le conseil se distingue par l’opacité et l’agilité de ses pratiques (Christensen, 2013) ; l’intégration de l’IA, par son côté intangible, y renforce ces attributs. Nous cherchons ainsi, au travers d’un cadre d’observation dédié, qui formalise la séquence par laquelle la valeur perçue se co-crée dans les missions de conseil, structurer l’observation empirique des conditions de la reconfiguration de la valeur perçue du conseil à l’ère de l’IA.</w:t>
      </w:r>
    </w:p>
    <w:p>
      <w:pPr>
        <w:pStyle w:val="BodyText"/>
      </w:pPr>
      <w:r>
        <w:t xml:space="preserve">L’absence de cadre d’exploration est à la fois l’un des apports de notre recherche, et une difficulté assumée : aucun cadre existant ne synthétise ces liens dans une séquence causale unifiée appliquée à la valeur perçue dans le conseil, ne nomme explicitement ses trois dimensions (relationnelle, processuelle, cognitive), ni ne théorise la manière dont l'intégration de l'IA reconfigure chaque lien de manière contingente — y compris ces micro-activités de production de légitimité.</w:t>
      </w:r>
    </w:p>
    <w:p>
      <w:pPr>
        <w:pStyle w:val="BodyText"/>
      </w:pPr>
      <w:r>
        <w:t xml:space="preserve">La littérature sur le conseil étaie empiriquement deux liens constitutifs entre ces dimensions : la confiance relationnelle comme précondition de l'engagement processuel (Nikolova et al. 2014 ; Glückler &amp; Armbrüster 2003), et l'expérience de co-création comme condition de l'appropriation cognitive — y compris la capacité d'absorption du client comme facteur décisif (Oesterle et al. 2020 ; Aarikka-Stenroos &amp;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w:t>
      </w:r>
    </w:p>
    <w:p>
      <w:pPr>
        <w:pStyle w:val="BodyText"/>
      </w:pPr>
      <w:r>
        <w:t xml:space="preserve">Parallèlement, une littérature plus large sur le management et le travail de la connaissance théorise des mécanismes encore non testés dans les contextes de conseil : le brouillage des contributions dans les systèmes humain-IA (Raisch &amp; Krakowski 2020), l'augmentation récursive de la connaissance organisationnelle par l'IA (Harfouche et al. 2023), et les implications des cadres de délégation dans les systèmes hybrides humain-IA (Baird &amp; Maruping 2021).</w:t>
      </w:r>
    </w:p>
    <w:bookmarkEnd w:id="27"/>
    <w:bookmarkStart w:id="31" w:name="les-trois-propositions"/>
    <w:p>
      <w:pPr>
        <w:pStyle w:val="Heading3"/>
      </w:pPr>
      <w:r>
        <w:t xml:space="preserve">LES TROIS PROPOSITIONS</w:t>
      </w:r>
    </w:p>
    <w:bookmarkStart w:id="28" w:name="X467924ef9f6e2e3e1476df2314d2941acc64c97"/>
    <w:p>
      <w:pPr>
        <w:pStyle w:val="Heading4"/>
      </w:pPr>
      <w:r>
        <w:t xml:space="preserve">P1 — Reconfiguration multidimensionnelle de la valeur perçue</w:t>
      </w:r>
    </w:p>
    <w:p>
      <w:pPr>
        <w:pStyle w:val="FirstParagraph"/>
      </w:pPr>
      <w:r>
        <w:t xml:space="preserve">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 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 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 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 La co-destruction de valeur (Plé &amp; Cáceres 2010 ; Lumivalo et al. 2024) constitue la condition limite lorsque P2 et P3 échouent simultanément.</w:t>
      </w:r>
    </w:p>
    <w:bookmarkEnd w:id="28"/>
    <w:bookmarkStart w:id="29" w:name="Xf8857220235a02acf557defbe0a4f87c05233ba"/>
    <w:p>
      <w:pPr>
        <w:pStyle w:val="Heading4"/>
      </w:pPr>
      <w:r>
        <w:t xml:space="preserve">P2 — La transparence comme mécanisme médiateur</w:t>
      </w:r>
    </w:p>
    <w:p>
      <w:pPr>
        <w:pStyle w:val="FirstParagraph"/>
      </w:pPr>
      <w:r>
        <w:t xml:space="preserve">La transparence est le mécanisme médiateur de la valeur perçue du conseil à l’ère de l’IA. La transparence est entendue ici comme l'intelligibilité du système assisté par IA à travers ses effets observables (Ananny et Crawford, 2018). 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 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 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 Ainsi, notre proposition, qui reste à vérifier, est que la transparence substantive influe plus fortement sur la valeur perçue que la seule transparence performative, parce qu'elle favorise l'appropriation par le client des productions du conseil (Albu &amp; Flyverbom 2019 ; Ciampi 2017). P2 traite donc la transparence substantive — plutôt que la simple divulgation — comme le mécanisme médiateur par lequel l'intégration de l'IA façonne la valeur perçue, fonction des conditions de P3.</w:t>
      </w:r>
    </w:p>
    <w:bookmarkEnd w:id="29"/>
    <w:bookmarkStart w:id="30" w:name="p3-conditions-de-modération"/>
    <w:p>
      <w:pPr>
        <w:pStyle w:val="Heading4"/>
      </w:pPr>
      <w:r>
        <w:t xml:space="preserve">P3 — Conditions de modération</w:t>
      </w:r>
    </w:p>
    <w:p>
      <w:pPr>
        <w:pStyle w:val="FirstParagraph"/>
      </w:pPr>
      <w:r>
        <w:t xml:space="preserve">Trois catégories de contingence déterminent si P2 produit une attribution correcte : au niveau relationnel (capital de confiance préalable), au niveau situationnel (phase de la mission et enjeux politiques) et au niveau acteur (littératie IA aversion à l’algorithme). 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 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 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 La transparence substantive peut donc échouer de deux manières : soit parce que l'explication n'est pas cognitivement appropriée, soit parce qu'elle est comprise mais normativement disqualifiée. Une attribution correcte requiert à la fois intelligibilité et acceptation minimale. Dans ce cadre, l'attribution correcte est traitée comme une condition observable importante de l'appropriation par le client et, par cette appropriation, comme une voie par laquelle la transparence agit sur la valeur perçue.</w:t>
      </w:r>
    </w:p>
    <w:bookmarkEnd w:id="30"/>
    <w:bookmarkEnd w:id="31"/>
    <w:bookmarkStart w:id="37" w:name="le-modèle-r-p-c"/>
    <w:p>
      <w:pPr>
        <w:pStyle w:val="Heading3"/>
      </w:pPr>
      <w:r>
        <w:t xml:space="preserve">LE MODÈLE R → P → C</w:t>
      </w:r>
    </w:p>
    <w:bookmarkStart w:id="32" w:name="Xaf9523961197c7e0c640a0c3c54597de6e4d023"/>
    <w:p>
      <w:pPr>
        <w:pStyle w:val="Heading4"/>
      </w:pPr>
      <w:r>
        <w:t xml:space="preserve">Les dimensions de la valeur perçue du conseil à l'ère de l'IA : R / P / C</w:t>
      </w:r>
    </w:p>
    <w:p>
      <w:pPr>
        <w:pStyle w:val="FirstParagraph"/>
      </w:pPr>
      <w:r>
        <w:rPr>
          <w:bCs/>
          <w:b/>
        </w:rPr>
        <w:t xml:space="preserve">R — Relationnelle</w:t>
      </w:r>
    </w:p>
    <w:p>
      <w:pPr>
        <w:pStyle w:val="BodyText"/>
      </w:pPr>
      <w:r>
        <w:t xml:space="preserve">Confiance, légitimité et jugement politique — activement produits, et de plus en plus ambigus dans les systèmes humain-IA</w:t>
      </w:r>
    </w:p>
    <w:p>
      <w:pPr>
        <w:pStyle w:val="BodyText"/>
      </w:pPr>
      <w:r>
        <w:rPr>
          <w:bCs/>
          <w:b/>
        </w:rPr>
        <w:t xml:space="preserve">P — Processuelle</w:t>
      </w:r>
    </w:p>
    <w:p>
      <w:pPr>
        <w:pStyle w:val="BodyText"/>
      </w:pPr>
      <w:r>
        <w:t xml:space="preserve">L'expérience même de co-création — sa nature, sa lisibilité et la distribution des rôles, reconfigurées par l'IA comme troisième acteur</w:t>
      </w:r>
    </w:p>
    <w:p>
      <w:pPr>
        <w:pStyle w:val="BodyText"/>
      </w:pPr>
      <w:r>
        <w:rPr>
          <w:bCs/>
          <w:b/>
        </w:rPr>
        <w:t xml:space="preserve">C — Cognitive</w:t>
      </w:r>
    </w:p>
    <w:p>
      <w:pPr>
        <w:pStyle w:val="BodyText"/>
      </w:pPr>
      <w:r>
        <w:t xml:space="preserve">La capacité à interpréter, comprendre et évaluer ce qui a été co-produit — afin que les productions de la mission deviennent intelligibles, évaluables, appropriables et mobilisables comme connaissance managériale</w:t>
      </w:r>
    </w:p>
    <w:p>
      <w:pPr>
        <w:pStyle w:val="BodyText"/>
      </w:pPr>
      <w:r>
        <w:t xml:space="preserve">SÉQUENCE R → P → C avec boucle de rétroaction proposée R ← P</w:t>
      </w:r>
    </w:p>
    <w:bookmarkEnd w:id="32"/>
    <w:bookmarkStart w:id="33" w:name="Xc385fbec0e6f933d5644591557ff11ffbcb1a16"/>
    <w:p>
      <w:pPr>
        <w:pStyle w:val="Heading4"/>
      </w:pPr>
      <w:r>
        <w:t xml:space="preserve">Comment l'IA reconfigure de façon contingente la chaîne R → P → C</w:t>
      </w:r>
    </w:p>
    <w:p>
      <w:pPr>
        <w:pStyle w:val="FirstParagraph"/>
      </w:pPr>
      <w:r>
        <w:t xml:space="preserve">Figure — Comment l'IA reconfigure de façon contingente la chaîne R → P → C</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Relationnelle</w:t>
            </w:r>
          </w:p>
          <w:p>
            <w:pPr>
              <w:jc w:val="left"/>
            </w:pPr>
            <w:r>
              <w:t xml:space="preserve">Confiance, légitimité et jugement politique — activement produits, et de plus en plus ambigus dans les systèmes humain-IA</w:t>
            </w:r>
          </w:p>
        </w:tc>
        <w:tc>
          <w:tcPr/>
          <w:p>
            <w:pPr>
              <w:pStyle w:val="Compact"/>
              <w:jc w:val="left"/>
            </w:pPr>
            <w:r>
              <w:t xml:space="preserve">→</w:t>
            </w:r>
          </w:p>
        </w:tc>
        <w:tc>
          <w:tcPr/>
          <w:p>
            <w:pPr>
              <w:jc w:val="left"/>
            </w:pPr>
            <w:r>
              <w:t xml:space="preserve">P — Processuelle</w:t>
            </w:r>
          </w:p>
          <w:p>
            <w:pPr>
              <w:jc w:val="left"/>
            </w:pPr>
            <w:r>
              <w:t xml:space="preserve">L'expérience même de co-création — sa nature, sa lisibilité et la distribution des rôles, reconfigurées par l'IA comme troisième acteur</w:t>
            </w:r>
          </w:p>
        </w:tc>
        <w:tc>
          <w:tcPr/>
          <w:p>
            <w:pPr>
              <w:pStyle w:val="Compact"/>
              <w:jc w:val="left"/>
            </w:pPr>
            <w:r>
              <w:t xml:space="preserve">→</w:t>
            </w:r>
          </w:p>
        </w:tc>
        <w:tc>
          <w:tcPr/>
          <w:p>
            <w:pPr>
              <w:jc w:val="left"/>
            </w:pPr>
            <w:r>
              <w:t xml:space="preserve">C — Cognitive</w:t>
            </w:r>
          </w:p>
          <w:p>
            <w:pPr>
              <w:jc w:val="left"/>
            </w:pPr>
            <w:r>
              <w:t xml:space="preserve">La capacité à interpréter, comprendre et évaluer ce qui a été co-produit — afin que les productions de la mission deviennent intelligibles, évaluables, appropriables et mobilisables comme connaissance managériale</w:t>
            </w:r>
          </w:p>
        </w:tc>
      </w:tr>
      <w:tr>
        <w:tc>
          <w:tcPr>
            <w:gridSpan w:val="5"/>
          </w:tcPr>
          <w:p>
            <w:pPr>
              <w:pStyle w:val="Compact"/>
              <w:jc w:val="left"/>
            </w:pPr>
            <w:r>
              <w:t xml:space="preserve">R ← P : feedback loop / boucle de rétroaction</w:t>
            </w:r>
          </w:p>
        </w:tc>
      </w:tr>
    </w:tbl>
    <w:p>
      <w:pPr>
        <w:pStyle w:val="BodyText"/>
      </w:pPr>
      <w:r>
        <w:t xml:space="preserve">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w:t>
      </w:r>
    </w:p>
    <w:bookmarkEnd w:id="33"/>
    <w:bookmarkStart w:id="34" w:name="r-p"/>
    <w:p>
      <w:pPr>
        <w:pStyle w:val="Heading4"/>
      </w:pPr>
      <w:r>
        <w:t xml:space="preserve">R → P</w:t>
      </w:r>
    </w:p>
    <w:p>
      <w:pPr>
        <w:pStyle w:val="FirstParagraph"/>
      </w:pPr>
      <w:r>
        <w:rPr>
          <w:bCs/>
          <w:b/>
        </w:rPr>
        <w:t xml:space="preserve">Reconfiguration positive</w:t>
      </w:r>
    </w:p>
    <w:p>
      <w:pPr>
        <w:pStyle w:val="BodyText"/>
      </w:pPr>
      <w:r>
        <w:t xml:space="preserve">Une orchestration visible et une construction crédible de la légitimité peuvent approfondir l'engagement processuel lorsque l'usage de l'IA est compris et accepté.</w:t>
      </w:r>
    </w:p>
    <w:p>
      <w:pPr>
        <w:pStyle w:val="BodyText"/>
      </w:pPr>
      <w:r>
        <w:rPr>
          <w:bCs/>
          <w:b/>
        </w:rPr>
        <w:t xml:space="preserve">Reconfiguration négative</w:t>
      </w:r>
    </w:p>
    <w:p>
      <w:pPr>
        <w:pStyle w:val="BodyText"/>
      </w:pPr>
      <w:r>
        <w:t xml:space="preserve">Un usage masqué de l'IA peut fragiliser la légitimité et délégitimer rétrospectivement le processus aux yeux du client (par exemple si la contribution cachée est découverte à posteriori par le client).</w:t>
      </w:r>
    </w:p>
    <w:p>
      <w:pPr>
        <w:pStyle w:val="BodyText"/>
      </w:pPr>
      <w:r>
        <w:rPr>
          <w:bCs/>
          <w:b/>
        </w:rPr>
        <w:t xml:space="preserve">Contingences</w:t>
      </w:r>
    </w:p>
    <w:p>
      <w:pPr>
        <w:pStyle w:val="BodyText"/>
      </w:pPr>
      <w:r>
        <w:t xml:space="preserve">Protégé par P2, mais seulement de façon conditionnelle via P3.</w:t>
      </w:r>
    </w:p>
    <w:bookmarkEnd w:id="34"/>
    <w:bookmarkStart w:id="35" w:name="r-p-1"/>
    <w:p>
      <w:pPr>
        <w:pStyle w:val="Heading4"/>
      </w:pPr>
      <w:r>
        <w:t xml:space="preserve">R ← P</w:t>
      </w:r>
    </w:p>
    <w:p>
      <w:pPr>
        <w:pStyle w:val="FirstParagraph"/>
      </w:pPr>
      <w:r>
        <w:rPr>
          <w:bCs/>
          <w:b/>
        </w:rPr>
        <w:t xml:space="preserve">Reconfiguration positive</w:t>
      </w:r>
    </w:p>
    <w:p>
      <w:pPr>
        <w:pStyle w:val="BodyText"/>
      </w:pPr>
      <w:r>
        <w:t xml:space="preserve">Une expérience de co-création fluide peut renforcer la légitimité du consultant au fil de la mission.</w:t>
      </w:r>
    </w:p>
    <w:p>
      <w:pPr>
        <w:pStyle w:val="BodyText"/>
      </w:pPr>
      <w:r>
        <w:rPr>
          <w:bCs/>
          <w:b/>
        </w:rPr>
        <w:t xml:space="preserve">Reconfiguration négative</w:t>
      </w:r>
    </w:p>
    <w:p>
      <w:pPr>
        <w:pStyle w:val="BodyText"/>
      </w:pPr>
      <w:r>
        <w:t xml:space="preserve">Une expérience de co-création qui génère des productions IA (output) spectaculaires, peut déplacer le crédit du consultant vers l'IA, en inversant la boucle de rétroaction attendue.</w:t>
      </w:r>
    </w:p>
    <w:p>
      <w:pPr>
        <w:pStyle w:val="BodyText"/>
      </w:pPr>
      <w:r>
        <w:rPr>
          <w:bCs/>
          <w:b/>
        </w:rPr>
        <w:t xml:space="preserve">Contingences</w:t>
      </w:r>
    </w:p>
    <w:p>
      <w:pPr>
        <w:pStyle w:val="BodyText"/>
      </w:pPr>
      <w:r>
        <w:t xml:space="preserve">Dépend de la lisibilité des contributions par le client (P2), de sa littératie IA et de son aversion à l’algorithme (P3).</w:t>
      </w:r>
    </w:p>
    <w:bookmarkEnd w:id="35"/>
    <w:bookmarkStart w:id="36" w:name="p-c"/>
    <w:p>
      <w:pPr>
        <w:pStyle w:val="Heading4"/>
      </w:pPr>
      <w:r>
        <w:t xml:space="preserve">P → C</w:t>
      </w:r>
    </w:p>
    <w:p>
      <w:pPr>
        <w:pStyle w:val="FirstParagraph"/>
      </w:pPr>
      <w:r>
        <w:rPr>
          <w:bCs/>
          <w:b/>
        </w:rPr>
        <w:t xml:space="preserve">Reconfiguration positive</w:t>
      </w:r>
    </w:p>
    <w:p>
      <w:pPr>
        <w:pStyle w:val="BodyText"/>
      </w:pPr>
      <w:r>
        <w:t xml:space="preserve">Une co-création visible avec l'IA peut enrichir la diversité et la nouveauté des insights lorsque le client est cognitivement engagé dans le processus.</w:t>
      </w:r>
    </w:p>
    <w:p>
      <w:pPr>
        <w:pStyle w:val="BodyText"/>
      </w:pPr>
      <w:r>
        <w:rPr>
          <w:bCs/>
          <w:b/>
        </w:rPr>
        <w:t xml:space="preserve">Reconfiguration négative</w:t>
      </w:r>
    </w:p>
    <w:p>
      <w:pPr>
        <w:pStyle w:val="BodyText"/>
      </w:pPr>
      <w:r>
        <w:t xml:space="preserve">L'IA peut aussi découpler la connaissance de la co-production : le client reçoit des outputs sans participer réellement à la manière dont ils ont été générés.</w:t>
      </w:r>
    </w:p>
    <w:p>
      <w:pPr>
        <w:pStyle w:val="BodyText"/>
      </w:pPr>
      <w:r>
        <w:rPr>
          <w:bCs/>
          <w:b/>
        </w:rPr>
        <w:t xml:space="preserve">Contingences</w:t>
      </w:r>
    </w:p>
    <w:p>
      <w:pPr>
        <w:pStyle w:val="BodyText"/>
      </w:pPr>
      <w:r>
        <w:t xml:space="preserve">Dépend de dépend de l’explicitation substantive du consultant (P2) et, via P3, de l’intelligibilité, de l’acceptation et des conditions relationnelles et situationnelles.</w:t>
      </w:r>
    </w:p>
    <w:p>
      <w:pPr>
        <w:pStyle w:val="BodyText"/>
      </w:pPr>
      <w:r>
        <w:t xml:space="preserve">La co-destruction de valeur (Plé &amp; Cáceres 2010 ; Lumivalo et al. 2024) constitue la condition limite lorsque P2 et P3 échouent simultanément.</w:t>
      </w:r>
    </w:p>
    <w:bookmarkEnd w:id="36"/>
    <w:bookmarkEnd w:id="37"/>
    <w:bookmarkStart w:id="38" w:name="X104f12f5e495713f47fce244fd81f3a6478dc34"/>
    <w:p>
      <w:pPr>
        <w:pStyle w:val="Heading3"/>
      </w:pPr>
      <w:r>
        <w:t xml:space="preserve">LA NÉCESSITÉ D’UN CADRE D’OBSERVATION DE LA CO-CRÉATION DE VALEUR PERÇUE DU CONSEIL À L’ÈRE DE L’IA</w:t>
      </w:r>
    </w:p>
    <w:p>
      <w:pPr>
        <w:pStyle w:val="FirstParagraph"/>
      </w:pPr>
      <w:r>
        <w:t xml:space="preserve">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ne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w:t>
      </w:r>
    </w:p>
    <w:p>
      <w:pPr>
        <w:numPr>
          <w:ilvl w:val="0"/>
          <w:numId w:val="1001"/>
        </w:numPr>
        <w:pStyle w:val="Compact"/>
      </w:pPr>
      <w:r>
        <w:t xml:space="preserve">S1 — Dyade humaine. IA absente. Base relationnelle.</w:t>
      </w:r>
    </w:p>
    <w:p>
      <w:pPr>
        <w:numPr>
          <w:ilvl w:val="0"/>
          <w:numId w:val="1001"/>
        </w:numPr>
        <w:pStyle w:val="Compact"/>
      </w:pPr>
      <w:r>
        <w:t xml:space="preserve">S2 — IA en silo. Attribution et transparence latentes.</w:t>
      </w:r>
    </w:p>
    <w:p>
      <w:pPr>
        <w:numPr>
          <w:ilvl w:val="0"/>
          <w:numId w:val="1001"/>
        </w:numPr>
        <w:pStyle w:val="Compact"/>
      </w:pPr>
      <w:r>
        <w:t xml:space="preserve">S3 — Co-création tripartite. Toutes les dimensions sont observables.</w:t>
      </w:r>
    </w:p>
    <w:bookmarkEnd w:id="38"/>
    <w:bookmarkStart w:id="40" w:name="séquencement-dobservation"/>
    <w:p>
      <w:pPr>
        <w:pStyle w:val="Heading3"/>
      </w:pPr>
      <w:r>
        <w:t xml:space="preserve">Séquencement d'observation</w:t>
      </w:r>
    </w:p>
    <w:bookmarkStart w:id="39" w:name="situation-initiale-de-co-création"/>
    <w:p>
      <w:pPr>
        <w:pStyle w:val="Heading4"/>
      </w:pPr>
      <w:r>
        <w:t xml:space="preserve">Situation initiale de co-création</w:t>
      </w:r>
    </w:p>
    <w:p>
      <w:pPr>
        <w:pStyle w:val="FirstParagraph"/>
      </w:pPr>
      <w:r>
        <w:t xml:space="preserve">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w:t>
      </w:r>
    </w:p>
    <w:bookmarkEnd w:id="39"/>
    <w:bookmarkEnd w:id="40"/>
    <w:bookmarkStart w:id="41" w:name="statut-du-cadre-dobservation"/>
    <w:p>
      <w:pPr>
        <w:pStyle w:val="Heading3"/>
      </w:pPr>
      <w:r>
        <w:t xml:space="preserve">STATUT DU CADRE D’OBSERVATION</w:t>
      </w:r>
    </w:p>
    <w:p>
      <w:pPr>
        <w:pStyle w:val="FirstParagraph"/>
      </w:pPr>
      <w:r>
        <w:t xml:space="preserve">S1/S2/S3 est un cadre d’observation empirique, pas une nouvelle proposition théorique.</w:t>
      </w:r>
    </w:p>
    <w:p>
      <w:pPr>
        <w:pStyle w:val="BodyText"/>
      </w:pPr>
      <w:r>
        <w:t xml:space="preserve">Chaque situation rend certains mécanismes particulièrement observables : S1 la base relationnelle, S2 la transparence latente et l’attribution, S3 l’observabilité simultanée des trois dimensions.</w:t>
      </w:r>
    </w:p>
    <w:bookmarkEnd w:id="41"/>
    <w:bookmarkEnd w:id="42"/>
    <w:bookmarkStart w:id="50" w:name="cadre-dobservation"/>
    <w:p>
      <w:pPr>
        <w:pStyle w:val="Heading2"/>
      </w:pPr>
      <w:r>
        <w:t xml:space="preserve">3. CADRE D'OBSERVATION</w:t>
      </w:r>
    </w:p>
    <w:bookmarkStart w:id="49" w:name="Xe0f14c23e35fecd760f7dae6b81d4c44960a5dd"/>
    <w:p>
      <w:pPr>
        <w:pStyle w:val="Heading3"/>
      </w:pPr>
      <w:r>
        <w:t xml:space="preserve">Les 3 sphères de co-création de valeur perçue du conseil à l’ère de l’IA</w:t>
      </w:r>
    </w:p>
    <w:p>
      <w:pPr>
        <w:pStyle w:val="FirstParagraph"/>
      </w:pPr>
      <w:r>
        <w:t xml:space="preserve">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w:t>
      </w:r>
    </w:p>
    <w:p>
      <w:pPr>
        <w:pStyle w:val="BodyText"/>
      </w:pPr>
      <w:r>
        <w:t xml:space="preserve">Figure — Les 3 sphères de la co-création consultant-client-IA</w:t>
      </w:r>
    </w:p>
    <w:p>
      <w:pPr>
        <w:pStyle w:val="BodyText"/>
      </w:pPr>
      <w:r>
        <w:drawing>
          <wp:inline>
            <wp:extent cx="5334000" cy="5334000"/>
            <wp:effectExtent b="0" l="0" r="0" t="0"/>
            <wp:docPr descr="Les 3 sphères de la co-création consultant-client-IA" title="" id="44" name="Picture"/>
            <a:graphic>
              <a:graphicData uri="http://schemas.openxmlformats.org/drawingml/2006/picture">
                <pic:pic>
                  <pic:nvPicPr>
                    <pic:cNvPr descr="assets/spheres-fr.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bookmarkStart w:id="46" w:name="s1-sans-ia"/>
    <w:p>
      <w:pPr>
        <w:pStyle w:val="Heading4"/>
      </w:pPr>
      <w:r>
        <w:t xml:space="preserve">S1 — Sans IA</w:t>
      </w:r>
    </w:p>
    <w:p>
      <w:pPr>
        <w:pStyle w:val="FirstParagraph"/>
      </w:pPr>
      <w:r>
        <w:t xml:space="preserve">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w:t>
      </w:r>
    </w:p>
    <w:bookmarkEnd w:id="46"/>
    <w:bookmarkStart w:id="47" w:name="s2-ia-en-silo"/>
    <w:p>
      <w:pPr>
        <w:pStyle w:val="Heading4"/>
      </w:pPr>
      <w:r>
        <w:t xml:space="preserve">S2 — IA en silo</w:t>
      </w:r>
    </w:p>
    <w:p>
      <w:pPr>
        <w:pStyle w:val="FirstParagraph"/>
      </w:pPr>
      <w:r>
        <w:t xml:space="preserve">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w:t>
      </w:r>
    </w:p>
    <w:bookmarkEnd w:id="47"/>
    <w:bookmarkStart w:id="48" w:name="s3-co-création-tripartite"/>
    <w:p>
      <w:pPr>
        <w:pStyle w:val="Heading4"/>
      </w:pPr>
      <w:r>
        <w:t xml:space="preserve">S3 — Co-création tripartite</w:t>
      </w:r>
    </w:p>
    <w:p>
      <w:pPr>
        <w:pStyle w:val="FirstParagraph"/>
      </w:pPr>
      <w:r>
        <w:t xml:space="preserve">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 Krakowski 2020 ; Baird &amp; Maruping 2021).</w:t>
      </w:r>
    </w:p>
    <w:bookmarkEnd w:id="48"/>
    <w:bookmarkEnd w:id="49"/>
    <w:bookmarkEnd w:id="50"/>
    <w:bookmarkStart w:id="61" w:name="illustration"/>
    <w:p>
      <w:pPr>
        <w:pStyle w:val="Heading2"/>
      </w:pPr>
      <w:r>
        <w:t xml:space="preserve">4. ILLUSTRATION</w:t>
      </w:r>
    </w:p>
    <w:bookmarkStart w:id="51" w:name="X41d2bc4764fa3582dbfde51a3390e0b35897989"/>
    <w:p>
      <w:pPr>
        <w:pStyle w:val="Heading3"/>
      </w:pPr>
      <w:r>
        <w:t xml:space="preserve">Scénario fictif d'une mission de conseil : audit de plateforme digitale</w:t>
      </w:r>
    </w:p>
    <w:p>
      <w:pPr>
        <w:pStyle w:val="FirstParagraph"/>
      </w:pPr>
      <w:r>
        <w:t xml:space="preserve">Thomas (consultant) et Marie (cliente, société TechX)</w:t>
      </w:r>
    </w:p>
    <w:p>
      <w:pPr>
        <w:pStyle w:val="BodyText"/>
      </w:pPr>
      <w:r>
        <w:t xml:space="preserve">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w:t>
      </w:r>
    </w:p>
    <w:p>
      <w:pPr>
        <w:pStyle w:val="BodyText"/>
      </w:pPr>
      <w:r>
        <w:t xml:space="preserve">Mission fictive de 10 semaines : audit de plateforme digitale. La mission est structurée en trois grandes étapes du conseil. Chaque sous-phase indique la configuration de co-création observée (S) et les propositions de recherche les plus directement examinées (P).</w:t>
      </w:r>
    </w:p>
    <w:bookmarkEnd w:id="51"/>
    <w:bookmarkStart w:id="52" w:name="phases-de-la-mission"/>
    <w:p>
      <w:pPr>
        <w:pStyle w:val="Heading3"/>
      </w:pPr>
      <w:r>
        <w:t xml:space="preserve">Phases de la mission</w:t>
      </w:r>
    </w:p>
    <w:p>
      <w:pPr>
        <w:pStyle w:val="FirstParagraph"/>
      </w:pPr>
      <w:r>
        <w:t xml:space="preserve">Figure — Phases de la mission</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Cadrage</w:t>
            </w:r>
          </w:p>
        </w:tc>
        <w:tc>
          <w:tcPr/>
          <w:p>
            <w:pPr>
              <w:jc w:val="left"/>
            </w:pPr>
            <w:r>
              <w:rPr>
                <w:bCs/>
                <w:b/>
              </w:rPr>
              <w:t xml:space="preserve">Exploration — Sem.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Cadrage</w:t>
            </w:r>
          </w:p>
        </w:tc>
        <w:tc>
          <w:tcPr/>
          <w:p>
            <w:pPr>
              <w:jc w:val="left"/>
            </w:pPr>
            <w:r>
              <w:rPr>
                <w:bCs/>
                <w:b/>
              </w:rPr>
              <w:t xml:space="preserve">Préparation — Sem.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Analyse</w:t>
            </w:r>
          </w:p>
        </w:tc>
        <w:tc>
          <w:tcPr/>
          <w:p>
            <w:pPr>
              <w:jc w:val="left"/>
            </w:pPr>
            <w:r>
              <w:rPr>
                <w:bCs/>
                <w:b/>
              </w:rPr>
              <w:t xml:space="preserve">Analyse collaborative — Sem.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Analyse</w:t>
            </w:r>
          </w:p>
        </w:tc>
        <w:tc>
          <w:tcPr/>
          <w:p>
            <w:pPr>
              <w:jc w:val="left"/>
            </w:pPr>
            <w:r>
              <w:rPr>
                <w:bCs/>
                <w:b/>
              </w:rPr>
              <w:t xml:space="preserve">Affinement — Sem.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Analyse</w:t>
            </w:r>
          </w:p>
        </w:tc>
        <w:tc>
          <w:tcPr/>
          <w:p>
            <w:pPr>
              <w:jc w:val="left"/>
            </w:pPr>
            <w:r>
              <w:rPr>
                <w:bCs/>
                <w:b/>
              </w:rPr>
              <w:t xml:space="preserve">Validation mutuelle — Sem.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Recommandations</w:t>
            </w:r>
          </w:p>
        </w:tc>
        <w:tc>
          <w:tcPr/>
          <w:p>
            <w:pPr>
              <w:jc w:val="left"/>
            </w:pPr>
            <w:r>
              <w:rPr>
                <w:bCs/>
                <w:b/>
              </w:rPr>
              <w:t xml:space="preserve">Présentation au COMEX — Sem.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Rétrospective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Cadrage — Sem. 1-3</w:t>
      </w:r>
    </w:p>
    <w:p>
      <w:pPr>
        <w:pStyle w:val="BodyText"/>
      </w:pPr>
      <w:r>
        <w:t xml:space="preserve">Ancrage relationnel et cadrage initial de la mission.</w:t>
      </w:r>
    </w:p>
    <w:p>
      <w:pPr>
        <w:pStyle w:val="BodyText"/>
      </w:pPr>
      <w:r>
        <w:rPr>
          <w:bCs/>
          <w:b/>
        </w:rPr>
        <w:t xml:space="preserve">2. Analyse — Sem. 4-9</w:t>
      </w:r>
    </w:p>
    <w:p>
      <w:pPr>
        <w:pStyle w:val="BodyText"/>
      </w:pPr>
      <w:r>
        <w:t xml:space="preserve">Enquête conjointe, affinement et validation progressive des interprétations.</w:t>
      </w:r>
    </w:p>
    <w:p>
      <w:pPr>
        <w:pStyle w:val="BodyText"/>
      </w:pPr>
      <w:r>
        <w:rPr>
          <w:bCs/>
          <w:b/>
        </w:rPr>
        <w:t xml:space="preserve">3. Recommandations — Sem. 10</w:t>
      </w:r>
    </w:p>
    <w:p>
      <w:pPr>
        <w:pStyle w:val="BodyText"/>
      </w:pPr>
      <w:r>
        <w:t xml:space="preserve">Formalisation et présentation des recommandations.</w:t>
      </w:r>
    </w:p>
    <w:bookmarkEnd w:id="52"/>
    <w:bookmarkStart w:id="60" w:name="sous-étapes"/>
    <w:p>
      <w:pPr>
        <w:pStyle w:val="Heading3"/>
      </w:pPr>
      <w:r>
        <w:t xml:space="preserve">Sous étapes</w:t>
      </w:r>
    </w:p>
    <w:bookmarkStart w:id="53" w:name="exploration-sem.-1-2"/>
    <w:p>
      <w:pPr>
        <w:pStyle w:val="Heading4"/>
      </w:pPr>
      <w:r>
        <w:t xml:space="preserve">Exploration — Sem. 1-2</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P1</w:t>
      </w:r>
    </w:p>
    <w:p>
      <w:pPr>
        <w:pStyle w:val="BodyText"/>
      </w:pPr>
      <w:r>
        <w:rPr>
          <w:bCs/>
          <w:b/>
        </w:rPr>
        <w:t xml:space="preserve">Dimensions de la valeur perçue</w:t>
      </w:r>
    </w:p>
    <w:p>
      <w:pPr>
        <w:pStyle w:val="BodyText"/>
      </w:pPr>
      <w:r>
        <w:t xml:space="preserve">R</w:t>
      </w:r>
    </w:p>
    <w:p>
      <w:pPr>
        <w:pStyle w:val="BodyText"/>
      </w:pPr>
      <w:r>
        <w:t xml:space="preserve">Entretiens individuels en face-à-face avec les dirigeants de TechX. Thomas construit sa légitimité relationnelle par l'écoute active, le signalement d'autorité et des démonstrations progressives de compétence. Aucune IA mobilisée.</w:t>
      </w:r>
    </w:p>
    <w:p>
      <w:pPr>
        <w:pStyle w:val="BodyText"/>
      </w:pPr>
      <w:r>
        <w:t xml:space="preserve">Observable principal : R (base relationnelle) — ligne de base de P1 pour les configurations suivantes</w:t>
      </w:r>
    </w:p>
    <w:bookmarkEnd w:id="53"/>
    <w:bookmarkStart w:id="54" w:name="préparation-sem.-3"/>
    <w:p>
      <w:pPr>
        <w:pStyle w:val="Heading4"/>
      </w:pPr>
      <w:r>
        <w:t xml:space="preserve">Préparation — Sem. 3</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P2, P3</w:t>
      </w:r>
    </w:p>
    <w:p>
      <w:pPr>
        <w:pStyle w:val="BodyText"/>
      </w:pPr>
      <w:r>
        <w:rPr>
          <w:bCs/>
          <w:b/>
        </w:rPr>
        <w:t xml:space="preserve">Dimensions de la valeur perçue</w:t>
      </w:r>
    </w:p>
    <w:p>
      <w:pPr>
        <w:pStyle w:val="BodyText"/>
      </w:pPr>
      <w:r>
        <w:t xml:space="preserve">R, P</w:t>
      </w:r>
    </w:p>
    <w:p>
      <w:pPr>
        <w:pStyle w:val="BodyText"/>
      </w:pPr>
      <w:r>
        <w:t xml:space="preserve">Thomas utilise l'IA pour transcrire et structurer thématiquement les entretiens sans en informer Marie. Il présente une synthèse structurée attribuée à son propre jugement.</w:t>
      </w:r>
    </w:p>
    <w:p>
      <w:pPr>
        <w:pStyle w:val="BodyText"/>
      </w:pPr>
      <w:r>
        <w:t xml:space="preserve">Observable principal : P2 (transparence nulle) — P3 (mécanisme d'attribution latent) — risque de délégitimation rétrospective</w:t>
      </w:r>
    </w:p>
    <w:bookmarkEnd w:id="54"/>
    <w:bookmarkStart w:id="55" w:name="analyse-collaborative-sem.-4-6"/>
    <w:p>
      <w:pPr>
        <w:pStyle w:val="Heading4"/>
      </w:pPr>
      <w:r>
        <w:t xml:space="preserve">Analyse collaborative — Sem. 4-6</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Sessions tripartites hebdomadaires : Thomas mobilise l'IA de manière visible comme composante explicite de l'échange, Marie challenge les outputs, et les insights sont co-construits dans une triade explicite. Les trois propositions y sont simultanément observables.</w:t>
      </w:r>
    </w:p>
    <w:p>
      <w:pPr>
        <w:pStyle w:val="BodyText"/>
      </w:pPr>
      <w:r>
        <w:t xml:space="preserve">Observable principal : P1 (toutes les dimensions R, P, C) — P2 (substantive vs performative) — P3 (AI literacy et algorithm aversion)</w:t>
      </w:r>
    </w:p>
    <w:bookmarkEnd w:id="55"/>
    <w:bookmarkStart w:id="56" w:name="affinement-sem.-7-8"/>
    <w:p>
      <w:pPr>
        <w:pStyle w:val="Heading4"/>
      </w:pPr>
      <w:r>
        <w:t xml:space="preserve">Affinement — Sem. 7-8</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examinées</w:t>
      </w:r>
    </w:p>
    <w:p>
      <w:pPr>
        <w:pStyle w:val="BodyText"/>
      </w:pPr>
      <w:r>
        <w:t xml:space="preserve">P1, P2</w:t>
      </w:r>
    </w:p>
    <w:p>
      <w:pPr>
        <w:pStyle w:val="BodyText"/>
      </w:pPr>
      <w:r>
        <w:rPr>
          <w:bCs/>
          <w:b/>
        </w:rPr>
        <w:t xml:space="preserve">Dimensions de la valeur perçue</w:t>
      </w:r>
    </w:p>
    <w:p>
      <w:pPr>
        <w:pStyle w:val="BodyText"/>
      </w:pPr>
      <w:r>
        <w:t xml:space="preserve">P, C</w:t>
      </w:r>
    </w:p>
    <w:p>
      <w:pPr>
        <w:pStyle w:val="BodyText"/>
      </w:pPr>
      <w:r>
        <w:t xml:space="preserve">Thomas alterne entre usage d'IA en silo (structuration des scénarios) et co-création visible avec Marie (validation des options). La transparence est sélective et stratégique.</w:t>
      </w:r>
    </w:p>
    <w:p>
      <w:pPr>
        <w:pStyle w:val="BodyText"/>
      </w:pPr>
      <w:r>
        <w:t xml:space="preserve">Observable principal : P2 (performative vs substantive) — P1 (reconfiguration processuelle) — ambiguïté d'attribution</w:t>
      </w:r>
    </w:p>
    <w:bookmarkEnd w:id="56"/>
    <w:bookmarkStart w:id="57" w:name="validation-mutuelle-sem.-9"/>
    <w:p>
      <w:pPr>
        <w:pStyle w:val="Heading4"/>
      </w:pPr>
      <w:r>
        <w:t xml:space="preserve">Validation mutuelle — Sem. 9</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P1, P3</w:t>
      </w:r>
    </w:p>
    <w:p>
      <w:pPr>
        <w:pStyle w:val="BodyText"/>
      </w:pPr>
      <w:r>
        <w:rPr>
          <w:bCs/>
          <w:b/>
        </w:rPr>
        <w:t xml:space="preserve">Dimensions de la valeur perçue</w:t>
      </w:r>
    </w:p>
    <w:p>
      <w:pPr>
        <w:pStyle w:val="BodyText"/>
      </w:pPr>
      <w:r>
        <w:t xml:space="preserve">C</w:t>
      </w:r>
    </w:p>
    <w:p>
      <w:pPr>
        <w:pStyle w:val="BodyText"/>
      </w:pPr>
      <w:r>
        <w:t xml:space="preserve">Thomas finalise les recommandations en utilisant l'IA pour les stress-tester. Marie relit les outputs mais ne peut pas évaluer pleinement la chaîne analytique assistée par IA.</w:t>
      </w:r>
    </w:p>
    <w:p>
      <w:pPr>
        <w:pStyle w:val="BodyText"/>
      </w:pPr>
      <w:r>
        <w:t xml:space="preserve">Observable principal : P3 (AI literacy comme facteur limitant) — P1 (dimension cognitive) — capacité d'absorption</w:t>
      </w:r>
    </w:p>
    <w:bookmarkEnd w:id="57"/>
    <w:bookmarkStart w:id="58" w:name="présentation-au-comex-sem.-10"/>
    <w:p>
      <w:pPr>
        <w:pStyle w:val="Heading4"/>
      </w:pPr>
      <w:r>
        <w:t xml:space="preserve">Présentation au COMEX — Sem. 10</w:t>
      </w:r>
    </w:p>
    <w:p>
      <w:pPr>
        <w:pStyle w:val="FirstParagraph"/>
      </w:pPr>
      <w:r>
        <w:rPr>
          <w:bCs/>
          <w:b/>
        </w:rPr>
        <w:t xml:space="preserve">Étape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P3</w:t>
      </w:r>
    </w:p>
    <w:p>
      <w:pPr>
        <w:pStyle w:val="BodyText"/>
      </w:pPr>
      <w:r>
        <w:rPr>
          <w:bCs/>
          <w:b/>
        </w:rPr>
        <w:t xml:space="preserve">Dimensions de la valeur perçue</w:t>
      </w:r>
    </w:p>
    <w:p>
      <w:pPr>
        <w:pStyle w:val="BodyText"/>
      </w:pPr>
      <w:r>
        <w:t xml:space="preserve">R, C</w:t>
      </w:r>
    </w:p>
    <w:p>
      <w:pPr>
        <w:pStyle w:val="BodyText"/>
      </w:pPr>
      <w:r>
        <w:t xml:space="preserve">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pPr>
        <w:pStyle w:val="BodyText"/>
      </w:pPr>
      <w:r>
        <w:t xml:space="preserve">Observable principal : R (légitimité politique et jugement) + C (évaluation de la chaîne analytique) — P3 (AI literacy du COMEX et disposition à l'égard d'une analyse assistée par IA comme modérateur contextuel)</w:t>
      </w:r>
    </w:p>
    <w:bookmarkEnd w:id="58"/>
    <w:bookmarkStart w:id="59" w:name="rétrospective-post"/>
    <w:p>
      <w:pPr>
        <w:pStyle w:val="Heading4"/>
      </w:pPr>
      <w:r>
        <w:t xml:space="preserve">Rétrospective — Post</w:t>
      </w:r>
    </w:p>
    <w:p>
      <w:pPr>
        <w:pStyle w:val="FirstParagraph"/>
      </w:pPr>
      <w:r>
        <w:rPr>
          <w:bCs/>
          <w:b/>
        </w:rPr>
        <w:t xml:space="preserve">Étape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Évaluation rétrospective de la valeur perçue sur les trois dimensions. Quelle configuration a généré la plus forte valeur perçue dans ses dimensions relationnelle, processuelle et cognitive — et sous quelles conditions ?</w:t>
      </w:r>
    </w:p>
    <w:p>
      <w:pPr>
        <w:pStyle w:val="BodyText"/>
      </w:pPr>
      <w:r>
        <w:t xml:space="preserve">Observable principal : P1 complet (R, P, C) à travers S1/S2/S3 — P2 et P3 comme conditions modératrices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complémentaire - contenus de l'artefact</dc:title>
  <dc:creator/>
  <cp:keywords/>
  <dcterms:created xsi:type="dcterms:W3CDTF">2026-04-23T13:05:40Z</dcterms:created>
  <dcterms:modified xsi:type="dcterms:W3CDTF">2026-04-23T13:05:40Z</dcterms:modified>
</cp:coreProperties>
</file>

<file path=docProps/custom.xml><?xml version="1.0" encoding="utf-8"?>
<Properties xmlns="http://schemas.openxmlformats.org/officeDocument/2006/custom-properties" xmlns:vt="http://schemas.openxmlformats.org/officeDocument/2006/docPropsVTypes"/>
</file>