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1" w:name="X1310a5f94ce73b86a4a5c24bb86215359830b9b"/>
    <w:p>
      <w:pPr>
        <w:pStyle w:val="Heading1"/>
      </w:pPr>
      <w:r>
        <w:t xml:space="preserve">Companion document for the artefact content</w:t>
      </w:r>
    </w:p>
    <w:p>
      <w:pPr>
        <w:pStyle w:val="FirstParagraph"/>
      </w:pPr>
      <w:r>
        <w:t xml:space="preserve">This document reproduces, word for word, the English version of the interactive application’s textual content. It is intended for human reading outside the interface and is regenerated from content.js, the master source for the app content.</w:t>
      </w:r>
    </w:p>
    <w:p>
      <w:pPr>
        <w:pStyle w:val="BodyText"/>
      </w:pPr>
      <w:r>
        <w:t xml:space="preserve">Online application:</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bookmarkEnd w:id="21"/>
    <w:bookmarkStart w:id="26" w:name="research-positioning"/>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AI reconfigure the perceived value of consulting missions?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(see below).</w:t>
      </w:r>
    </w:p>
    <w:p>
      <w:pPr>
        <w:pStyle w:val="BodyText"/>
      </w:pPr>
      <w:r>
        <w:t xml:space="preserve">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w:t>
      </w:r>
    </w:p>
    <w:p>
      <w:pPr>
        <w:pStyle w:val="BodyText"/>
      </w:pPr>
      <w:r>
        <w:t xml:space="preserve">• The marketing literature documents perceived value (definition, central role, measurement scale, and the conditions of its realization, namely co-creation).</w:t>
      </w:r>
      <w:r>
        <w:br/>
      </w:r>
      <w: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r>
        <w:br/>
      </w:r>
      <w:r>
        <w:t xml:space="preserve">•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w:t>
      </w:r>
    </w:p>
    <w:p>
      <w:pPr>
        <w:pStyle w:val="BodyText"/>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1"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The literature on perceived value in knowledge-intensive activities (such as consulting) identifies three central dimensions in the formation of perceived value: functional, emotional and social (Arslanagic-Kalajdzic &amp; Zabkar, 2017). We take these up by adjusting them through an original framework that proposes a causal sequencing adapted to consulting and to our research framework: relational, processual and cognitive dimensions.</w:t>
      </w:r>
    </w:p>
    <w:p>
      <w:pPr>
        <w:pStyle w:val="BodyText"/>
      </w:pPr>
      <w:r>
        <w:t xml:space="preserve">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w:t>
      </w:r>
    </w:p>
    <w:p>
      <w:pPr>
        <w:pStyle w:val="BodyText"/>
      </w:pPr>
      <w:r>
        <w:t xml:space="preserve">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28" w:name="r-p-c-dimensions"/>
    <w:p>
      <w:pPr>
        <w:pStyle w:val="Heading3"/>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bookmarkEnd w:id="28"/>
    <w:bookmarkStart w:id="29" w:name="research-propositions"/>
    <w:p>
      <w:pPr>
        <w:pStyle w:val="Heading3"/>
      </w:pPr>
      <w:r>
        <w:t xml:space="preserve">Research propositions</w:t>
      </w:r>
    </w:p>
    <w:p>
      <w:pPr>
        <w:pStyle w:val="FirstParagraph"/>
      </w:pPr>
      <w:r>
        <w:rPr>
          <w:bCs/>
          <w:b/>
        </w:rPr>
        <w:t xml:space="preserve">P1 — WHAT IS RECONFIGURED</w:t>
      </w:r>
    </w:p>
    <w:p>
      <w:pPr>
        <w:pStyle w:val="BodyText"/>
      </w:pPr>
      <w:r>
        <w:t xml:space="preserve">The integration of AI into consulting missions reconfigures client-perceived value along three interdependent dimensions: relational, processual and cognitive.</w:t>
      </w:r>
    </w:p>
    <w:p>
      <w:pPr>
        <w:pStyle w:val="BodyText"/>
      </w:pPr>
      <w:r>
        <w:rPr>
          <w:bCs/>
          <w:b/>
        </w:rPr>
        <w:t xml:space="preserve">P2 — THE MECHANISM</w:t>
      </w:r>
    </w:p>
    <w:p>
      <w:pPr>
        <w:pStyle w:val="BodyText"/>
      </w:pPr>
      <w:r>
        <w:t xml:space="preserve">Transparency is the mediating mechanism of consulting perceived value in the AI era.</w:t>
      </w:r>
    </w:p>
    <w:p>
      <w:pPr>
        <w:pStyle w:val="BodyText"/>
      </w:pPr>
      <w:r>
        <w:rPr>
          <w:bCs/>
          <w:b/>
        </w:rPr>
        <w:t xml:space="preserve">P3 — THE CONDITIONS</w:t>
      </w:r>
    </w:p>
    <w:p>
      <w:pPr>
        <w:pStyle w:val="BodyText"/>
      </w:pPr>
      <w:r>
        <w:t xml:space="preserve">Three categories of contingency determine whether P2 produces correct attribution: relational, situational and actor-level conditions.</w:t>
      </w:r>
    </w:p>
    <w:bookmarkEnd w:id="29"/>
    <w:bookmarkStart w:id="33" w:name="Xe76b656d9840b5eadf6d788a1d4dab5caecfa0b"/>
    <w:p>
      <w:pPr>
        <w:pStyle w:val="Heading3"/>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Start w:id="30"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0"/>
    <w:bookmarkStart w:id="31"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1"/>
    <w:bookmarkStart w:id="32"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2"/>
    <w:bookmarkEnd w:id="33"/>
    <w:bookmarkStart w:id="38" w:name="detailed-research-propositions"/>
    <w:p>
      <w:pPr>
        <w:pStyle w:val="Heading3"/>
      </w:pPr>
      <w:r>
        <w:t xml:space="preserve">Detailed research propositions</w:t>
      </w:r>
    </w:p>
    <w:bookmarkStart w:id="34"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 Cáceres 2010; Lumivalo et al. 2024) constitutes the boundary condition when P2 and P3 fail simultaneously.</w:t>
      </w:r>
    </w:p>
    <w:bookmarkEnd w:id="34"/>
    <w:bookmarkStart w:id="35"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35"/>
    <w:bookmarkStart w:id="36"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w:t>
      </w:r>
    </w:p>
    <w:bookmarkEnd w:id="36"/>
    <w:bookmarkStart w:id="37" w:name="X5006bf0d3abb07b3aa2c2ee7514174d8e892168"/>
    <w:p>
      <w:pPr>
        <w:pStyle w:val="Heading4"/>
      </w:pPr>
      <w:r>
        <w:t xml:space="preserve">Observational sequencing — 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7"/>
    <w:bookmarkEnd w:id="38"/>
    <w:bookmarkStart w:id="39"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1"/>
        </w:numPr>
        <w:pStyle w:val="Compact"/>
      </w:pPr>
      <w:r>
        <w:t xml:space="preserve">S1 — Human dyad. AI absent. Relational baseline.</w:t>
      </w:r>
    </w:p>
    <w:p>
      <w:pPr>
        <w:numPr>
          <w:ilvl w:val="0"/>
          <w:numId w:val="1001"/>
        </w:numPr>
        <w:pStyle w:val="Compact"/>
      </w:pPr>
      <w:r>
        <w:t xml:space="preserve">S2 — AI in silo. Attribution and transparency latent.</w:t>
      </w:r>
    </w:p>
    <w:p>
      <w:pPr>
        <w:numPr>
          <w:ilvl w:val="0"/>
          <w:numId w:val="1001"/>
        </w:numPr>
        <w:pStyle w:val="Compact"/>
      </w:pPr>
      <w:r>
        <w:t xml:space="preserve">S3 — Tripartite co-creation. All dimensions observable.</w:t>
      </w:r>
    </w:p>
    <w:bookmarkEnd w:id="39"/>
    <w:bookmarkStart w:id="40"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0"/>
    <w:bookmarkEnd w:id="41"/>
    <w:bookmarkStart w:id="49" w:name="observation-framework"/>
    <w:p>
      <w:pPr>
        <w:pStyle w:val="Heading2"/>
      </w:pPr>
      <w:r>
        <w:t xml:space="preserve">3. OBSERVATION FRAMEWORK</w:t>
      </w:r>
    </w:p>
    <w:bookmarkStart w:id="48"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5334000" cy="5334000"/>
            <wp:effectExtent b="0" l="0" r="0" t="0"/>
            <wp:docPr descr="The 3 spheres of consultant-client-AI co-creation" title="" id="43" name="Picture"/>
            <a:graphic>
              <a:graphicData uri="http://schemas.openxmlformats.org/drawingml/2006/picture">
                <pic:pic>
                  <pic:nvPicPr>
                    <pic:cNvPr descr="assets/spheres-en.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bookmarkStart w:id="45"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5"/>
    <w:bookmarkStart w:id="46"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6"/>
    <w:bookmarkStart w:id="47"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7"/>
    <w:bookmarkEnd w:id="48"/>
    <w:bookmarkEnd w:id="49"/>
    <w:bookmarkStart w:id="60" w:name="illustration"/>
    <w:p>
      <w:pPr>
        <w:pStyle w:val="Heading2"/>
      </w:pPr>
      <w:r>
        <w:t xml:space="preserve">4. ILLUSTRATION</w:t>
      </w:r>
    </w:p>
    <w:bookmarkStart w:id="50"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0"/>
    <w:bookmarkStart w:id="51"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1"/>
    <w:bookmarkStart w:id="59" w:name="sub-steps"/>
    <w:p>
      <w:pPr>
        <w:pStyle w:val="Heading3"/>
      </w:pPr>
      <w:r>
        <w:t xml:space="preserve">Sub-steps</w:t>
      </w:r>
    </w:p>
    <w:bookmarkStart w:id="52"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2"/>
    <w:bookmarkStart w:id="53"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3"/>
    <w:bookmarkStart w:id="54"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4"/>
    <w:bookmarkStart w:id="55"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5"/>
    <w:bookmarkStart w:id="56"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6"/>
    <w:bookmarkStart w:id="57"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7"/>
    <w:bookmarkStart w:id="58"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8"/>
    <w:bookmarkEnd w:id="59"/>
    <w:bookmarkEnd w:id="60"/>
    <w:bookmarkEnd w:id="61"/>
    <w:bookmarkStart w:id="62" w:name="footer1"/>
    <w:p>
      <w:pPr>
        <w:pStyle w:val="FirstParagraph"/>
      </w:pPr>
      <w:r>
        <w:t xml:space="preserve">Page</w:t>
      </w:r>
      <w:r>
        <w:t xml:space="preserve"> </w:t>
      </w:r>
      <w:r>
        <w:t xml:space="preserve"> </w:t>
      </w:r>
      <w:r>
        <w:t xml:space="preserve">PAGE</w:t>
      </w:r>
      <w:r>
        <w:t xml:space="preserve">1</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2026-04-23T10:10:42Z</dcterms:created>
  <dcterms:modified xsi:type="dcterms:W3CDTF">2026-04-23T10:10:42Z</dcterms:modified>
</cp:coreProperties>
</file>

<file path=docProps/custom.xml><?xml version="1.0" encoding="utf-8"?>
<Properties xmlns="http://schemas.openxmlformats.org/officeDocument/2006/custom-properties" xmlns:vt="http://schemas.openxmlformats.org/officeDocument/2006/docPropsVTypes"/>
</file>