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EB5B9">
      <w:pPr>
        <w:pStyle w:val="2"/>
      </w:pPr>
      <w:r>
        <w:t>从感知到行动：具身智能技术体系、产业化进展与前沿挑战</w:t>
      </w:r>
      <w:bookmarkStart w:id="0" w:name="_GoBack"/>
      <w:bookmarkEnd w:id="0"/>
    </w:p>
    <w:p w14:paraId="1AAD24D7">
      <w:pPr>
        <w:rPr>
          <w:rFonts w:hint="eastAsia"/>
        </w:rPr>
      </w:pPr>
    </w:p>
    <w:p w14:paraId="1AED6FDE">
      <w:pPr>
        <w:pStyle w:val="4"/>
      </w:pPr>
      <w:r>
        <w:t>摘要</w:t>
      </w:r>
    </w:p>
    <w:p w14:paraId="1CCE7CE0">
      <w:pPr>
        <w:rPr>
          <w:rFonts w:hint="eastAsia"/>
        </w:rPr>
      </w:pPr>
    </w:p>
    <w:p w14:paraId="4D405BD4">
      <w:r>
        <w:t>具身智能是人工智能从数字空间迈向物理世界的关键范式跃迁，旨在赋予机器人感知、推理和在真实环境中自主行动的能力。本文从技术体系、产业化进展和前沿挑战三个维度，对当前国际具身智能发展进行系统性综述。在技术层面，视觉-语言-动作模型已成为连接感知与行动的核心架构，世界模型则通过增强时空预测能力为具身推理注入新的可能性；在产业层面，以特斯拉Optimus Gen-3和Figure 03为代表的人形机器人已步入量产阶段，谷歌DeepMind、NVIDIA等企业则在“具身大脑”与仿真训练基础设施方面构筑生态系统。仿真环境、感知硬件与安全可靠性构成当前领域发展的三大瓶颈，多机器人协同与物理规律的深度嵌入则是未来突破的关键方向。</w:t>
      </w:r>
    </w:p>
    <w:p w14:paraId="37A5F1B4">
      <w:pPr>
        <w:rPr>
          <w:rFonts w:hint="eastAsia"/>
        </w:rPr>
      </w:pPr>
    </w:p>
    <w:p w14:paraId="3EB011A7">
      <w:r>
        <w:rPr>
          <w:b/>
        </w:rPr>
        <w:t>关键词</w:t>
      </w:r>
      <w:r>
        <w:t>：具身智能；视觉-语言-动作模型；世界模型；人形机器人；仿真与虚实迁移</w:t>
      </w:r>
    </w:p>
    <w:p w14:paraId="33E3C8ED">
      <w:pPr>
        <w:rPr>
          <w:rFonts w:hint="eastAsia"/>
        </w:rPr>
      </w:pPr>
    </w:p>
    <w:p w14:paraId="401ADDDA">
      <w:pPr>
        <w:rPr>
          <w:rFonts w:hint="eastAsia"/>
        </w:rPr>
      </w:pPr>
    </w:p>
    <w:p w14:paraId="14E8B185">
      <w:pPr>
        <w:pStyle w:val="4"/>
      </w:pPr>
      <w:r>
        <w:t>1 引言</w:t>
      </w:r>
    </w:p>
    <w:p w14:paraId="30ECF72B">
      <w:pPr>
        <w:rPr>
          <w:rFonts w:hint="eastAsia"/>
        </w:rPr>
      </w:pPr>
    </w:p>
    <w:p w14:paraId="0BD9D1F7">
      <w:r>
        <w:t>人工智能正经历一场深刻的范式转变：从以文本和图像为核心的数字智能，迈向以真实世界交互为目标的物理智能。这一转变的核心概念便是“具身智能”——一种使机器人能够感知环境、理解任务、并在物理世界中自主执行行为的综合能力。正如Feynman所言：“我不能创造的，我也不能理解。”具身智能的本质追求，正是让AI通过物理交互真正地“理解”世界。</w:t>
      </w:r>
    </w:p>
    <w:p w14:paraId="580F808B">
      <w:pPr>
        <w:rPr>
          <w:rFonts w:hint="eastAsia"/>
        </w:rPr>
      </w:pPr>
    </w:p>
    <w:p w14:paraId="638BA6B4">
      <w:r>
        <w:t>近年来，大语言模型和多模态基础模型的爆发式进步为具身智能注入了前所未有的活力。通过将视觉-语言预训练模型与机器人动作控制相结合，研究者开始构建能够理解自然语言指令并生成物理动作的端到端系统。与此同时，人形机器人硬件平台加速迭代，从实验室原型迈向工厂量产，具身智能正从学术概念走向产业化实践。</w:t>
      </w:r>
    </w:p>
    <w:p w14:paraId="0A1B581E">
      <w:pPr>
        <w:rPr>
          <w:rFonts w:hint="eastAsia"/>
        </w:rPr>
      </w:pPr>
    </w:p>
    <w:p w14:paraId="2CF6CBFB">
      <w:r>
        <w:t>本文旨在对2024–2026年国际具身智能领域的发展进行系统性综述。全文围绕“感知-推理-行动”这一核心框架展开：第2节概述具身智能的技术体系；第3节深入分析视觉-语言-动作模型和世界模型两大核心架构；第4节梳理产业化进展与典型平台；第5节讨论仿真环境、感知硬件与安全性等瓶颈挑战；第6节展望未来发展方向。</w:t>
      </w:r>
    </w:p>
    <w:p w14:paraId="6920B3E8">
      <w:pPr>
        <w:rPr>
          <w:rFonts w:hint="eastAsia"/>
        </w:rPr>
      </w:pPr>
    </w:p>
    <w:p w14:paraId="295120BC">
      <w:pPr>
        <w:pStyle w:val="4"/>
      </w:pPr>
      <w:r>
        <w:t>2 具身智能技术体系概览</w:t>
      </w:r>
    </w:p>
    <w:p w14:paraId="6A182759">
      <w:pPr>
        <w:rPr>
          <w:rFonts w:hint="eastAsia"/>
        </w:rPr>
      </w:pPr>
    </w:p>
    <w:p w14:paraId="2FD4E111">
      <w:r>
        <w:t>具身智能的技术体系可概括为一个“感知→推理→行动”的闭环架构。感知层负责将传感器数据转化为结构化表征，推理层基于感知结果进行任务规划和因果推断，行动层则将决策转化为物理执行。近年来，这一框架被进一步扩展为物理AI的四个递进阶段：从被动的物理感知，到因果推理，再到预测性世界建模，最终实现与环境交互的具身闭环[12†L19-L40]。</w:t>
      </w:r>
    </w:p>
    <w:p w14:paraId="51E12D7B">
      <w:pPr>
        <w:rPr>
          <w:rFonts w:hint="eastAsia"/>
        </w:rPr>
      </w:pPr>
    </w:p>
    <w:p w14:paraId="09B81909">
      <w:r>
        <w:t>从方法论演进来看，具身智能经历了从基于规则的控制、到优化规划、再到数据驱动学习和基础模型范式的发展路径。多机器人系统中的具身智能同样遵循这一轨迹，从显式设计的协调规则逐步进化到基于大语言模型的智能协调[10†L14-L24]。当前，基础模型已成为具身智能的核心驱动力。Lisondra等在其系统性综述中指出，将基础模型与具身AI原理相结合，能够使移动服务机器人实现更灵活的环境理解、自适应行为和鲁棒的任务执行[11†L12-L18]。</w:t>
      </w:r>
    </w:p>
    <w:p w14:paraId="14EDF26C">
      <w:pPr>
        <w:rPr>
          <w:rFonts w:hint="eastAsia"/>
        </w:rPr>
      </w:pPr>
    </w:p>
    <w:p w14:paraId="387A2B69">
      <w:r>
        <w:t>与此同时，具身智能的安全性作为一个独立的研究领域正在快速成形。Li等在对超过400篇文献的综合分析中提出了贯穿“感知-认知-规划-行动-交互”全链条的安全分类体系，揭示了多模态感知融合的脆弱性和规划模块在越狱攻击下的不稳定性[14†L18-L31]。</w:t>
      </w:r>
    </w:p>
    <w:p w14:paraId="0EEB62BD">
      <w:pPr>
        <w:rPr>
          <w:rFonts w:hint="eastAsia"/>
        </w:rPr>
      </w:pPr>
    </w:p>
    <w:p w14:paraId="217F0088">
      <w:pPr>
        <w:pStyle w:val="4"/>
      </w:pPr>
      <w:r>
        <w:t>3 核心算法架构：VLA模型与世界模型</w:t>
      </w:r>
    </w:p>
    <w:p w14:paraId="43A873F9">
      <w:pPr>
        <w:rPr>
          <w:rFonts w:hint="eastAsia"/>
        </w:rPr>
      </w:pPr>
    </w:p>
    <w:p w14:paraId="3FD631AF">
      <w:pPr>
        <w:pStyle w:val="5"/>
      </w:pPr>
      <w:r>
        <w:t>3.1 VLA模型的技术演进</w:t>
      </w:r>
    </w:p>
    <w:p w14:paraId="023736C0">
      <w:pPr>
        <w:rPr>
          <w:rFonts w:hint="eastAsia"/>
        </w:rPr>
      </w:pPr>
    </w:p>
    <w:p w14:paraId="2F29185A">
      <w:r>
        <w:t>视觉-语言-动作（Vision-Language-Action, VLA）模型是当前具身智能最具代表性的算法范式。其基本思路是将视觉-语言大模型作为感知与理解的主干网络，再接入一个“动作头”，将模型的决策输出转换为连续的机器人动作向量[29†L10-L13]。这一思路最早由Google DeepMind于2023年提出的RT-2模型确立——RT-2将视觉-语言模型的预训练权重融入机器人控制，使得网络规模的语义知识得以迁移到物理操作任务中[8†L5-L7]。</w:t>
      </w:r>
    </w:p>
    <w:p w14:paraId="0AC9F9C7">
      <w:pPr>
        <w:rPr>
          <w:rFonts w:hint="eastAsia"/>
        </w:rPr>
      </w:pPr>
    </w:p>
    <w:p w14:paraId="1B2133E4">
      <w:r>
        <w:t>VLA模型的技术路线已分化为三大范式：自回归离散预测、扩散模型和流匹配。以RT-2和OpenVLA为代表的自回归方法推理简单但存在误差累积问题；以Octo为代表的扩散模型可并行生成动作序列，抗长程误差能力强但计算成本高；以π₀系列为代表的流匹配方法则试图在两者之间取得平衡[8†L16-L19]。2026年，VLANeXt工作通过系统性地解构VLA的设计空间——从基础组件、感知要素到动作建模三个维度——提炼出12项关键设计原则，为构建强VLA模型提供了可复现的“配方”[28†L6-L25]。</w:t>
      </w:r>
    </w:p>
    <w:p w14:paraId="2104B04C">
      <w:pPr>
        <w:rPr>
          <w:rFonts w:hint="eastAsia"/>
        </w:rPr>
      </w:pPr>
    </w:p>
    <w:p w14:paraId="0FBCDCA8">
      <w:r>
        <w:t>在工程实践中，分层架构已成为主流方案。谷歌DeepMind的Gemini Robotics-ER 1.6模型采用“推理优先”设计理念，将视觉推理与代码执行能力结合，帮助机器人理解空间关系、分解复杂任务[17†L7-L12]。NVIDIA的Isaac GR00T N1.6则采用双模块联合训练策略：System 2模块负责语义层面的任务理解与规划，System 1模块以120 Hz的频率进行实时动作控制，两者在仿真平台中协同优化后实现零样本sim-to-real迁移[23†L11-L27]。</w:t>
      </w:r>
    </w:p>
    <w:p w14:paraId="70A42DAF">
      <w:pPr>
        <w:rPr>
          <w:rFonts w:hint="eastAsia"/>
        </w:rPr>
      </w:pPr>
    </w:p>
    <w:p w14:paraId="4A951D52">
      <w:pPr>
        <w:pStyle w:val="5"/>
      </w:pPr>
      <w:r>
        <w:t>3.2 世界模型的兴起与论争</w:t>
      </w:r>
    </w:p>
    <w:p w14:paraId="14BEA561">
      <w:pPr>
        <w:rPr>
          <w:rFonts w:hint="eastAsia"/>
        </w:rPr>
      </w:pPr>
    </w:p>
    <w:p w14:paraId="713DB863">
      <w:r>
        <w:t>2026年春季，具身智能领域爆发了一场关于技术路线的激烈论战：世界模型是否会取代VLA成为新一代主导范式？争论的焦点在于，机器人是否需要一个能够预测物理环境未来演变的内在世界模型。</w:t>
      </w:r>
    </w:p>
    <w:p w14:paraId="50C5BD2B">
      <w:pPr>
        <w:rPr>
          <w:rFonts w:hint="eastAsia"/>
        </w:rPr>
      </w:pPr>
    </w:p>
    <w:p w14:paraId="0EF0CCF5">
      <w:r>
        <w:t>世界模型的核心能力在于：给定初始视觉观测和机器人动作序列，预测后续操作过程中的视觉演变[30†L8-L14]。在2026年ICRA会议的AGIBOT World Challenge中，来自全球的336支队伍在世界模型赛道展开角逐，超过100支队伍超越了基线模型，体现了该领域的快速进展[30†L14-L16]。</w:t>
      </w:r>
    </w:p>
    <w:p w14:paraId="783F05A4">
      <w:pPr>
        <w:rPr>
          <w:rFonts w:hint="eastAsia"/>
        </w:rPr>
      </w:pPr>
    </w:p>
    <w:p w14:paraId="51824E53">
      <w:r>
        <w:t>事实上，VLA与世界模型并非对立关系。正如智平方创始人郭彦东所指出的，世界模型本质上增强了VLA框架中“V”的深度——让机器人不仅能感知当前环境，还能预测其变化——但它并未替代“L”（推理）和“A”（行动）的功能[31†L13-L15]。当前行业中存在三种组合路线：纯VLA、世界模型外接VLA、以及世界模型深度融入VLA。后者代表了融合进化的方向，通过端到端联合优化实现感知-预测-执行的一体化[31†L16-L19]。</w:t>
      </w:r>
    </w:p>
    <w:p w14:paraId="50F9A47E">
      <w:pPr>
        <w:rPr>
          <w:rFonts w:hint="eastAsia"/>
        </w:rPr>
      </w:pPr>
    </w:p>
    <w:p w14:paraId="663487BC">
      <w:pPr>
        <w:pStyle w:val="4"/>
      </w:pPr>
      <w:r>
        <w:t>4 产业化进展与典型平台</w:t>
      </w:r>
    </w:p>
    <w:p w14:paraId="5764FB03">
      <w:pPr>
        <w:rPr>
          <w:rFonts w:hint="eastAsia"/>
        </w:rPr>
      </w:pPr>
    </w:p>
    <w:p w14:paraId="0213B5F1">
      <w:pPr>
        <w:pStyle w:val="5"/>
      </w:pPr>
      <w:r>
        <w:t>4.1 人形机器人量产进程</w:t>
      </w:r>
    </w:p>
    <w:p w14:paraId="2608DFA7">
      <w:pPr>
        <w:rPr>
          <w:rFonts w:hint="eastAsia"/>
        </w:rPr>
      </w:pPr>
    </w:p>
    <w:p w14:paraId="73186D22">
      <w:r>
        <w:t>2026年标志着人形机器人从原型验证迈向量产的关键转折。特斯拉Optimus Gen-3于2026年第二季度正式启动量产，首批机器人已下线并投入内部测试[3†L8-L9]。该机器人身高173 cm、体重57 kg，行走速度1.2 m/s，最大负载20 kg。在AI能力方面，Optimus Gen-3深度复用特斯拉FSD自动驾驶技术，搭载自研AI5芯片，算力较前代提升40倍，单个动作的训练周期从48小时缩短至2.5小时[3†L24-L25]。</w:t>
      </w:r>
    </w:p>
    <w:p w14:paraId="512ABC33">
      <w:pPr>
        <w:rPr>
          <w:rFonts w:hint="eastAsia"/>
        </w:rPr>
      </w:pPr>
    </w:p>
    <w:p w14:paraId="2055F4DE">
      <w:r>
        <w:t>Figure AI在2026年上半年同样取得重要进展。其制造设施BotQ完成了从功能原型向可规模化机器人的过渡，已交付超过350台Figure 03机器人，生产速率从“每天1台”提升至“每小时1台”，在不到120天的时间内实现了24倍的产能提升[21†L7-L9]。Figure 03搭载的Helix-02系统采用统一的端到端神经网络架构，将视觉、触觉、本体感觉和全身控制集成在单一模型中[20†L13-L16]。2026年5月，Figure AI通过一场长达五天的全天候直播，展示了三台机器人连续分拣包裹的能力，处理包裹数超过10.5万件[20†L3-L13]。</w:t>
      </w:r>
    </w:p>
    <w:p w14:paraId="712361F1">
      <w:pPr>
        <w:rPr>
          <w:rFonts w:hint="eastAsia"/>
        </w:rPr>
      </w:pPr>
    </w:p>
    <w:p w14:paraId="5EE73511">
      <w:r>
        <w:t>市场层面，沙利文发布的《2026年全球具身智能机器人市场研究报告》指出，具身智能机器人正从实验室走向规模化商用，在高危特种、工业制造、商业服务等场景实现快速渗透[15†L6-L9]。中国国家电网印发的《2026年具身智能发展规划》计划集中采购约8500台具身智能设备，总投资约68亿元，成为国内最大的单一需求方[19†L22-L24]。</w:t>
      </w:r>
    </w:p>
    <w:p w14:paraId="11F32B33">
      <w:pPr>
        <w:rPr>
          <w:rFonts w:hint="eastAsia"/>
        </w:rPr>
      </w:pPr>
    </w:p>
    <w:p w14:paraId="662A38FC">
      <w:pPr>
        <w:pStyle w:val="5"/>
      </w:pPr>
      <w:r>
        <w:t>4.2 核心企业生态布局</w:t>
      </w:r>
    </w:p>
    <w:p w14:paraId="2EC3FE7A">
      <w:pPr>
        <w:rPr>
          <w:rFonts w:hint="eastAsia"/>
        </w:rPr>
      </w:pPr>
    </w:p>
    <w:p w14:paraId="1D3EE53F">
      <w:r>
        <w:t>谷歌DeepMind于2026年4月发布Gemini Robotics-ER 1.6模型，定位为机器人“高级推理模型”。该模型的核心突破在于“智能体视觉”能力——将视觉推理与代码执行结合，使机器人在仪表读取任务中的准确率从旧版的23%大幅提升至98%[16†L4-L13]。谷歌已与波士顿动力建立深度合作，将Gemini模型集成到四足机器人Spot中，用于工业巡检场景[17†L30-L33]。</w:t>
      </w:r>
    </w:p>
    <w:p w14:paraId="4750E9C3">
      <w:pPr>
        <w:rPr>
          <w:rFonts w:hint="eastAsia"/>
        </w:rPr>
      </w:pPr>
    </w:p>
    <w:p w14:paraId="543410D7">
      <w:r>
        <w:t>NVIDIA则围绕仿真训练和数据基础设施构建具身智能生态系统。其Isaac GR00T N1.6模型结合Isaac Lab仿真环境，为机器人提供从强化学习训练到sim-to-real迁移的完整工作流。2026年GTC大会上，NVIDIA进一步发布了全新的Isaac仿真框架和Cosmos世界模型工具链[5†L13-L14]。诺基亚与上汽通用联合项目基于Isaac GR00T Blueprint构建工业仿真训练平台，实现了训练速度10倍以上提升和任务成功率从60%到85%的提升[22†L7-L21]。</w:t>
      </w:r>
    </w:p>
    <w:p w14:paraId="4B896BA8">
      <w:pPr>
        <w:rPr>
          <w:rFonts w:hint="eastAsia"/>
        </w:rPr>
      </w:pPr>
    </w:p>
    <w:p w14:paraId="3654F14B">
      <w:r>
        <w:t>在中国，智元机器人推出了Genie Sim 3.0仿真平台和AGIBOT WORLD 2026真实场景数据集。Genie Sim 3.0支持通过自然语言或单张图片即时生成高保真三维场景，将环境构建速度从小时级缩短至分钟级[27†L4-L7]。中兴通讯开源的RealMirror平台则专注于VLA算法的端到端验证，通过3D高斯泼溅技术重建逼真环境，实现零样本sim-to-real迁移[26†L9-L19]。</w:t>
      </w:r>
    </w:p>
    <w:p w14:paraId="558BE003">
      <w:pPr>
        <w:rPr>
          <w:rFonts w:hint="eastAsia"/>
        </w:rPr>
      </w:pPr>
    </w:p>
    <w:p w14:paraId="760722EE">
      <w:pPr>
        <w:pStyle w:val="4"/>
      </w:pPr>
      <w:r>
        <w:t>5 关键技术瓶颈与挑战</w:t>
      </w:r>
    </w:p>
    <w:p w14:paraId="358399DC">
      <w:pPr>
        <w:rPr>
          <w:rFonts w:hint="eastAsia"/>
        </w:rPr>
      </w:pPr>
    </w:p>
    <w:p w14:paraId="019F95CD">
      <w:pPr>
        <w:pStyle w:val="5"/>
      </w:pPr>
      <w:r>
        <w:t>5.1 仿真环境的保真度与泛化问题</w:t>
      </w:r>
    </w:p>
    <w:p w14:paraId="53C05F78">
      <w:pPr>
        <w:rPr>
          <w:rFonts w:hint="eastAsia"/>
        </w:rPr>
      </w:pPr>
    </w:p>
    <w:p w14:paraId="74A31BF3">
      <w:r>
        <w:t>仿真环境是具身智能训练的核心基础设施，但“虚实鸿沟”仍是限制仿真训练效果迁移到真实世界的根本瓶颈。传统仿真器在视觉保真度和物理交互真实性方面与现实存在显著差距，导致仿真训练的模型在真实机器人上部署时需要大量微调甚至重训[26†L7-L8]。当前缓解策略主要包括三类：一是提高仿真器的渲染和物理建模精度，如Isaac Sim的高保真物理引擎；二是利用3D高斯泼溅等技术进行真实场景的数字孪生重建；三是通过领域随机化增强模型的鲁棒性。尽管如此，在接触密集型操作和复杂光照条件下的sim-to-real迁移仍然高度依赖任务特定的适配工程。</w:t>
      </w:r>
    </w:p>
    <w:p w14:paraId="492C9391">
      <w:pPr>
        <w:rPr>
          <w:rFonts w:hint="eastAsia"/>
        </w:rPr>
      </w:pPr>
    </w:p>
    <w:p w14:paraId="64785B3A">
      <w:pPr>
        <w:pStyle w:val="5"/>
      </w:pPr>
      <w:r>
        <w:t>5.2 感知与灵巧操作的技术挑战</w:t>
      </w:r>
    </w:p>
    <w:p w14:paraId="4A9BBBF5">
      <w:pPr>
        <w:rPr>
          <w:rFonts w:hint="eastAsia"/>
        </w:rPr>
      </w:pPr>
    </w:p>
    <w:p w14:paraId="726EAA90">
      <w:r>
        <w:t>触觉感知是实现机器人灵巧操作的关键突破口，被业界称为打通具身智能产业化的“最后一厘米”。当前主流技术方案包括绳驱主导的混合直驱架构灵巧手和多模态触觉传感器。中山大学葛进课题组在Nature Communications发表的成果首次实现了对材料杨氏模量与泊松比的同步定量感知，使机器人能够通过一次简单按压识别材料的“力学指纹”[25†L5-L14]。</w:t>
      </w:r>
    </w:p>
    <w:p w14:paraId="148A198B">
      <w:pPr>
        <w:rPr>
          <w:rFonts w:hint="eastAsia"/>
        </w:rPr>
      </w:pPr>
    </w:p>
    <w:p w14:paraId="53357B2B">
      <w:r>
        <w:t>在灵巧操作策略方面，浙江大学陈积明团队在Science Robotics上提出了一种融合视觉与触觉的多模态学习策略，利用低成本感知硬件（普通网络摄像头和自制压阻式触觉传感器）实现了一套策略下的多项灵巧操作技能[6†L20-L23]。2026年4月发表的Touch Dreaming工作则将触觉作为核心模态引入人形机器人全身操控Transformer模型，在五项真实世界接触密集型任务上实现了90.9%的相对性能提升[24†L21-L33]。</w:t>
      </w:r>
    </w:p>
    <w:p w14:paraId="2B38E726">
      <w:pPr>
        <w:rPr>
          <w:rFonts w:hint="eastAsia"/>
        </w:rPr>
      </w:pPr>
    </w:p>
    <w:p w14:paraId="4E754C7D">
      <w:pPr>
        <w:pStyle w:val="5"/>
      </w:pPr>
      <w:r>
        <w:t>5.3 安全性与可靠性</w:t>
      </w:r>
    </w:p>
    <w:p w14:paraId="42C82651">
      <w:pPr>
        <w:rPr>
          <w:rFonts w:hint="eastAsia"/>
        </w:rPr>
      </w:pPr>
    </w:p>
    <w:p w14:paraId="7CF8FCFC">
      <w:r>
        <w:t>具身智能的安全性挑战具有独特性：与纯数字AI不同，具身系统的故障可能导致直接的物理伤害。Li等在其安全综述中系统梳理了从感知到交互的全链条攻击路径和防御策略，识别了包括感知融合脆弱性、规划模块在越狱攻击下的不稳定性等关键风险[14†L10-L17]。谷歌也将安全性作为Gemini Robotics-ER 1.6的设计重点，通过物理安全约束使机器人遵守安全指令，并能在不同场景下准确判断对人体的伤害风险[16†L16-L17]。然而，在开放环境下的安全运行仍是一个未完全解决的问题，尤其当机器人需要在复杂、非结构化的真实环境中作为“自由巡检员”工作时，错误的后果可能相当严重[16†L18-L20]。</w:t>
      </w:r>
    </w:p>
    <w:p w14:paraId="40DDB333">
      <w:pPr>
        <w:rPr>
          <w:rFonts w:hint="eastAsia"/>
        </w:rPr>
      </w:pPr>
    </w:p>
    <w:p w14:paraId="4C556424">
      <w:pPr>
        <w:pStyle w:val="4"/>
      </w:pPr>
      <w:r>
        <w:t>6 结语与展望</w:t>
      </w:r>
    </w:p>
    <w:p w14:paraId="1B7C696E">
      <w:pPr>
        <w:rPr>
          <w:rFonts w:hint="eastAsia"/>
        </w:rPr>
      </w:pPr>
    </w:p>
    <w:p w14:paraId="2FC0227A">
      <w:r>
        <w:t>具身智能正处于从学术探索向产业落地的历史性转折点。VLA模型和世界模型的融合进化代表了算法架构的前沿方向，而人形机器人的量产则为技术验证提供了前所未有的物理平台。展望未来，以下几个趋势值得关注：</w:t>
      </w:r>
    </w:p>
    <w:p w14:paraId="6E5CC6F6">
      <w:pPr>
        <w:rPr>
          <w:rFonts w:hint="eastAsia"/>
        </w:rPr>
      </w:pPr>
    </w:p>
    <w:p w14:paraId="136AFFE4">
      <w:r>
        <w:t>其一，多机器人具身协同将成为重要增长极。从单机器人自主到多机器人协同感知、任务分配和联合执行，具身智能正在突破单体能力的上限[10†L6-L11]。</w:t>
      </w:r>
    </w:p>
    <w:p w14:paraId="3CBB17A5">
      <w:pPr>
        <w:rPr>
          <w:rFonts w:hint="eastAsia"/>
        </w:rPr>
      </w:pPr>
    </w:p>
    <w:p w14:paraId="0BF7675E">
      <w:r>
        <w:t>其二，物理规律与深度学习的深度融合将催生新一代物理AI系统。正如Xiang等在综述中所揭示的，从被动物理感知到主动物理交互的递进演化，构成了一个完整的智能发展路径[12†L24-L40]。</w:t>
      </w:r>
    </w:p>
    <w:p w14:paraId="162F11AA">
      <w:pPr>
        <w:rPr>
          <w:rFonts w:hint="eastAsia"/>
        </w:rPr>
      </w:pPr>
    </w:p>
    <w:p w14:paraId="25181886">
      <w:r>
        <w:t>其三，开源生态的繁荣将显著降低具身智能的研发门槛。从NVIDIA Isaac GR00T到智元Genie Sim 3.0到中兴RealMirror，开源仿真平台和数据集正在构建一个降低重复研发投入、加速技术迭代的公共基础设施。</w:t>
      </w:r>
    </w:p>
    <w:p w14:paraId="34CAD547">
      <w:pPr>
        <w:rPr>
          <w:rFonts w:hint="eastAsia"/>
        </w:rPr>
      </w:pPr>
    </w:p>
    <w:p w14:paraId="401CA694">
      <w:r>
        <w:t>其四，安全与伦理治理框架亟待建立。随着具身系统进入公共服务、医疗辅助等敏感领域，确保机器人在开放环境中的安全可靠运行将成为技术与政策共同面临的核心课题。</w:t>
      </w:r>
    </w:p>
    <w:p w14:paraId="3D50BA06">
      <w:pPr>
        <w:rPr>
          <w:rFonts w:hint="eastAsia"/>
        </w:rPr>
      </w:pPr>
    </w:p>
    <w:p w14:paraId="316EFDF6">
      <w:pPr>
        <w:pStyle w:val="4"/>
      </w:pPr>
      <w:r>
        <w:t>参考文献</w:t>
      </w:r>
    </w:p>
    <w:p w14:paraId="6C91CA55">
      <w:pPr>
        <w:rPr>
          <w:rFonts w:hint="eastAsia"/>
        </w:rPr>
      </w:pPr>
    </w:p>
    <w:p w14:paraId="39096058">
      <w:r>
        <w:t>[1] Wen C, Yuan S, Lin Y, et al. Embodied intelligence in multi-robot systems: foundations, applications, and future directions [J]. TechRxiv, 2026. DOI: 10.36227/techrxiv.176611774.47340823/v2.</w:t>
      </w:r>
    </w:p>
    <w:p w14:paraId="24C88B0A">
      <w:pPr>
        <w:rPr>
          <w:rFonts w:hint="eastAsia"/>
        </w:rPr>
      </w:pPr>
    </w:p>
    <w:p w14:paraId="3EEAA36E">
      <w:r>
        <w:t>[2] Lisondra M, Benhabib B, Nejat G. Embodied AI with foundation models for mobile service robots: a systematic review [J]. Robotics, 2026, 15(3): 55.</w:t>
      </w:r>
    </w:p>
    <w:p w14:paraId="0C8E8CEE">
      <w:pPr>
        <w:rPr>
          <w:rFonts w:hint="eastAsia"/>
        </w:rPr>
      </w:pPr>
    </w:p>
    <w:p w14:paraId="7314DA02">
      <w:r>
        <w:t>[3] Xiang K, Zhang T J, Huang Y, et al. Aligning perception, reasoning, modeling and interaction: a survey on physical AI [J]. arXiv preprint, arXiv:2510.04978v5, 2026.</w:t>
      </w:r>
    </w:p>
    <w:p w14:paraId="2EBB89C5">
      <w:pPr>
        <w:rPr>
          <w:rFonts w:hint="eastAsia"/>
        </w:rPr>
      </w:pPr>
    </w:p>
    <w:p w14:paraId="4C9E5FAB">
      <w:r>
        <w:t>[4] Tu K, Ma X, Qian Z, et al. Large-scale multimodal model based embodied intelligent robots: a survey [J]. Engineering Applications of Artificial Intelligence, 2026, 163: 112991.</w:t>
      </w:r>
    </w:p>
    <w:p w14:paraId="3220B1D1">
      <w:pPr>
        <w:rPr>
          <w:rFonts w:hint="eastAsia"/>
        </w:rPr>
      </w:pPr>
    </w:p>
    <w:p w14:paraId="1A510311">
      <w:r>
        <w:t>[5] Li X, et al. Safety in embodied AI: a survey of risks, attacks, and defenses [J]. arXiv preprint, arXiv:2605.02900, 2026.</w:t>
      </w:r>
    </w:p>
    <w:p w14:paraId="6CD45675">
      <w:pPr>
        <w:rPr>
          <w:rFonts w:hint="eastAsia"/>
        </w:rPr>
      </w:pPr>
    </w:p>
    <w:p w14:paraId="471DAC0A">
      <w:r>
        <w:t>[6] Frost &amp; Sullivan. 2026年全球具身智能机器人市场研究报告 [R]. 2026.</w:t>
      </w:r>
    </w:p>
    <w:p w14:paraId="24CE595B">
      <w:pPr>
        <w:rPr>
          <w:rFonts w:hint="eastAsia"/>
        </w:rPr>
      </w:pPr>
    </w:p>
    <w:p w14:paraId="36D939E8">
      <w:r>
        <w:t>[7] Google DeepMind. Gemini Robotics-ER 1.6: a reasoning-first model for robotic understanding [EB/OL]. (2026-04-14). https://deepmind.google.</w:t>
      </w:r>
    </w:p>
    <w:p w14:paraId="2B6DF1A9">
      <w:pPr>
        <w:rPr>
          <w:rFonts w:hint="eastAsia"/>
        </w:rPr>
      </w:pPr>
    </w:p>
    <w:p w14:paraId="1E1A4CD5">
      <w:r>
        <w:t>[8] NVIDIA. Building generalist humanoid capabilities with NVIDIA Isaac GR00T N1.6 using a sim-to-real workflow [EB/OL]. NVIDIA Technical Blog, 2026-01-08.</w:t>
      </w:r>
    </w:p>
    <w:p w14:paraId="610CA7CC">
      <w:pPr>
        <w:rPr>
          <w:rFonts w:hint="eastAsia"/>
        </w:rPr>
      </w:pPr>
    </w:p>
    <w:p w14:paraId="627D9DAE">
      <w:r>
        <w:t>[9] Wu X M, Fan B, Liao K, et al. VLANeXt: recipes for building strong VLA models [J]. arXiv preprint, arXiv:2602.18532v2, 2026.</w:t>
      </w:r>
    </w:p>
    <w:p w14:paraId="610B2844">
      <w:pPr>
        <w:rPr>
          <w:rFonts w:hint="eastAsia"/>
        </w:rPr>
      </w:pPr>
    </w:p>
    <w:p w14:paraId="0F1E59F9">
      <w:r>
        <w:t>[10] Zitkovich B, et al. RT-2: vision-language-action models transfer web knowledge to robotic control [C]. Proceedings of Robotics: Science and Systems, 2023.</w:t>
      </w:r>
    </w:p>
    <w:p w14:paraId="26062366">
      <w:pPr>
        <w:rPr>
          <w:rFonts w:hint="eastAsia"/>
        </w:rPr>
      </w:pPr>
    </w:p>
    <w:p w14:paraId="20606415">
      <w:r>
        <w:t>[11] Niu Y, et al. Learning versatile humanoid manipulation with touch dreaming [J]. arXiv preprint, arXiv:2604.13015v2, 2026.</w:t>
      </w:r>
    </w:p>
    <w:p w14:paraId="6AE490EE">
      <w:pPr>
        <w:rPr>
          <w:rFonts w:hint="eastAsia"/>
        </w:rPr>
      </w:pPr>
    </w:p>
    <w:p w14:paraId="6D53F71B">
      <w:r>
        <w:t>[12] 葛进, 毛国勇, 等. 基于合成材料库的触觉感知技术 [J]. Nature Communications, 2026.</w:t>
      </w:r>
    </w:p>
    <w:p w14:paraId="45996CEB">
      <w:pPr>
        <w:rPr>
          <w:rFonts w:hint="eastAsia"/>
        </w:rPr>
      </w:pPr>
    </w:p>
    <w:p w14:paraId="009489DB">
      <w:r>
        <w:t>[13] 中兴通讯. RealMirror: A comprehensive, open-source vision-language-action platform for embodied AI [C]. Proceedings of ICRA, 2026.</w:t>
      </w:r>
    </w:p>
    <w:p w14:paraId="3B6DCA3D">
      <w:pPr>
        <w:rPr>
          <w:rFonts w:hint="eastAsia"/>
        </w:rPr>
      </w:pPr>
    </w:p>
    <w:p w14:paraId="38A33AB1">
      <w:r>
        <w:t>[14] 智元机器人. Genie Sim 3.0一站式仿真开发平台 [EB/OL]. 2026.</w:t>
      </w:r>
    </w:p>
    <w:p w14:paraId="7FAB89D5">
      <w:pPr>
        <w:rPr>
          <w:rFonts w:hint="eastAsia"/>
        </w:rPr>
      </w:pPr>
    </w:p>
    <w:p w14:paraId="35C50513">
      <w:r>
        <w:t>[15] 智平方. 世界模型会取代VLA吗？2026权威技术路线深度辨析 [EB/OL]. 2026.</w:t>
      </w:r>
    </w:p>
    <w:p w14:paraId="2D3C87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7221E7"/>
    <w:rsid w:val="447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8"/>
    <w:qFormat/>
    <w:uiPriority w:val="0"/>
    <w:pPr>
      <w:keepNext/>
      <w:keepLines/>
      <w:spacing w:before="360" w:after="80" w:line="360" w:lineRule="auto"/>
      <w:jc w:val="center"/>
      <w:outlineLvl w:val="0"/>
    </w:pPr>
    <w:rPr>
      <w:rFonts w:eastAsia="黑体" w:asciiTheme="majorAscii" w:hAnsiTheme="majorAscii" w:cstheme="majorBidi"/>
      <w:color w:val="2E54A1" w:themeColor="accent1" w:themeShade="BF"/>
      <w:sz w:val="40"/>
      <w:szCs w:val="40"/>
    </w:rPr>
  </w:style>
  <w:style w:type="paragraph" w:styleId="4">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8">
    <w:name w:val="Heading 1 Char"/>
    <w:link w:val="2"/>
    <w:qFormat/>
    <w:uiPriority w:val="9"/>
    <w:rPr>
      <w:rFonts w:eastAsia="黑体" w:asciiTheme="majorAscii" w:hAnsiTheme="majorAscii" w:cstheme="majorBidi"/>
      <w:color w:val="2E54A1" w:themeColor="accent1" w:themeShade="BF"/>
      <w:sz w:val="40"/>
      <w:szCs w:val="40"/>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2026-05-13T02:10:00Z</dcterms:created>
  <dc:creator>admin</dc:creator>
  <cp:lastModifiedBy>Chenhe Zhu</cp:lastModifiedBy>
  <dcterms:modified xsi:type="dcterms:W3CDTF">2026-05-22T03:10:40Z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6C3C6F6219CC4EA48E9736C01866C618_12</vt:lpwstr>
  </property>
  <property fmtid="{D5CDD505-2E9C-101B-9397-08002B2CF9AE}" pid="4" name="KSOTemplateDocerSaveRecord">
    <vt:lpwstr>eyJoZGlkIjoiN2FjOWI4MjUzYmUzN2U2ODkxODE5YmI2YTk3ZDhmMzUiLCJ1c2VySWQiOiI1OTgyMjc4ODcifQ==</vt:lpwstr>
  </property>
</Properties>
</file>