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78F894">
      <w:pPr>
        <w:pStyle w:val="2"/>
        <w:ind w:firstLine="643"/>
      </w:pPr>
      <w:r>
        <w:t>从语言到行动：大模型技术发展综述</w:t>
      </w:r>
    </w:p>
    <w:p w14:paraId="625F411E">
      <w:pPr>
        <w:pStyle w:val="3"/>
        <w:numPr>
          <w:numId w:val="0"/>
        </w:numPr>
        <w:ind w:leftChars="200"/>
      </w:pPr>
      <w:r>
        <w:t>摘要</w:t>
      </w:r>
    </w:p>
    <w:p w14:paraId="7B5213B5">
      <w:pPr>
        <w:ind w:firstLine="440"/>
      </w:pPr>
      <w:r>
        <w:t>近年来，大模型技术经历了从“能说会道”到“能办事落地”的范式跃迁，正深刻重塑人工智能的发展格局。本文系统梳理了2023年至2026年大模型技术的演进脉络，从基础模型能力升级、关键技术突破、应用落地实践三个维度展开分析。研究表明，大模型技术正沿着“通用理解→逻辑推理→自主行动”的路径快速演进，多模态融合、推理能力深化、智能体架构创新构成了三大核心驱动力。在技术跃迁的同时，开源生态的崛起正在重塑全球竞争格局，中国大模型凭借算法创新与成本优势走出差异化路径。然而，算力成本高企、AI幻觉犹存、长程任务可靠性不足等问题仍是制约技术深化的关键挑战。本文认为，从“文本生成工具”到“自主任务执行系统”的转变，标志着大模型技术进入以智能体为核心的崭新阶段，为通用人工智能的探索提供了清晰的技术路径。</w:t>
      </w:r>
    </w:p>
    <w:p w14:paraId="16CAF19B">
      <w:pPr>
        <w:ind w:firstLine="440"/>
      </w:pPr>
      <w:r>
        <w:rPr>
          <w:b/>
          <w:bCs/>
        </w:rPr>
        <w:t>关键词</w:t>
      </w:r>
      <w:r>
        <w:t>：大模型；智能体；多模态；推理能力；开源生态；范式跃迁</w:t>
      </w:r>
    </w:p>
    <w:p w14:paraId="02A37BB0">
      <w:pPr>
        <w:ind w:firstLine="440"/>
      </w:pPr>
    </w:p>
    <w:p w14:paraId="54CCC123">
      <w:pPr>
        <w:pStyle w:val="3"/>
        <w:numPr>
          <w:numId w:val="2"/>
        </w:numPr>
        <w:ind w:firstLine="602"/>
      </w:pPr>
      <w:r>
        <w:t>引言</w:t>
      </w:r>
    </w:p>
    <w:p w14:paraId="4E1A5061">
      <w:pPr>
        <w:ind w:firstLine="440"/>
      </w:pPr>
      <w:r>
        <w:t>2022年末ChatGPT的横空出世，拉开了大模型技术引爆全球的序幕。短短三年多时间，这一领域经历了从技术探索到产业落地的惊人跨越。至2026年春天，人工智能领域迎来一个标志性的转折点——大模型正式告别以聊天对话为核心的应用模式，迈入以智能体（Agent）为核心的主动执行新阶段。这一转变被业界定义为“AI智能体技术规模化落地的元年”，其意义堪比互联网浏览器之于信息时代的革命性</w:t>
      </w:r>
      <w:r>
        <w:rPr>
          <w:rFonts w:hint="eastAsia"/>
        </w:rPr>
        <w:t>印象</w:t>
      </w:r>
      <w:r>
        <w:t>。</w:t>
      </w:r>
    </w:p>
    <w:p w14:paraId="628A82F6">
      <w:pPr>
        <w:ind w:firstLine="440"/>
      </w:pPr>
      <w:r>
        <w:t>这场范式跃迁并非偶然。它是大模型技术在算力、算法、数据三驾马车驱动下持续迭代的必然结果。从2023年GPT-4确立Transformer架构的统治地位，到2024年多模态模型实现文本、图像、视频的无缝融合，再到2025年推理模型赋予AI“慢思考”能力，直至2026年智能体技术从实验室走向规模化应用，大模型技术几乎以指数级的速度重塑着人工智能的边界。</w:t>
      </w:r>
    </w:p>
    <w:p w14:paraId="76CEFC84">
      <w:pPr>
        <w:ind w:firstLine="440"/>
      </w:pPr>
      <w:r>
        <w:t>在此背景下，对近年来大模型技术的发展进行系统梳理，不仅有助于把握技术演进的底层逻辑，更能为产业实践和未来研究提供有价值的参照框架。本文旨在回答三个核心问题：大模型技术经历了怎样的演进路径？当前技术发展的核心特征是什么？未来面临哪些关键挑战与发展方向？通过对这些问题的深入分析，</w:t>
      </w:r>
      <w:r>
        <w:rPr>
          <w:rFonts w:hint="eastAsia"/>
        </w:rPr>
        <w:t>。，</w:t>
      </w:r>
      <w:r>
        <w:t>本文力图勾勒出一幅清晰的大模型技术发展全景图。</w:t>
      </w:r>
    </w:p>
    <w:p w14:paraId="7DBA5C65">
      <w:pPr>
        <w:ind w:firstLine="440"/>
      </w:pPr>
    </w:p>
    <w:p w14:paraId="7177860D">
      <w:pPr>
        <w:pStyle w:val="3"/>
        <w:numPr>
          <w:numId w:val="2"/>
        </w:numPr>
        <w:ind w:firstLine="602"/>
      </w:pPr>
      <w:r>
        <w:t>大模型技术的演进脉络</w:t>
      </w:r>
    </w:p>
    <w:p w14:paraId="115E8834">
      <w:pPr>
        <w:pStyle w:val="4"/>
        <w:ind w:firstLine="480"/>
      </w:pPr>
      <w:r>
        <w:t>2.1 从通用理解到逻辑推理：能力跃迁的三阶段</w:t>
      </w:r>
    </w:p>
    <w:p w14:paraId="729BE085">
      <w:pPr>
        <w:ind w:firstLine="440"/>
      </w:pPr>
      <w:r>
        <w:t>大模型技术的发展可划分为三个清晰的阶段，每一阶段都标志着模型能力的质的飞跃。</w:t>
      </w:r>
    </w:p>
    <w:p w14:paraId="61013FE8">
      <w:pPr>
        <w:ind w:firstLine="440"/>
      </w:pPr>
      <w:r>
        <w:rPr>
          <w:b/>
          <w:bCs/>
        </w:rPr>
        <w:t>第一阶段（2023-2024）：通用理解能力的成熟。</w:t>
      </w:r>
      <w:r>
        <w:t> 这一阶段以大模型从“玩具”向“工具”的转变为特征。以GPT-4为代表的大模型展示了强大的语言理解与生成能力，在各类自然语言处理任务上达到甚至超越人类水平。与此同时，Claude系列凭借“宪法AI”的安全机制和超长上下文窗口，在长文本分析与文学创作领域占据一席之地；Go</w:t>
      </w:r>
      <w:r>
        <w:rPr>
          <w:rFonts w:hint="eastAsia"/>
        </w:rPr>
        <w:t>oo</w:t>
      </w:r>
      <w:r>
        <w:t>gle的Gemini则展示了原生多模态的潜力，打通了文本、图像与视频的理解壁垒。这一阶段的特征是“深度神经网络快速发展”，各大科技巨头通过增加参数量来提升模型能力，导致训练成本高企，最终形成少数头部企业主导的格局。</w:t>
      </w:r>
    </w:p>
    <w:p w14:paraId="33DF3C6C">
      <w:pPr>
        <w:ind w:firstLine="440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557270" cy="2757170"/>
            <wp:effectExtent l="0" t="0" r="5080" b="5080"/>
            <wp:docPr id="1" name="图片 1" descr="马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马车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727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91A59">
      <w:pPr>
        <w:pStyle w:val="11"/>
        <w:ind w:firstLine="440"/>
        <w:jc w:val="center"/>
        <w:rPr>
          <w:rFonts w:hint="default" w:eastAsia="黑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 xml:space="preserve"> 测试图片</w:t>
      </w:r>
    </w:p>
    <w:p w14:paraId="07FD8F36">
      <w:pPr>
        <w:ind w:firstLine="440"/>
      </w:pPr>
      <w:r>
        <w:rPr>
          <w:b/>
          <w:bCs/>
        </w:rPr>
        <w:t>第二阶段（2025）：推理能力的觉醒。</w:t>
      </w:r>
      <w:r>
        <w:t> 202</w:t>
      </w:r>
      <w:r>
        <w:rPr>
          <w:rFonts w:hint="eastAsia"/>
        </w:rPr>
        <w:t>3</w:t>
      </w:r>
      <w:r>
        <w:t>年成为大模型从“快思考”转向“慢思考”的分水岭。随着DeepSeek-R1等推理模型的发布，AI开始展现出类似人类“系统2”的慢思考能力——模型不再仅仅通过概率“猜测”下一个字，而是开始“推演”问题的逻辑闭环。这种推理能力的获得，主要得益于链式思维（Chain-of-Thought）、结构化推理数据、强化学习微调等技术的成熟。更重要的是，推理能力迅速从文本领域“外溢”至多模态领域，视觉推理成为可能：AI在生成图像时能够更好地理解物体之间的互动逻辑，减少了画面崩坏和物理悖论。</w:t>
      </w:r>
    </w:p>
    <w:p w14:paraId="256BBB9F">
      <w:pPr>
        <w:ind w:firstLine="440"/>
      </w:pPr>
      <w:r>
        <w:rPr>
          <w:b/>
          <w:bCs/>
        </w:rPr>
        <w:t>第三阶段（2026至今）：自行能力的突破。</w:t>
      </w:r>
      <w:r>
        <w:t> 2026年“春节档”成为这场范式跃迁的重要分水岭。国内科技公司如智谱、MiniMax、阶跃星辰、阿里巴巴、字节跳动、小米等企业陆续推出面向Agent需求的新一代基座模型，MoE架构、多模态融合、超长上下文理解功能几乎成为标配。模型评估标准也从“参数越大越好”转变为“运行越高效越好”，工具调用、结构化输出、长上下文理解、复杂推理正成为衡量大模型实力的核心标尺。正如小米MiMo大模型负责人罗福莉所言：“从Chat到Agent范式的转变发生得如此之快，甚至我们自己都几乎不敢相信。</w:t>
      </w:r>
    </w:p>
    <w:p w14:paraId="310994A9">
      <w:pPr>
        <w:pStyle w:val="4"/>
        <w:ind w:firstLine="480"/>
      </w:pPr>
      <w:r>
        <w:t>2.2 核心技术突破的多维图景</w:t>
      </w:r>
    </w:p>
    <w:p w14:paraId="5798DF53">
      <w:pPr>
        <w:ind w:firstLine="440"/>
      </w:pPr>
      <w:r>
        <w:t>在宏观演进脉络之下，大模型技术的突破呈现多维并发之势，其中多模态融合、推理能力深化、智能体架构创新构成了三大核心驱动力。</w:t>
      </w:r>
    </w:p>
    <w:p w14:paraId="1EBC5B61">
      <w:pPr>
        <w:ind w:firstLine="440"/>
      </w:pPr>
      <w:r>
        <w:rPr>
          <w:b/>
          <w:bCs/>
        </w:rPr>
        <w:t>多模态：从“文本为中心”走向“原生融合”。</w:t>
      </w:r>
      <w:r>
        <w:t> 早期多模态系统通常依赖文本作为中介，图像、音频等需要映射到文本语义空间进行处理。前沿大模型正转向原生多模态架构——模型在底层设计上就将图像、语音、文本乃至视频嵌入同一个共享的向量表示空间，从而实现模态间的自然对齐与无缝切换。2026年初，北京智源人工智能研究院主导的Emu3系列模型登上《N</w:t>
      </w:r>
      <w:r>
        <w:rPr>
          <w:rFonts w:hint="eastAsia"/>
        </w:rPr>
        <w:t>o</w:t>
      </w:r>
      <w:r>
        <w:t>ture》，展示了仅通过“预测下一个Token”这一单一目标实现跨模态理解与生成的颠覆性框架。Emu3摒弃了复杂的视觉编码器和扩散模型，回归Transformer最核心的自回归预测机制，将图像和视频高效压缩成离散的视觉Token序列，与文本Token平等输入同一模型进行处理。这一突破标志着多模态学习从“组件时代”迈向“统一时代”。</w:t>
      </w:r>
    </w:p>
    <w:p w14:paraId="3B0A651E">
      <w:pPr>
        <w:ind w:firstLine="440"/>
        <w:rPr>
          <w:rFonts w:hint="eastAsia"/>
        </w:rPr>
      </w:pPr>
      <w:r>
        <w:rPr>
          <w:b/>
          <w:bCs/>
        </w:rPr>
        <w:t>推理：从“回答问题”到“思考过程”。</w:t>
      </w:r>
      <w:r>
        <w:t> 如果说多模态拓展了模型的感知边界，推理能力则标志着其认知深度的跃升。现代大模型不仅在训练阶段学习“如何一步步思考”，更在推理阶段采用“延长思考时间”或“动态调用额外计算资源”的机制来提升判断能力。先进模型不仅“给出答案”，也“展示思考过程”，从而提升准确性、增强解释性，在数学证明、代码生成、科学推理等复杂任务中表现更佳。研究发现，Emu3等模型展现出清晰的缩放定律——性能随模型大小和训练数据量的增加呈现可预测的幂律增长，为大规模投入提供了明确的技术路线图</w:t>
      </w:r>
    </w:p>
    <w:p w14:paraId="18D5F150">
      <w:pPr>
        <w:ind w:firstLine="440"/>
      </w:pPr>
      <w:r>
        <w:rPr>
          <w:b/>
          <w:bCs/>
        </w:rPr>
        <w:t>上下文与记忆：让AI真正“认识你”。</w:t>
      </w:r>
      <w:r>
        <w:t> 传统AI对话是一次性的——用户提问，模型回答，会话结束即被遗忘。新一代模型通过支持超长上下文（如百万级T</w:t>
      </w:r>
      <w:r>
        <w:rPr>
          <w:rFonts w:hint="eastAsia"/>
        </w:rPr>
        <w:t>k</w:t>
      </w:r>
      <w:r>
        <w:t>ken）并结合外部记忆存储及检索机制，能够在多次交互中持续追踪用户身份、项目历史与个人偏好。这意味着AI不再是“不长记性的工具”，而是逐渐成为具备长期认知能力的数字伙伴。GPT-4.1引入的百万Token上下文窗口，使整个代码库或书籍在单次提示中成为可处理的对象。</w:t>
      </w:r>
    </w:p>
    <w:p w14:paraId="6297537E">
      <w:pPr>
        <w:pStyle w:val="4"/>
        <w:ind w:firstLine="480"/>
      </w:pPr>
      <w:r>
        <w:t>2.3 范式跃迁：从语言模型到智能体</w:t>
      </w:r>
    </w:p>
    <w:p w14:paraId="626AE2E9">
      <w:pPr>
        <w:ind w:firstLine="440"/>
      </w:pPr>
      <w:r>
        <w:t>上述技术突破的合力，最终推动了大模型从“语言模型”向“智能体”的范式跃迁。所谓智能体，是指具备“感知-规划-行动-反思”完整闭环的自主系统。这一转变的核心在于：大模型不再仅仅是文本生成工具，而是能够观察环境、做出决策、采取行动的任务执行系统。</w:t>
      </w:r>
    </w:p>
    <w:p w14:paraId="398FF231">
      <w:pPr>
        <w:ind w:firstLine="440"/>
      </w:pPr>
      <w:r>
        <w:t>从技术架构看，智能体系统的核心模块包括：感知模块（支持多渠道信息接入）、规划模块（适配不同任务的拆解逻辑）、行动模块（对接通用工具接口）、反思模块（实现错误识别与自动修正）。这些模块的标准化与模块化，使得智能体可以灵活组合适配不同场景。零代码/低代码开发工具如Coze、LangGaph、AutoGen的普及，进一步降低了智能体的开发门槛，使“无编程基础也能搭建专属智能体”成为现实。</w:t>
      </w:r>
    </w:p>
    <w:p w14:paraId="624B0AB4">
      <w:pPr>
        <w:ind w:firstLine="440"/>
      </w:pPr>
      <w:r>
        <w:t>从能力层次看，智能体系统呈现从单智能体到多智能体协同的演进路径。单智能体系统如Reflexion、Toolformer、ReAct展示了模型在决策循环中的潜力，但在动态环境中面临同步上下文追踪、外部记忆整合、自适应工具使用等挑战。多智能体系统通过多个LLM的协作——每个扮演不同角色、拥有特定目标——解决了单一智能体难以应对的复杂任务。MetaGPT、CAMEL、AgentBoard等框架展示了协作智能体如何执行角色特定指令、协调计划，而Generative Agents则模拟了交互环境中的人类行为。</w:t>
      </w:r>
    </w:p>
    <w:p w14:paraId="73E6917A">
      <w:pPr>
        <w:ind w:firstLine="440"/>
      </w:pPr>
      <w:r>
        <w:t>这一范式跃迁的产业意义深远。阿里巴巴集团CEO吴泳铭指出：“2026年这几个月，我们已经看到了非常明显的趋势，大模型开始具备完成复杂工作流的能力，越来越多的公司启用大模型产生的Agent，帮助人们完成端到端的工作任务。Token并不是IT预算，而是成为生产资料的一部分。”</w:t>
      </w:r>
    </w:p>
    <w:p w14:paraId="6F67D959">
      <w:pPr>
        <w:ind w:firstLine="440"/>
      </w:pPr>
    </w:p>
    <w:p w14:paraId="7E0A180D">
      <w:pPr>
        <w:pStyle w:val="3"/>
        <w:numPr>
          <w:numId w:val="2"/>
        </w:numPr>
        <w:ind w:firstLine="602"/>
      </w:pPr>
      <w:r>
        <w:t>智能体技术的兴起与应用</w:t>
      </w:r>
    </w:p>
    <w:p w14:paraId="64499A24">
      <w:pPr>
        <w:pStyle w:val="4"/>
        <w:ind w:firstLine="480"/>
      </w:pPr>
      <w:r>
        <w:t>3.1 智能体技术体系的成熟</w:t>
      </w:r>
    </w:p>
    <w:p w14:paraId="76AB34CF">
      <w:pPr>
        <w:ind w:firstLine="440"/>
      </w:pPr>
      <w:r>
        <w:t>2026年被定义为“AI智能体技术规模化落地元年”，其背后是大模型技术成熟、工具生态完善与产业需求爆发的三重驱动。</w:t>
      </w:r>
    </w:p>
    <w:p w14:paraId="2115F252">
      <w:pPr>
        <w:ind w:firstLine="440"/>
      </w:pPr>
      <w:r>
        <w:rPr>
          <w:b/>
          <w:bCs/>
        </w:rPr>
        <w:t>大模型能力的突破。</w:t>
      </w:r>
      <w:r>
        <w:t> 2023-2025年间，主流大模型的因果推理、步骤拆解能力较2024年提升70%以上，可完成复杂任务的层级化拆解，满足智能体“规划”环节的核心需求。多模态融合使智能体能够对接不同类型的外部数据与工具，实现文本、图像、语音、视频的无缝交互。参数效率优化使轻量化模型可在端侧运行，大幅降低开发与使用成本。</w:t>
      </w:r>
    </w:p>
    <w:p w14:paraId="61FDF6D9">
      <w:pPr>
        <w:ind w:firstLine="440"/>
      </w:pPr>
      <w:r>
        <w:rPr>
          <w:b/>
          <w:bCs/>
        </w:rPr>
        <w:t>技术体系的标准化。</w:t>
      </w:r>
      <w:r>
        <w:t> 智能体的“感知-规划-行动-反思”底层</w:t>
      </w:r>
      <w:r>
        <w:rPr>
          <w:rFonts w:hint="eastAsia"/>
        </w:rPr>
        <w:t xml:space="preserve">  </w:t>
      </w:r>
      <w:r>
        <w:t>闭环实现标准化、模块化，各模块可灵活组合适配不同场景。零代码/低代码工具的普及使开发门槛大幅降低，Coze、LangGraph等工具提供可视化配置、现成插件与模板，实现“无编程基础也能搭建专属智能体”。工具生态的互联互通使智能体可对接90%以上的主流办公、生产、运营工具，打破技术应用的场景壁垒。</w:t>
      </w:r>
    </w:p>
    <w:p w14:paraId="66F3D279">
      <w:pPr>
        <w:ind w:firstLine="440"/>
      </w:pPr>
      <w:r>
        <w:rPr>
          <w:b/>
          <w:bCs/>
        </w:rPr>
        <w:t>产业需求的爆发。</w:t>
      </w:r>
      <w:r>
        <w:t> 2025年以来，各行业从“AI技术尝鲜”转向“降本增效刚需”。企业端，中小企业对自动化、轻量化智能工具的需求激增，大型企业开始搭建专属智能体体系；个人端，职场人、创作者对个性化智能助手的需求覆盖办公、学习、创作、生活等多场景；政策端，多国出台AI产业扶持政策，为产业发展营造良好环境。</w:t>
      </w:r>
    </w:p>
    <w:p w14:paraId="32DE5E86">
      <w:pPr>
        <w:pStyle w:val="4"/>
        <w:ind w:firstLine="480"/>
      </w:pPr>
      <w:r>
        <w:t>3.2 核心应用领域全景</w:t>
      </w:r>
    </w:p>
    <w:p w14:paraId="17DD0A1B">
      <w:pPr>
        <w:ind w:firstLine="440"/>
      </w:pPr>
      <w:r>
        <w:t>智能体技术的落地呈现“通用能力打底，垂直场景深耕”的特征，在四大领域形成规模应用。</w:t>
      </w:r>
    </w:p>
    <w:p w14:paraId="15D975F8">
      <w:pPr>
        <w:ind w:firstLine="440"/>
      </w:pPr>
      <w:r>
        <w:rPr>
          <w:b/>
          <w:bCs/>
        </w:rPr>
        <w:t>企业服务领域：办公自动化与人机协同。</w:t>
      </w:r>
      <w:r>
        <w:t> 智能体成为企业数字化转型的核心工具，覆盖行政办公（考勤统计、周报生成、会议纪要）、销售运营（客户线索筛选、自动回复、数据分析）、人力资源（简历筛选、薪酬核算、培训答疑）等全流程。落地案例显示，某中小企业通过Coze搭建的销售智能体，实现客户咨询7×24小时自动回复，销售团队基础工作效率提升65%，人力成本降低30%。</w:t>
      </w:r>
    </w:p>
    <w:p w14:paraId="528F5B7F">
      <w:pPr>
        <w:ind w:firstLine="440"/>
      </w:pPr>
      <w:r>
        <w:rPr>
          <w:b/>
          <w:bCs/>
        </w:rPr>
        <w:t>产业制造领域：工业智能体赋能智能制造。</w:t>
      </w:r>
      <w:r>
        <w:t> 智能体与工业互联网、物联网技术结合，实现生产调度（自动制定生产计划、实时调整）、设备运维（实时监控、故障预警、维修方案提供）、质量检测（机器视觉质检、问题分析）的智能化升级。某中小型机械制造企业引入工业智能体后，设备故障预警准确率提升80%，产品不良率降低25%，生产效率提升40%。</w:t>
      </w:r>
    </w:p>
    <w:p w14:paraId="60B5FE03">
      <w:pPr>
        <w:ind w:firstLine="440"/>
      </w:pPr>
      <w:r>
        <w:rPr>
          <w:b/>
          <w:bCs/>
        </w:rPr>
        <w:t>民生服务领域：公共服务效率与体验双提升。</w:t>
      </w:r>
      <w:r>
        <w:t> 智能体在教育、医疗、政务、物流等领域落地。教育辅助智能体提供个性化学习答疑、笔记整理、作业批改；医疗辅助智能体为基层医疗机构提供常见病诊断答疑、病历整理，为患者提供就医指引。某地方政务服务中心上线政务智能体后，线上材料初审通过率提升75%，窗口业务平均时长缩短60%，群众办事满意度提升90%。</w:t>
      </w:r>
    </w:p>
    <w:p w14:paraId="40DEA1FD">
      <w:pPr>
        <w:ind w:firstLine="440"/>
      </w:pPr>
      <w:r>
        <w:rPr>
          <w:b/>
          <w:bCs/>
        </w:rPr>
        <w:t>个人端应用：全民化智能体成为数字分身。</w:t>
      </w:r>
      <w:r>
        <w:t> 个人智能体覆盖办公（文档整理、会议纪要、任务提醒）、学习创作（文献整理、内容创作初稿）、生活服务（日程规划、购物比价、出行规划）等场景，成为覆盖工作生活全场景的个人数字助手。</w:t>
      </w:r>
    </w:p>
    <w:p w14:paraId="37F94C24">
      <w:pPr>
        <w:pStyle w:val="4"/>
        <w:ind w:firstLine="480"/>
      </w:pPr>
      <w:r>
        <w:t>3.3 医疗健康领域的深度应用</w:t>
      </w:r>
    </w:p>
    <w:p w14:paraId="71EAC3C3">
      <w:pPr>
        <w:ind w:firstLine="440"/>
      </w:pPr>
      <w:r>
        <w:t>医疗健康领域成为大模型应用的重要阵地。一项涵盖2023年1月至2024年7月的系统综述显示，共有415研究评估了生成式大模型在医疗健康领域的应用，且2023年4月后相关文献呈现显著增长。</w:t>
      </w:r>
    </w:p>
    <w:p w14:paraId="56650301">
      <w:pPr>
        <w:ind w:firstLine="440"/>
      </w:pPr>
      <w:r>
        <w:t>从应用分布看，临床决策支持占比最高（26.7%），其次是患者信息提供（23.9%），专业教育与培训（18.1%）、研究辅助（16.1%）和工作流程支持（12.5%）也占有相当比例。这些应用主要依托三大自然语言处理任务：问答（36.1%）、文本分类（27.5%）和文本生成（26.3%）。在使用的98个大模型中，GPT-4（51.3%）、GPT-3.5（36.6%）和ChatGPT（22.4%）最为常见。</w:t>
      </w:r>
    </w:p>
    <w:p w14:paraId="7C311E3E">
      <w:pPr>
        <w:ind w:firstLine="440"/>
      </w:pPr>
      <w:r>
        <w:t>值得关注的是，直接提示（92.5%）是最主要的模型适配方法，而强化学习等更复杂的技术使用较少（仅1.4%）。这表明当前医疗领域的大模型应用仍处于相对初期的阶段，未来在模型优化和安全性评估方面仍有较大提升空间。准确性是最常评估的指标，而错误与安全性（9.4%）及时间效率（7.0%）的评估相对不足，提示未来需要建立更全面的评估体系。</w:t>
      </w:r>
    </w:p>
    <w:p w14:paraId="03622B69">
      <w:pPr>
        <w:ind w:firstLine="440"/>
      </w:pPr>
    </w:p>
    <w:p w14:paraId="68280A6C">
      <w:pPr>
        <w:pStyle w:val="3"/>
        <w:numPr>
          <w:numId w:val="2"/>
        </w:numPr>
        <w:ind w:firstLine="602"/>
      </w:pPr>
      <w:r>
        <w:t>开源生态与全球竞争格局</w:t>
      </w:r>
    </w:p>
    <w:p w14:paraId="6324C2AD">
      <w:pPr>
        <w:pStyle w:val="4"/>
        <w:ind w:firstLine="480"/>
      </w:pPr>
      <w:r>
        <w:t>4.1 开源的崛起：中国AI的战略突围</w:t>
      </w:r>
    </w:p>
    <w:p w14:paraId="144D40D7">
      <w:pPr>
        <w:ind w:firstLine="440"/>
      </w:pPr>
      <w:r>
        <w:t>2025年堪称中国大模型发展的“破局之年”，最具标志性的事件当属DeepSeek的横空出世。此前业界普遍认为中国会“先做应用，后攻模型”，但DeepSeek不仅提前完成了高性能基座大模型的构建，更在全球范围内率先以开源方式复现了具备“长链推理”能力的大模型。</w:t>
      </w:r>
    </w:p>
    <w:p w14:paraId="72BD3159">
      <w:pPr>
        <w:ind w:firstLine="440"/>
      </w:pPr>
      <w:r>
        <w:t>DeepSeek的技术突围具有双重意义。其一，通过混合专家架构（MoE）和多头潜在注意力机制（MLA），将训练成本和推理成本压缩到竞争对手的几分之一。其二，采取类似Meta Llama的开源策略（MIT协议），使大量中国文化科技公司能够基于其基座模型进行垂直领域的微调。阅文集团可基于此训练懂“网文梗”的写作模型，游戏公司可训练懂“金庸武侠”的NPC对话模型——这种“低成本，长推理”的范式迅速引爆开发者社区。</w:t>
      </w:r>
    </w:p>
    <w:p w14:paraId="5F1B1AD7">
      <w:pPr>
        <w:ind w:firstLine="440"/>
      </w:pPr>
      <w:r>
        <w:t>开源对中国而言远不止是技术选择，更是一种系统性战略。一方面，由于外部闭源模型难以大规模进入中国市场，本土开源模型天然获得了广阔的应用试验场。B端企业更愿意采用开源方案，其可微调、可审计、可定制的特性，正契合对数据安全与技术自主的迫切需求。另一方面，开源激活了中国庞大的工程师红利。在算力受限的现实约束下，国家可将有限资源集中于少数优质开源模型（如DeepSeek、Qwen），实现算力、数据与人才的高效协同。</w:t>
      </w:r>
    </w:p>
    <w:p w14:paraId="2DE19F85">
      <w:pPr>
        <w:pStyle w:val="4"/>
        <w:ind w:firstLine="480"/>
      </w:pPr>
      <w:r>
        <w:t>4.2 全球格局重塑：从“双核驱动”到“中国领先”</w:t>
      </w:r>
    </w:p>
    <w:p w14:paraId="43B17CFE">
      <w:pPr>
        <w:ind w:firstLine="440"/>
      </w:pPr>
      <w:r>
        <w:t>当前全球大模型发展呈现“双核驱动”态势——美国与中国成为推动人工智能发展的两大核心力量。从技术路径看，闭源与开源并行推进：闭源大模型由科技巨头主导（以OpenAI为代表），强调性能领先与商业变现；开源大模型则以DeepSeek为代表，依托社区协作与生态共建，近年来展现出强大的生命力。</w:t>
      </w:r>
    </w:p>
    <w:p w14:paraId="0B1507A6">
      <w:pPr>
        <w:ind w:firstLine="440"/>
      </w:pPr>
      <w:r>
        <w:t>2026年，中国</w:t>
      </w:r>
      <w:r>
        <w:rPr>
          <w:rFonts w:hint="eastAsia"/>
        </w:rPr>
        <w:t>d</w:t>
      </w:r>
      <w:r>
        <w:t>模型在全球舞台迎来高光时刻。国家数据局局长刘烈宏介绍，2026年3月，中国日均Token调用量已突破140万亿，两年增长超千倍。OpenRouter最新数据显示，截至3月23日，在调用量居前十位的AI大模型中，中国AI大模型的周调用量为7.359万亿Token，较此前一周上涨56.9%；美国AI大模型周调用量为3.536万亿Token，环比上涨7.35%。中国AI大模型周调用量连续三周超越美国，调用量排名前四的均为中国国产大模型。工业和信息化部部长李乐成表示：“去年，中国企业推出的开源大模型下载量全球第一，大幅度降低了AI的使用门槛。”</w:t>
      </w:r>
    </w:p>
    <w:p w14:paraId="40D329F2">
      <w:pPr>
        <w:pStyle w:val="4"/>
        <w:ind w:firstLine="480"/>
      </w:pPr>
      <w:r>
        <w:t>4.3 商业化路径与Token经济</w:t>
      </w:r>
    </w:p>
    <w:p w14:paraId="7FFCFD0E">
      <w:pPr>
        <w:ind w:firstLine="440"/>
      </w:pPr>
      <w:r>
        <w:t>随着智能</w:t>
      </w:r>
      <w:r>
        <w:rPr>
          <w:rFonts w:hint="eastAsia"/>
        </w:rPr>
        <w:t>能</w:t>
      </w:r>
      <w:r>
        <w:t>应用的推广，Token（词元）成为衡量AI价值的核心锚点。智谱、阶跃星辰、MiniMax等大模型厂商围绕Agent和Token经济展开优化布局，进一步促进AI接入，触发长尾效应。</w:t>
      </w:r>
    </w:p>
    <w:p w14:paraId="2785019E">
      <w:pPr>
        <w:ind w:firstLine="440"/>
      </w:pPr>
      <w:r>
        <w:t>商业化进程显著提速。MiniMax创始闫俊杰透露，2026年2月，公司年度经常性收入已超过1.5亿美元；面向企业客户和个人开发者的开放平台产品，当月新注册用户数达到2025年12月的4倍以上。他认为：“当智能边界被突破时，大量新场景和新用户会被催生出来，将进一步形成新的生态与新的商业化红利。”</w:t>
      </w:r>
    </w:p>
    <w:p w14:paraId="349BC3DF">
      <w:pPr>
        <w:ind w:firstLine="440"/>
      </w:pPr>
      <w:r>
        <w:t>上海国投董事长袁国华指出，中国大模型在技术上与美国有相似之处，但在商业模式、应用场景和数据来源上均具有自身特色：“我们拥有丰富的应用场景、庞大的端侧设备和快速增长的高质量数据，能够为AI发展提供独特的土壤。”</w:t>
      </w:r>
    </w:p>
    <w:p w14:paraId="56B601B3">
      <w:pPr>
        <w:ind w:firstLine="440"/>
      </w:pPr>
    </w:p>
    <w:p w14:paraId="1F6C1901">
      <w:pPr>
        <w:pStyle w:val="3"/>
        <w:numPr>
          <w:numId w:val="2"/>
        </w:numPr>
        <w:ind w:firstLine="602"/>
      </w:pPr>
      <w:r>
        <w:t>挑战与未来方向</w:t>
      </w:r>
    </w:p>
    <w:p w14:paraId="11080133">
      <w:pPr>
        <w:pStyle w:val="4"/>
        <w:ind w:firstLine="480"/>
      </w:pPr>
      <w:r>
        <w:t>5.1 技术挑战：幻觉、成本与可靠性</w:t>
      </w:r>
    </w:p>
    <w:p w14:paraId="7B22C017">
      <w:pPr>
        <w:ind w:firstLine="440"/>
      </w:pPr>
      <w:r>
        <w:t>尽管大模型技术突飞猛进，但深层挑战也随之浮现。中国工程院院士邓中翰指出：“基于统计概率的大模型仍然存在‘幻觉’悖论，而冗余计算带来的高功耗，更是让大模型商业化落地面临成本考验。”</w:t>
      </w:r>
    </w:p>
    <w:p w14:paraId="7F3025E4">
      <w:pPr>
        <w:ind w:firstLine="440"/>
      </w:pPr>
      <w:r>
        <w:rPr>
          <w:b/>
          <w:bCs/>
        </w:rPr>
        <w:t>AI幻觉问题。</w:t>
      </w:r>
      <w:r>
        <w:t> 幻觉是指模型生成连贯自信但事实错误的内容，这一问题在大模型中尤为突出。幻觉不是随规模增大而消失的零星故障，而是现有训练和评估体系的内在涌现行为——当模型主要被优化为产生听起来正确的答案时，它们会被隐性奖励为自信猜测而非校准性不确定性。在临床决策支持、法律和金融等高风险场景，幻觉可能带来严重后果。</w:t>
      </w:r>
    </w:p>
    <w:p w14:paraId="752A9FA0">
      <w:pPr>
        <w:ind w:firstLine="440"/>
      </w:pPr>
      <w:r>
        <w:rPr>
          <w:b/>
          <w:bCs/>
        </w:rPr>
        <w:t>检索增强生成（RAG）成为应对幻觉的核心技术路径。</w:t>
      </w:r>
      <w:r>
        <w:t> RAG通过将生成过程与可验证的最新证据紧密耦合，解决了依赖参数化记忆的局限。现代RAG架构已从基础的向量检索发展到包含索引、检索、融合、生成四阶的统一框架。从向量RAG到图RAG的多跳推理能力，再到智能体RAG、多模态RAG等新兴范式的演进，RAG正成为构建可追溯、可审计AI系统的成熟设计模式。</w:t>
      </w:r>
    </w:p>
    <w:p w14:paraId="7F3AAA71">
      <w:pPr>
        <w:ind w:firstLine="440"/>
      </w:pPr>
      <w:r>
        <w:rPr>
          <w:b/>
          <w:bCs/>
        </w:rPr>
        <w:t>算力成本与推理效率。</w:t>
      </w:r>
      <w:r>
        <w:t> 尽管DeepSeek等模型通过算法创新大幅压缩了成本，但大模型训练与推理的高昂成本仍是规模化落地的核心障碍。朴素的自回归解码过程是串行的，限制了生成速度。端侧模型虽可降低云端依赖，但其能力与云端模型仍有差距。沐曦股份等企业正致力于“从底层重构Token的成本结构与智能密度”，通过异构计算架构、内存子系统优化以及稀疏计算范式，降低每个Token的成本。</w:t>
      </w:r>
    </w:p>
    <w:p w14:paraId="08A9B1DB">
      <w:pPr>
        <w:ind w:firstLine="440"/>
      </w:pPr>
      <w:r>
        <w:rPr>
          <w:b/>
          <w:bCs/>
        </w:rPr>
        <w:t>长程任务可靠性。</w:t>
      </w:r>
      <w:r>
        <w:t> 智能体在执行复杂、多步骤任务时，仍面临任务执行误差、多工具协同衔接、错误识别与修正精准度不足等问题。长上下文与记忆机制的引入虽提升了任务连续性，但如何确保模型在长时间交互中的稳定性和一致性，仍是亟待解决的技术难题。</w:t>
      </w:r>
    </w:p>
    <w:p w14:paraId="7118DB53">
      <w:pPr>
        <w:pStyle w:val="4"/>
        <w:ind w:firstLine="480"/>
      </w:pPr>
      <w:r>
        <w:t>5.2 未来研究方向</w:t>
      </w:r>
    </w:p>
    <w:p w14:paraId="61A2E4E7">
      <w:pPr>
        <w:ind w:firstLine="440"/>
      </w:pPr>
      <w:r>
        <w:t>基于当前技术瓶颈与产业需求，学术界和产业界已勾勒出清晰的未来研究方向。</w:t>
      </w:r>
    </w:p>
    <w:p w14:paraId="41346588">
      <w:pPr>
        <w:ind w:firstLine="440"/>
      </w:pPr>
      <w:r>
        <w:rPr>
          <w:b/>
          <w:bCs/>
        </w:rPr>
        <w:t>统一的下一代多模态架构。</w:t>
      </w:r>
      <w:r>
        <w:t> Emu3的研究为通用人工智能提供了重要启示：统一是关键。一个简洁、可扩展、且遵循清晰缩放定律的统一框架，远比复杂组件的拼接更具潜力。将世界万物（文本、图像、视频、声音、动作）表示为离散的Token，并用强大的Transformer进行自回归预测，有望构建理解并与物理世界互动的通用智能体。未来研究需进一步提升Tokenizer的压缩重建质量，优化推理效率，扩展至超长视频等复杂场景。</w:t>
      </w:r>
    </w:p>
    <w:p w14:paraId="1227F6AA">
      <w:pPr>
        <w:ind w:firstLine="440"/>
      </w:pPr>
      <w:r>
        <w:rPr>
          <w:b/>
          <w:bCs/>
        </w:rPr>
        <w:t>智能体能力的深化与泛化。</w:t>
      </w:r>
      <w:r>
        <w:t> 现有研究对LLM智能体的架构、工具使用、记忆机制等进行了系统梳理，识别出可验证推理、自我提升能力、个性化智能体等关键发现。未来研究需解决智能体的可泛化性——使其在不同领域和任务间迁移时保持稳定性能。多智能体系统的协同机制、共识构建、不确定性感知规划等方向值得深入探索。</w:t>
      </w:r>
    </w:p>
    <w:p w14:paraId="222E8C96">
      <w:pPr>
        <w:ind w:firstLine="440"/>
      </w:pPr>
      <w:r>
        <w:rPr>
          <w:b/>
          <w:bCs/>
        </w:rPr>
        <w:t>端侧智能与云边协同。</w:t>
      </w:r>
      <w:r>
        <w:t> 端侧模型是2025年“模型落地”的重要战场。端侧推理不是简单的应用层功能，而是模型形态分层的结果。在云端训练日益昂贵、推理成本居高不下、电力与数据中心扩容受限的背景下，一部分推理能力正迁移到设备端执行。端侧模型通常以几亿到数十亿参数量级为主，实现低延迟响应、隐私保护，且运行成本几乎可忽略不计。未来“云-端协同”的多尺寸结构将成为主流：云端负责复杂推理和跨任务协作，端侧处理即时任务和近场感知</w:t>
      </w:r>
      <w:r>
        <w:rPr>
          <w:rFonts w:hint="eastAsia"/>
        </w:rPr>
        <w:t>.</w:t>
      </w:r>
    </w:p>
    <w:p w14:paraId="6ED40C23">
      <w:pPr>
        <w:ind w:firstLine="440"/>
      </w:pPr>
      <w:r>
        <w:rPr>
          <w:b/>
          <w:bCs/>
        </w:rPr>
        <w:t>安</w:t>
      </w:r>
      <w:r>
        <w:rPr>
          <w:rFonts w:hint="eastAsia"/>
          <w:b/>
          <w:bCs/>
        </w:rPr>
        <w:t>安</w:t>
      </w:r>
      <w:r>
        <w:rPr>
          <w:b/>
          <w:bCs/>
        </w:rPr>
        <w:t>全与对齐。</w:t>
      </w:r>
      <w:r>
        <w:t> 随着智能体获得更广泛的自主权，安全与对齐问题愈发紧迫。中国信通院专家提示：“广大用户在使用AI智能体过程中，一定要把安全底线把握在自己手中，详细了解并落实安全配置规范要求，养成安全使用习惯。”未来研究需建立更严格的评估标准，特别是在错误与安全性、时间效率等当前评估不足的维度。从宪法AI到人类偏好对齐，再到可验证的推理机制，安全技术将与能力提升同步演进。</w:t>
      </w:r>
      <w:r>
        <w:rPr>
          <w:rFonts w:hint="eastAsia"/>
        </w:rPr>
        <w:t>.</w:t>
      </w:r>
    </w:p>
    <w:p w14:paraId="57E29D04">
      <w:pPr>
        <w:ind w:firstLine="440"/>
      </w:pPr>
    </w:p>
    <w:p w14:paraId="2BAE7780">
      <w:pPr>
        <w:pStyle w:val="3"/>
        <w:bidi w:val="0"/>
      </w:pPr>
      <w:bookmarkStart w:id="0" w:name="_GoBack"/>
      <w:bookmarkEnd w:id="0"/>
      <w:r>
        <w:t>结论</w:t>
      </w:r>
    </w:p>
    <w:p w14:paraId="5F2B2331">
      <w:pPr>
        <w:ind w:firstLine="440"/>
      </w:pPr>
      <w:r>
        <w:t>回顾2023年至2026年大模型技术的发展历程，一条清晰的主线贯穿始终：从语言模型到智能体，从文本生成到自主执行。这一范式跃迁并非一蹴而就，而是大模型技术在推理能力、多模态融合、上下文记忆等多个维度持续突破的必然结果。</w:t>
      </w:r>
    </w:p>
    <w:p w14:paraId="14F209C3">
      <w:pPr>
        <w:ind w:firstLine="440"/>
      </w:pPr>
      <w:r>
        <w:t>技术演进的轨迹呈现出清晰的阶段性特征：2023-2024年是大模型“通用理解”能力成熟的阶段，Transformer架构确立统治地位，多模态突破使模型能够“看懂”世界；2025年是“推理能力”觉醒的分水岭，慢思考赋予模型逻辑推演能力；2026年则标志着“智能体时代”的真正开启，模型从“能说会道”转向“能办事落地”。这一演进路径印证了人工智能从感知智能向认知智能、从分析智能向行动智能的深层跃迁。</w:t>
      </w:r>
    </w:p>
    <w:p w14:paraId="246D3417">
      <w:pPr>
        <w:ind w:firstLine="440"/>
      </w:pPr>
      <w:r>
        <w:t>在技术突破的同时，全球产业格局正在重塑。开源生态的崛起使中国大模型走出差异化路径——以DeepSeek为代表的创新者通过算法优化和成本控制，在受限算力条件下训练出世界级模型，并以开源方式推动全球开发者社区的协同创新。2026年，中国AI大模型周调用量连续超越美国，开源模型下载量全球第一，标志着中国AI产业正站在全球格局重塑的关键节点。</w:t>
      </w:r>
    </w:p>
    <w:p w14:paraId="0C741D51">
      <w:pPr>
        <w:ind w:firstLine="440"/>
      </w:pPr>
      <w:r>
        <w:t>然而，挑战与机遇并存。AI幻觉、算力成本、长程任务可靠性等问题仍是制约技术深化的关键阻碍。检索增强生成、端侧模型、统一多模态架构等技术的持续创新，正在为这些问题提供解决方案。面向未来，从“大模型”到“AI+”的转变，意味着技术必须从实验室走向千行百业的场景融合，向更务实、更可控、更普惠的方向演进。</w:t>
      </w:r>
    </w:p>
    <w:p w14:paraId="5D95606D">
      <w:pPr>
        <w:ind w:firstLine="440"/>
      </w:pPr>
      <w:r>
        <w:t>正如“十五五”规划纲要所提出的，鼓励多模态、智能体、具身智能、群体智能等技术创新，探索通用人工智能发展路径。站在2026年这一关键节点回望，大模型技术已经走过了从技术探索到产业落地的关键十年；展望未来，当智能真正成为触手可及的生产力，一个更加广阔的增长空间正在徐徐展开。</w:t>
      </w:r>
    </w:p>
    <w:p w14:paraId="46A111AF">
      <w:pPr>
        <w:ind w:firstLine="440"/>
      </w:pPr>
    </w:p>
    <w:p w14:paraId="2C30497B">
      <w:pPr>
        <w:ind w:firstLine="440"/>
        <w:rPr>
          <w:b/>
          <w:bCs/>
        </w:rPr>
      </w:pPr>
      <w:r>
        <w:rPr>
          <w:b/>
          <w:bCs/>
        </w:rPr>
        <w:t>参考文献</w:t>
      </w:r>
    </w:p>
    <w:p w14:paraId="537FC488">
      <w:pPr>
        <w:ind w:firstLine="440"/>
      </w:pPr>
      <w:r>
        <w:t>[1] From language to action: a review of large language models as autonomous agents and tool users. Artificial Intelligence Review, 59, 71 (2026). </w:t>
      </w:r>
    </w:p>
    <w:p w14:paraId="67A36EDE">
      <w:pPr>
        <w:ind w:firstLine="440"/>
      </w:pPr>
      <w:r>
        <w:t>[2] 2026AI元年：智能体技术落地与产业应用变革白皮书. 阿里云开发者社区, 2026-01-22. </w:t>
      </w:r>
    </w:p>
    <w:p w14:paraId="03E13636">
      <w:pPr>
        <w:ind w:firstLine="440"/>
      </w:pPr>
      <w:r>
        <w:t>[3] 智能经济打开广阔发展空间. 中国证券报, 2026-03-25. </w:t>
      </w:r>
    </w:p>
    <w:p w14:paraId="71E956E2">
      <w:pPr>
        <w:ind w:firstLine="440"/>
      </w:pPr>
      <w:r>
        <w:t>[4] 美美与共：2026 AI赋能文化产业发展报告. 北京大学文化产业研究院, 2026-02-17. </w:t>
      </w:r>
    </w:p>
    <w:p w14:paraId="1FB70ED2">
      <w:pPr>
        <w:ind w:firstLine="440"/>
      </w:pPr>
      <w:r>
        <w:t>[5] Wang, X., Cui, Y., Wang, J. et al. Multimodal learning with next-token prediction for large multimodal models. Nature, 2026. </w:t>
      </w:r>
    </w:p>
    <w:p w14:paraId="4CC0455C">
      <w:pPr>
        <w:ind w:firstLine="440"/>
      </w:pPr>
      <w:r>
        <w:t>[6] Zhang, Z., et al. Advancing healthcare with large language models: A scoping review of applications and future directions. International Journal of Medical Informatics, 208, 106231 (2026). </w:t>
      </w:r>
    </w:p>
    <w:p w14:paraId="0731C7AC">
      <w:pPr>
        <w:ind w:firstLine="440"/>
      </w:pPr>
      <w:r>
        <w:t>[7] AI大模型迎范式跃迁，智能经济打开广阔发展空间. 新浪财经, 2026-03-25. </w:t>
      </w:r>
    </w:p>
    <w:p w14:paraId="1BC5BE85">
      <w:pPr>
        <w:ind w:firstLine="440"/>
      </w:pPr>
      <w:r>
        <w:t>[8] 展望2026，AI行业有哪些创新机会？ CBNData-第一财经商业数据中心, 2025-11-28. </w:t>
      </w:r>
    </w:p>
    <w:p w14:paraId="0C2AAE2A">
      <w:pPr>
        <w:ind w:firstLine="440"/>
      </w:pPr>
      <w:r>
        <w:t>[9] From vectors to knowledge graphs: A comprehensive analysis of modern retrieval-augmented generation architectures. Computer Science Review, 61, 100925 (2026). </w:t>
      </w:r>
    </w:p>
    <w:p w14:paraId="437E2A52">
      <w:pPr>
        <w:ind w:firstLine="44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40"/>
      </w:pPr>
      <w:r>
        <w:separator/>
      </w:r>
    </w:p>
  </w:endnote>
  <w:endnote w:type="continuationSeparator" w:id="1">
    <w:p>
      <w:pPr>
        <w:spacing w:line="240" w:lineRule="auto"/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+西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  <w:ind w:firstLine="440"/>
      </w:pPr>
      <w:r>
        <w:separator/>
      </w:r>
    </w:p>
  </w:footnote>
  <w:footnote w:type="continuationSeparator" w:id="1">
    <w:p>
      <w:pPr>
        <w:spacing w:before="0" w:after="0" w:line="278" w:lineRule="auto"/>
        <w:ind w:firstLine="44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8251D3"/>
    <w:multiLevelType w:val="singleLevel"/>
    <w:tmpl w:val="088251D3"/>
    <w:lvl w:ilvl="0" w:tentative="0">
      <w:start w:val="1"/>
      <w:numFmt w:val="chineseCounting"/>
      <w:pStyle w:val="3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0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915"/>
    <w:rsid w:val="001166D3"/>
    <w:rsid w:val="00224E40"/>
    <w:rsid w:val="00250C02"/>
    <w:rsid w:val="00255FD2"/>
    <w:rsid w:val="00292915"/>
    <w:rsid w:val="00394F3C"/>
    <w:rsid w:val="003F5C25"/>
    <w:rsid w:val="00423195"/>
    <w:rsid w:val="004671EC"/>
    <w:rsid w:val="00490746"/>
    <w:rsid w:val="00554382"/>
    <w:rsid w:val="005665E0"/>
    <w:rsid w:val="005944A0"/>
    <w:rsid w:val="00660C36"/>
    <w:rsid w:val="00696AC1"/>
    <w:rsid w:val="007A72A4"/>
    <w:rsid w:val="007C35B1"/>
    <w:rsid w:val="007D3A9D"/>
    <w:rsid w:val="007D5E92"/>
    <w:rsid w:val="00840701"/>
    <w:rsid w:val="0085369F"/>
    <w:rsid w:val="00887512"/>
    <w:rsid w:val="00940819"/>
    <w:rsid w:val="00AD35BD"/>
    <w:rsid w:val="00B05962"/>
    <w:rsid w:val="00B61940"/>
    <w:rsid w:val="00C51A9A"/>
    <w:rsid w:val="00CD503C"/>
    <w:rsid w:val="00D232B1"/>
    <w:rsid w:val="00DA260D"/>
    <w:rsid w:val="00F7266F"/>
    <w:rsid w:val="15977EAF"/>
    <w:rsid w:val="2D0179E6"/>
    <w:rsid w:val="50093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  <w:ind w:firstLine="200" w:firstLineChars="200"/>
    </w:pPr>
    <w:rPr>
      <w:rFonts w:eastAsia="宋体" w:asciiTheme="minorAscii" w:hAnsiTheme="minorAscii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pBdr>
        <w:top w:val="dotted" w:color="auto" w:sz="4" w:space="1"/>
        <w:left w:val="dotted" w:color="auto" w:sz="4" w:space="4"/>
        <w:bottom w:val="dotted" w:color="auto" w:sz="4" w:space="1"/>
        <w:right w:val="dotted" w:color="auto" w:sz="4" w:space="4"/>
      </w:pBdr>
      <w:spacing w:before="480" w:after="80" w:line="360" w:lineRule="auto"/>
      <w:jc w:val="center"/>
      <w:outlineLvl w:val="0"/>
    </w:pPr>
    <w:rPr>
      <w:rFonts w:eastAsia="楷体" w:asciiTheme="majorAscii" w:hAnsiTheme="majorAscii" w:cstheme="majorBidi"/>
      <w:b/>
      <w:sz w:val="44"/>
      <w:szCs w:val="48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numPr>
        <w:ilvl w:val="0"/>
        <w:numId w:val="1"/>
      </w:numPr>
      <w:spacing w:before="160" w:after="80"/>
      <w:outlineLvl w:val="1"/>
    </w:pPr>
    <w:rPr>
      <w:rFonts w:eastAsia="微软雅黑" w:asciiTheme="majorAscii" w:hAnsiTheme="majorAscii" w:cstheme="majorBidi"/>
      <w:b/>
      <w:i/>
      <w:sz w:val="30"/>
      <w:szCs w:val="40"/>
    </w:rPr>
  </w:style>
  <w:style w:type="paragraph" w:styleId="4">
    <w:name w:val="heading 3"/>
    <w:basedOn w:val="1"/>
    <w:next w:val="1"/>
    <w:link w:val="18"/>
    <w:unhideWhenUsed/>
    <w:qFormat/>
    <w:uiPriority w:val="9"/>
    <w:pPr>
      <w:keepNext/>
      <w:keepLines/>
      <w:spacing w:before="160" w:after="80"/>
      <w:outlineLvl w:val="2"/>
    </w:pPr>
    <w:rPr>
      <w:rFonts w:eastAsia="黑体" w:asciiTheme="majorHAnsi" w:hAnsiTheme="majorHAnsi" w:cstheme="majorBidi"/>
      <w:color w:val="000000" w:themeColor="text1"/>
      <w:sz w:val="24"/>
      <w:szCs w:val="32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12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5"/>
    <w:link w:val="2"/>
    <w:qFormat/>
    <w:uiPriority w:val="9"/>
    <w:rPr>
      <w:rFonts w:eastAsia="楷体" w:asciiTheme="majorAscii" w:hAnsiTheme="majorAscii" w:cstheme="majorBidi"/>
      <w:b/>
      <w:sz w:val="44"/>
      <w:szCs w:val="48"/>
    </w:rPr>
  </w:style>
  <w:style w:type="character" w:customStyle="1" w:styleId="17">
    <w:name w:val="标题 2 字符"/>
    <w:basedOn w:val="15"/>
    <w:link w:val="3"/>
    <w:qFormat/>
    <w:uiPriority w:val="9"/>
    <w:rPr>
      <w:rFonts w:eastAsia="微软雅黑" w:asciiTheme="majorAscii" w:hAnsiTheme="majorAscii" w:cstheme="majorBidi"/>
      <w:b/>
      <w:i/>
      <w:sz w:val="30"/>
      <w:szCs w:val="40"/>
    </w:rPr>
  </w:style>
  <w:style w:type="character" w:customStyle="1" w:styleId="18">
    <w:name w:val="标题 3 字符"/>
    <w:basedOn w:val="15"/>
    <w:link w:val="4"/>
    <w:qFormat/>
    <w:uiPriority w:val="9"/>
    <w:rPr>
      <w:rFonts w:eastAsia="黑体" w:asciiTheme="majorHAnsi" w:hAnsiTheme="majorHAnsi" w:cstheme="majorBidi"/>
      <w:color w:val="000000" w:themeColor="text1"/>
      <w:sz w:val="24"/>
      <w:szCs w:val="32"/>
      <w14:textFill>
        <w14:solidFill>
          <w14:schemeClr w14:val="tx1"/>
        </w14:solidFill>
      </w14:textFill>
    </w:rPr>
  </w:style>
  <w:style w:type="character" w:customStyle="1" w:styleId="19">
    <w:name w:val="标题 4 字符"/>
    <w:basedOn w:val="15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1">
    <w:name w:val="标题 6 字符"/>
    <w:basedOn w:val="15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2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2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明显引用 字符"/>
    <w:basedOn w:val="15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8269</Words>
  <Characters>9513</Characters>
  <Lines>69</Lines>
  <Paragraphs>19</Paragraphs>
  <TotalTime>262</TotalTime>
  <ScaleCrop>false</ScaleCrop>
  <LinksUpToDate>false</LinksUpToDate>
  <CharactersWithSpaces>9662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2026-03-26T14:20:00Z</dcterms:created>
  <dc:creator>Chenhe Zhu</dc:creator>
  <cp:lastModifiedBy>Chenhe Zhu</cp:lastModifiedBy>
  <dcterms:modified xsi:type="dcterms:W3CDTF">2026-05-22T07:11:52Z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eyJoZGlkIjoiN2FjOWI4MjUzYmUzN2U2ODkxODE5YmI2YTk3ZDhmMzUiLCJ1c2VySWQiOiI1OTgyMjc4ODcifQ==</vt:lpwstr>
  </property>
  <property fmtid="{D5CDD505-2E9C-101B-9397-08002B2CF9AE}" pid="3" name="KSOProductBuildVer">
    <vt:lpwstr>2052-12.1.0.26373</vt:lpwstr>
  </property>
  <property fmtid="{D5CDD505-2E9C-101B-9397-08002B2CF9AE}" pid="4" name="ICV">
    <vt:lpwstr>BB461B9FFE0644B38A9CFF410E1DF54E_12</vt:lpwstr>
  </property>
</Properties>
</file>