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5F6368"/>
          <w:sz w:val="24"/>
        </w:rPr>
        <w:t>White Paper</w:t>
      </w:r>
    </w:p>
    <w:p>
      <w:pPr>
        <w:pStyle w:val="Title"/>
        <w:jc w:val="center"/>
      </w:pPr>
      <w:r>
        <w:t>On-chain Agent Identity, Authority,</w:t>
        <w:br/>
        <w:t>Account Opening, and Payment Base Layer</w:t>
      </w:r>
    </w:p>
    <w:p>
      <w:pPr>
        <w:pStyle w:val="Subtitle"/>
        <w:jc w:val="center"/>
      </w:pPr>
      <w:r>
        <w:t>A technical blueprint for launching an agent-first financial identity stack</w:t>
      </w:r>
    </w:p>
    <w:tbl>
      <w:tblPr>
        <w:tblW w:type="auto" w:w="0"/>
        <w:jc w:val="center"/>
        <w:tblLayout w:type="fixed"/>
        <w:tblLook w:firstColumn="1" w:firstRow="1" w:lastColumn="0" w:lastRow="0" w:noHBand="0" w:noVBand="1" w:val="04A0"/>
      </w:tblPr>
      <w:tblGrid>
        <w:gridCol w:w="4873"/>
        <w:gridCol w:w="4873"/>
      </w:tblGrid>
      <w:tr>
        <w:tc>
          <w:tcPr>
            <w:tcW w:type="dxa" w:w="2381"/>
            <w:vAlign w:val="center"/>
            <w:tcBorders>
              <w:left w:val="single" w:sz="8" w:color="D9E2F2"/>
              <w:top w:val="single" w:sz="8" w:color="D9E2F2"/>
              <w:right w:val="single" w:sz="8" w:color="D9E2F2"/>
              <w:bottom w:val="single" w:sz="8" w:color="D9E2F2"/>
            </w:tcBorders>
            <w:shd w:fill="F4F7FB"/>
          </w:tcPr>
          <w:p>
            <w:pPr>
              <w:jc w:val="left"/>
            </w:pPr>
            <w:r>
              <w:rPr>
                <w:b/>
                <w:sz w:val="21"/>
              </w:rPr>
              <w:t>Prepared for</w:t>
            </w:r>
          </w:p>
        </w:tc>
        <w:tc>
          <w:tcPr>
            <w:tcW w:type="dxa" w:w="5896"/>
            <w:vAlign w:val="center"/>
            <w:tcBorders>
              <w:left w:val="single" w:sz="8" w:color="D9E2F2"/>
              <w:top w:val="single" w:sz="8" w:color="D9E2F2"/>
              <w:right w:val="single" w:sz="8" w:color="D9E2F2"/>
              <w:bottom w:val="single" w:sz="8" w:color="D9E2F2"/>
            </w:tcBorders>
          </w:tcPr>
          <w:p>
            <w:pPr>
              <w:spacing w:after="40"/>
            </w:pPr>
            <w:r>
              <w:t>An agent-finance architecture that starts with identity, then authority, then accounts and payments.</w:t>
            </w:r>
          </w:p>
        </w:tc>
      </w:tr>
      <w:tr>
        <w:tc>
          <w:tcPr>
            <w:tcW w:type="dxa" w:w="2381"/>
            <w:vAlign w:val="center"/>
            <w:tcBorders>
              <w:left w:val="single" w:sz="8" w:color="D9E2F2"/>
              <w:top w:val="single" w:sz="8" w:color="D9E2F2"/>
              <w:right w:val="single" w:sz="8" w:color="D9E2F2"/>
              <w:bottom w:val="single" w:sz="8" w:color="D9E2F2"/>
            </w:tcBorders>
            <w:shd w:fill="F4F7FB"/>
          </w:tcPr>
          <w:p>
            <w:pPr>
              <w:jc w:val="left"/>
            </w:pPr>
            <w:r>
              <w:rPr>
                <w:b/>
                <w:sz w:val="21"/>
              </w:rPr>
              <w:t>Scope</w:t>
            </w:r>
          </w:p>
        </w:tc>
        <w:tc>
          <w:tcPr>
            <w:tcW w:type="dxa" w:w="5896"/>
            <w:vAlign w:val="center"/>
            <w:tcBorders>
              <w:left w:val="single" w:sz="8" w:color="D9E2F2"/>
              <w:top w:val="single" w:sz="8" w:color="D9E2F2"/>
              <w:right w:val="single" w:sz="8" w:color="D9E2F2"/>
              <w:bottom w:val="single" w:sz="8" w:color="D9E2F2"/>
            </w:tcBorders>
          </w:tcPr>
          <w:p>
            <w:pPr>
              <w:spacing w:after="40"/>
            </w:pPr>
            <w:r>
              <w:t>Reference architecture, threat model, implementation choices, sample data models, phased roadmap, and source references.</w:t>
            </w:r>
          </w:p>
        </w:tc>
      </w:tr>
      <w:tr>
        <w:tc>
          <w:tcPr>
            <w:tcW w:type="dxa" w:w="2381"/>
            <w:vAlign w:val="center"/>
            <w:tcBorders>
              <w:left w:val="single" w:sz="8" w:color="D9E2F2"/>
              <w:top w:val="single" w:sz="8" w:color="D9E2F2"/>
              <w:right w:val="single" w:sz="8" w:color="D9E2F2"/>
              <w:bottom w:val="single" w:sz="8" w:color="D9E2F2"/>
            </w:tcBorders>
            <w:shd w:fill="F4F7FB"/>
          </w:tcPr>
          <w:p>
            <w:pPr>
              <w:jc w:val="left"/>
            </w:pPr>
            <w:r>
              <w:rPr>
                <w:b/>
                <w:sz w:val="21"/>
              </w:rPr>
              <w:t>Design stance</w:t>
            </w:r>
          </w:p>
        </w:tc>
        <w:tc>
          <w:tcPr>
            <w:tcW w:type="dxa" w:w="5896"/>
            <w:vAlign w:val="center"/>
            <w:tcBorders>
              <w:left w:val="single" w:sz="8" w:color="D9E2F2"/>
              <w:top w:val="single" w:sz="8" w:color="D9E2F2"/>
              <w:right w:val="single" w:sz="8" w:color="D9E2F2"/>
              <w:bottom w:val="single" w:sz="8" w:color="D9E2F2"/>
            </w:tcBorders>
          </w:tcPr>
          <w:p>
            <w:pPr>
              <w:spacing w:after="40"/>
            </w:pPr>
            <w:r>
              <w:t>Keep PII and raw KYC data off-chain; put identifiers, credential hashes, status, and execution attestations on-chain; use verifiable credentials and policy engines off-chain.</w:t>
            </w:r>
          </w:p>
        </w:tc>
      </w:tr>
    </w:tbl>
    <w:p/>
    <w:tbl>
      <w:tblPr>
        <w:tblW w:type="auto" w:w="0"/>
        <w:jc w:val="center"/>
        <w:tblLayout w:type="fixed"/>
        <w:tblLook w:firstColumn="1" w:firstRow="1" w:lastColumn="0" w:lastRow="0" w:noHBand="0" w:noVBand="1" w:val="04A0"/>
      </w:tblPr>
      <w:tblGrid>
        <w:gridCol w:w="8391"/>
      </w:tblGrid>
      <w:tr>
        <w:tc>
          <w:tcPr>
            <w:tcW w:type="dxa" w:w="9746"/>
            <w:shd w:fill="FFF4E5"/>
            <w:tcBorders>
              <w:left w:val="single" w:sz="10" w:color="E2B93B"/>
              <w:top w:val="single" w:sz="10" w:color="E2B93B"/>
              <w:right w:val="single" w:sz="10" w:color="E2B93B"/>
              <w:bottom w:val="single" w:sz="10" w:color="E2B93B"/>
            </w:tcBorders>
          </w:tcPr>
          <w:p>
            <w:r>
              <w:rPr>
                <w:b/>
              </w:rPr>
              <w:t>Key thesis</w:t>
            </w:r>
            <w:r>
              <w:t>: in an agent-native financial market, identity and delegated authority are upstream of KYC reuse, wallet creation, payment, trading, settlement, and audit. Build the identity and authority layer first.</w:t>
            </w:r>
          </w:p>
        </w:tc>
      </w:tr>
    </w:tbl>
    <w:p>
      <w:r>
        <w:br/>
      </w:r>
    </w:p>
    <w:p>
      <w:pPr>
        <w:pStyle w:val="Heading1"/>
        <w:spacing w:before="240"/>
      </w:pPr>
      <w:r>
        <w:t>1. Executive summary</w:t>
      </w:r>
    </w:p>
    <w:p>
      <w:r>
        <w:t>The recommended build path is to start with an identity-and-authority base layer for on-chain agents, not with a full exchange or a consumer wallet. The minimum coherent stack is: Agent DID, owner-to-agent linkage, verifiable credentials for ownership/KYC/authority, smart accounts for agent wallets, a policy engine for delegated spend and trade permissions, and a payment-intent execution layer that can enforce human-in-the-loop or pre-authorized automation.</w:t>
      </w:r>
    </w:p>
    <w:p>
      <w:pPr>
        <w:ind w:left="283" w:hanging="198"/>
      </w:pPr>
      <w:r>
        <w:rPr>
          <w:b/>
        </w:rPr>
        <w:t xml:space="preserve">• </w:t>
      </w:r>
      <w:r>
        <w:t>Do not put raw PII, passports, company filings, or full KYC payloads on-chain.</w:t>
      </w:r>
    </w:p>
    <w:p>
      <w:pPr>
        <w:ind w:left="283" w:hanging="198"/>
      </w:pPr>
      <w:r>
        <w:rPr>
          <w:b/>
        </w:rPr>
        <w:t xml:space="preserve">• </w:t>
      </w:r>
      <w:r>
        <w:t>Do put identifiers, credential hashes, revocation status, controller changes, policy commitments, wallet bindings, and execution attestations on-chain when they improve verifiability.</w:t>
      </w:r>
    </w:p>
    <w:p>
      <w:pPr>
        <w:ind w:left="283" w:hanging="198"/>
      </w:pPr>
      <w:r>
        <w:rPr>
          <w:b/>
        </w:rPr>
        <w:t xml:space="preserve">• </w:t>
      </w:r>
      <w:r>
        <w:t>Use W3C DID + VC as the identity and claims model; use OpenID4VCI/OpenID4VP or a similar presentation flow for issuance and presentation; use smart accounts, preferably ERC-4337 style, for programmable agent wallets.</w:t>
      </w:r>
    </w:p>
    <w:p>
      <w:pPr>
        <w:ind w:left="283" w:hanging="198"/>
      </w:pPr>
      <w:r>
        <w:rPr>
          <w:b/>
        </w:rPr>
        <w:t xml:space="preserve">• </w:t>
      </w:r>
      <w:r>
        <w:t>Start with payments before trading. Agent payment rights, budget limits, and auditability are easier to validate than autonomous market access.</w:t>
      </w:r>
    </w:p>
    <w:p>
      <w:pPr>
        <w:ind w:left="283" w:hanging="198"/>
      </w:pPr>
      <w:r>
        <w:rPr>
          <w:b/>
        </w:rPr>
        <w:t xml:space="preserve">• </w:t>
      </w:r>
      <w:r>
        <w:t>Model three execution modes from day one: human-confirmed, pre-authorized automation, and fully agent-native operation under strict policies.</w:t>
      </w:r>
    </w:p>
    <w:p>
      <w:pPr>
        <w:pStyle w:val="Heading1"/>
        <w:spacing w:before="240"/>
      </w:pPr>
      <w:r>
        <w:t>2. Reasoning summary (concise, non-private)</w:t>
      </w:r>
    </w:p>
    <w:p>
      <w:r>
        <w:t>You asked to see the reasoning process. I cannot provide hidden private chain-of-thought in raw form, but I can provide the decision summary that guided this design. The architecture below is based on four design choices:</w:t>
      </w:r>
    </w:p>
    <w:p>
      <w:pPr>
        <w:ind w:left="312" w:hanging="255"/>
      </w:pPr>
      <w:r>
        <w:rPr>
          <w:b/>
        </w:rPr>
        <w:t xml:space="preserve">1. </w:t>
      </w:r>
      <w:r>
        <w:t>Identity comes before finance. If an agent cannot be uniquely identified, linked to an owner, issued permissions, and revoked, then KYC reuse, account opening, payment, and autonomous trading cannot be made safe or auditable.</w:t>
      </w:r>
    </w:p>
    <w:p>
      <w:pPr>
        <w:ind w:left="312" w:hanging="255"/>
      </w:pPr>
      <w:r>
        <w:rPr>
          <w:b/>
        </w:rPr>
        <w:t xml:space="preserve">2. </w:t>
      </w:r>
      <w:r>
        <w:t>DID alone is not enough. DID identifies a subject and points to control material and services. KYC results, ownership claims, and spend/trade permissions belong in verifiable credentials and policy rules, not directly in a DID document.</w:t>
      </w:r>
    </w:p>
    <w:p>
      <w:pPr>
        <w:ind w:left="312" w:hanging="255"/>
      </w:pPr>
      <w:r>
        <w:rPr>
          <w:b/>
        </w:rPr>
        <w:t xml:space="preserve">3. </w:t>
      </w:r>
      <w:r>
        <w:t>The chain should anchor trust, not store all trust data. On-chain state should be small, durable, and privacy-preserving: identifiers, hashes, revocation status, policy commitments, and receipts. Off-chain systems should store sensitive and mutable business data.</w:t>
      </w:r>
    </w:p>
    <w:p>
      <w:pPr>
        <w:ind w:left="312" w:hanging="255"/>
      </w:pPr>
      <w:r>
        <w:rPr>
          <w:b/>
        </w:rPr>
        <w:t xml:space="preserve">4. </w:t>
      </w:r>
      <w:r>
        <w:t>Programmable accounts are required. An agent-finance stack needs smart accounts or a comparable policy-enforced account model so that budgets, rate limits, counterparties, and kill switches can be enforced at the account layer rather than by application convention alone.</w:t>
      </w:r>
    </w:p>
    <w:p>
      <w:pPr>
        <w:pStyle w:val="Heading1"/>
        <w:spacing w:before="240"/>
      </w:pPr>
      <w:r>
        <w:t>3. Existing references and what they prove</w:t>
      </w:r>
    </w:p>
    <w:p>
      <w:r>
        <w:t>No single standard today fully solves on-chain agent identity, KYC-backed account opening, and autonomous payment in one package. The useful starting point is to combine existing standards and reference implementations.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DID</w:t>
            </w:r>
          </w:p>
        </w:tc>
        <w:tc>
          <w:tcPr>
            <w:tcW w:type="dxa" w:w="1928"/>
            <w:vAlign w:val="center"/>
            <w:tcBorders>
              <w:left w:val="single" w:sz="8" w:color="D9E2F2"/>
              <w:top w:val="single" w:sz="8" w:color="D9E2F2"/>
              <w:right w:val="single" w:sz="8" w:color="D9E2F2"/>
              <w:bottom w:val="single" w:sz="8" w:color="D9E2F2"/>
            </w:tcBorders>
          </w:tcPr>
          <w:p>
            <w:pPr>
              <w:spacing w:after="40"/>
            </w:pPr>
            <w:r>
              <w:t>Decentralized identifier</w:t>
            </w:r>
          </w:p>
        </w:tc>
        <w:tc>
          <w:tcPr>
            <w:tcW w:type="dxa" w:w="2721"/>
            <w:vAlign w:val="center"/>
            <w:tcBorders>
              <w:left w:val="single" w:sz="8" w:color="D9E2F2"/>
              <w:top w:val="single" w:sz="8" w:color="D9E2F2"/>
              <w:right w:val="single" w:sz="8" w:color="D9E2F2"/>
              <w:bottom w:val="single" w:sz="8" w:color="D9E2F2"/>
            </w:tcBorders>
          </w:tcPr>
          <w:p>
            <w:pPr>
              <w:spacing w:after="40"/>
            </w:pPr>
            <w:r>
              <w:t>Identifier syntax, DID documents, controller, verification methods, services</w:t>
            </w:r>
          </w:p>
        </w:tc>
        <w:tc>
          <w:tcPr>
            <w:tcW w:type="dxa" w:w="2835"/>
            <w:vAlign w:val="center"/>
            <w:tcBorders>
              <w:left w:val="single" w:sz="8" w:color="D9E2F2"/>
              <w:top w:val="single" w:sz="8" w:color="D9E2F2"/>
              <w:right w:val="single" w:sz="8" w:color="D9E2F2"/>
              <w:bottom w:val="single" w:sz="8" w:color="D9E2F2"/>
            </w:tcBorders>
          </w:tcPr>
          <w:p>
            <w:pPr>
              <w:spacing w:after="40"/>
            </w:pPr>
            <w:r>
              <w:t>General identity primitive; not KYC-specific</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VC</w:t>
            </w:r>
          </w:p>
        </w:tc>
        <w:tc>
          <w:tcPr>
            <w:tcW w:type="dxa" w:w="1928"/>
            <w:vAlign w:val="center"/>
            <w:tcBorders>
              <w:left w:val="single" w:sz="8" w:color="D9E2F2"/>
              <w:top w:val="single" w:sz="8" w:color="D9E2F2"/>
              <w:right w:val="single" w:sz="8" w:color="D9E2F2"/>
              <w:bottom w:val="single" w:sz="8" w:color="D9E2F2"/>
            </w:tcBorders>
          </w:tcPr>
          <w:p>
            <w:pPr>
              <w:spacing w:after="40"/>
            </w:pPr>
            <w:r>
              <w:t>Claims and credentials</w:t>
            </w:r>
          </w:p>
        </w:tc>
        <w:tc>
          <w:tcPr>
            <w:tcW w:type="dxa" w:w="2721"/>
            <w:vAlign w:val="center"/>
            <w:tcBorders>
              <w:left w:val="single" w:sz="8" w:color="D9E2F2"/>
              <w:top w:val="single" w:sz="8" w:color="D9E2F2"/>
              <w:right w:val="single" w:sz="8" w:color="D9E2F2"/>
              <w:bottom w:val="single" w:sz="8" w:color="D9E2F2"/>
            </w:tcBorders>
          </w:tcPr>
          <w:p>
            <w:pPr>
              <w:spacing w:after="40"/>
            </w:pPr>
            <w:r>
              <w:t>Ownership, KYC outcome, policy, authority credentials</w:t>
            </w:r>
          </w:p>
        </w:tc>
        <w:tc>
          <w:tcPr>
            <w:tcW w:type="dxa" w:w="2835"/>
            <w:vAlign w:val="center"/>
            <w:tcBorders>
              <w:left w:val="single" w:sz="8" w:color="D9E2F2"/>
              <w:top w:val="single" w:sz="8" w:color="D9E2F2"/>
              <w:right w:val="single" w:sz="8" w:color="D9E2F2"/>
              <w:bottom w:val="single" w:sz="8" w:color="D9E2F2"/>
            </w:tcBorders>
          </w:tcPr>
          <w:p>
            <w:pPr>
              <w:spacing w:after="40"/>
            </w:pPr>
            <w:r>
              <w:t>Right place for agent ownership and permissions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OID4VCI / OID4VP</w:t>
            </w:r>
          </w:p>
        </w:tc>
        <w:tc>
          <w:tcPr>
            <w:tcW w:type="dxa" w:w="1928"/>
            <w:vAlign w:val="center"/>
            <w:tcBorders>
              <w:left w:val="single" w:sz="8" w:color="D9E2F2"/>
              <w:top w:val="single" w:sz="8" w:color="D9E2F2"/>
              <w:right w:val="single" w:sz="8" w:color="D9E2F2"/>
              <w:bottom w:val="single" w:sz="8" w:color="D9E2F2"/>
            </w:tcBorders>
          </w:tcPr>
          <w:p>
            <w:pPr>
              <w:spacing w:after="40"/>
            </w:pPr>
            <w:r>
              <w:t>Credential issuance and presentation</w:t>
            </w:r>
          </w:p>
        </w:tc>
        <w:tc>
          <w:tcPr>
            <w:tcW w:type="dxa" w:w="2721"/>
            <w:vAlign w:val="center"/>
            <w:tcBorders>
              <w:left w:val="single" w:sz="8" w:color="D9E2F2"/>
              <w:top w:val="single" w:sz="8" w:color="D9E2F2"/>
              <w:right w:val="single" w:sz="8" w:color="D9E2F2"/>
              <w:bottom w:val="single" w:sz="8" w:color="D9E2F2"/>
            </w:tcBorders>
          </w:tcPr>
          <w:p>
            <w:pPr>
              <w:spacing w:after="40"/>
            </w:pPr>
            <w:r>
              <w:t>Wallet-to-issuer and wallet-to-verifier flows</w:t>
            </w:r>
          </w:p>
        </w:tc>
        <w:tc>
          <w:tcPr>
            <w:tcW w:type="dxa" w:w="2835"/>
            <w:vAlign w:val="center"/>
            <w:tcBorders>
              <w:left w:val="single" w:sz="8" w:color="D9E2F2"/>
              <w:top w:val="single" w:sz="8" w:color="D9E2F2"/>
              <w:right w:val="single" w:sz="8" w:color="D9E2F2"/>
              <w:bottom w:val="single" w:sz="8" w:color="D9E2F2"/>
            </w:tcBorders>
          </w:tcPr>
          <w:p>
            <w:pPr>
              <w:spacing w:after="40"/>
            </w:pPr>
            <w:r>
              <w:t>Useful for account opening and presenting KYC/authority</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ERC-4337 smart accounts</w:t>
            </w:r>
          </w:p>
        </w:tc>
        <w:tc>
          <w:tcPr>
            <w:tcW w:type="dxa" w:w="1928"/>
            <w:vAlign w:val="center"/>
            <w:tcBorders>
              <w:left w:val="single" w:sz="8" w:color="D9E2F2"/>
              <w:top w:val="single" w:sz="8" w:color="D9E2F2"/>
              <w:right w:val="single" w:sz="8" w:color="D9E2F2"/>
              <w:bottom w:val="single" w:sz="8" w:color="D9E2F2"/>
            </w:tcBorders>
          </w:tcPr>
          <w:p>
            <w:pPr>
              <w:spacing w:after="40"/>
            </w:pPr>
            <w:r>
              <w:t>Programmable wallet/account</w:t>
            </w:r>
          </w:p>
        </w:tc>
        <w:tc>
          <w:tcPr>
            <w:tcW w:type="dxa" w:w="2721"/>
            <w:vAlign w:val="center"/>
            <w:tcBorders>
              <w:left w:val="single" w:sz="8" w:color="D9E2F2"/>
              <w:top w:val="single" w:sz="8" w:color="D9E2F2"/>
              <w:right w:val="single" w:sz="8" w:color="D9E2F2"/>
              <w:bottom w:val="single" w:sz="8" w:color="D9E2F2"/>
            </w:tcBorders>
          </w:tcPr>
          <w:p>
            <w:pPr>
              <w:spacing w:after="40"/>
            </w:pPr>
            <w:r>
              <w:t>Policy logic, paymasters, session keys, user operations</w:t>
            </w:r>
          </w:p>
        </w:tc>
        <w:tc>
          <w:tcPr>
            <w:tcW w:type="dxa" w:w="2835"/>
            <w:vAlign w:val="center"/>
            <w:tcBorders>
              <w:left w:val="single" w:sz="8" w:color="D9E2F2"/>
              <w:top w:val="single" w:sz="8" w:color="D9E2F2"/>
              <w:right w:val="single" w:sz="8" w:color="D9E2F2"/>
              <w:bottom w:val="single" w:sz="8" w:color="D9E2F2"/>
            </w:tcBorders>
          </w:tcPr>
          <w:p>
            <w:pPr>
              <w:spacing w:after="40"/>
            </w:pPr>
            <w:r>
              <w:t>Strong fit for agent wallets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AgentKit / agentic wallets</w:t>
            </w:r>
          </w:p>
        </w:tc>
        <w:tc>
          <w:tcPr>
            <w:tcW w:type="dxa" w:w="1928"/>
            <w:vAlign w:val="center"/>
            <w:tcBorders>
              <w:left w:val="single" w:sz="8" w:color="D9E2F2"/>
              <w:top w:val="single" w:sz="8" w:color="D9E2F2"/>
              <w:right w:val="single" w:sz="8" w:color="D9E2F2"/>
              <w:bottom w:val="single" w:sz="8" w:color="D9E2F2"/>
            </w:tcBorders>
          </w:tcPr>
          <w:p>
            <w:pPr>
              <w:spacing w:after="40"/>
            </w:pPr>
            <w:r>
              <w:t>Operational reference</w:t>
            </w:r>
          </w:p>
        </w:tc>
        <w:tc>
          <w:tcPr>
            <w:tcW w:type="dxa" w:w="2721"/>
            <w:vAlign w:val="center"/>
            <w:tcBorders>
              <w:left w:val="single" w:sz="8" w:color="D9E2F2"/>
              <w:top w:val="single" w:sz="8" w:color="D9E2F2"/>
              <w:right w:val="single" w:sz="8" w:color="D9E2F2"/>
              <w:bottom w:val="single" w:sz="8" w:color="D9E2F2"/>
            </w:tcBorders>
          </w:tcPr>
          <w:p>
            <w:pPr>
              <w:spacing w:after="40"/>
            </w:pPr>
            <w:r>
              <w:t>Shows agents can safely hold wallets and act on-chain</w:t>
            </w:r>
          </w:p>
        </w:tc>
        <w:tc>
          <w:tcPr>
            <w:tcW w:type="dxa" w:w="2835"/>
            <w:vAlign w:val="center"/>
            <w:tcBorders>
              <w:left w:val="single" w:sz="8" w:color="D9E2F2"/>
              <w:top w:val="single" w:sz="8" w:color="D9E2F2"/>
              <w:right w:val="single" w:sz="8" w:color="D9E2F2"/>
              <w:bottom w:val="single" w:sz="8" w:color="D9E2F2"/>
            </w:tcBorders>
          </w:tcPr>
          <w:p>
            <w:pPr>
              <w:spacing w:after="40"/>
            </w:pPr>
            <w:r>
              <w:t>Useful implementation reference, not identity standard</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x402 / AP2 / ERC-8183</w:t>
            </w:r>
          </w:p>
        </w:tc>
        <w:tc>
          <w:tcPr>
            <w:tcW w:type="dxa" w:w="1928"/>
            <w:vAlign w:val="center"/>
            <w:tcBorders>
              <w:left w:val="single" w:sz="8" w:color="D9E2F2"/>
              <w:top w:val="single" w:sz="8" w:color="D9E2F2"/>
              <w:right w:val="single" w:sz="8" w:color="D9E2F2"/>
              <w:bottom w:val="single" w:sz="8" w:color="D9E2F2"/>
            </w:tcBorders>
          </w:tcPr>
          <w:p>
            <w:pPr>
              <w:spacing w:after="40"/>
            </w:pPr>
            <w:r>
              <w:t>Payment and agent commerce references</w:t>
            </w:r>
          </w:p>
        </w:tc>
        <w:tc>
          <w:tcPr>
            <w:tcW w:type="dxa" w:w="2721"/>
            <w:vAlign w:val="center"/>
            <w:tcBorders>
              <w:left w:val="single" w:sz="8" w:color="D9E2F2"/>
              <w:top w:val="single" w:sz="8" w:color="D9E2F2"/>
              <w:right w:val="single" w:sz="8" w:color="D9E2F2"/>
              <w:bottom w:val="single" w:sz="8" w:color="D9E2F2"/>
            </w:tcBorders>
          </w:tcPr>
          <w:p>
            <w:pPr>
              <w:spacing w:after="40"/>
            </w:pPr>
            <w:r>
              <w:t>Machine-payments, delegated payment, escrowed jobs</w:t>
            </w:r>
          </w:p>
        </w:tc>
        <w:tc>
          <w:tcPr>
            <w:tcW w:type="dxa" w:w="2835"/>
            <w:vAlign w:val="center"/>
            <w:tcBorders>
              <w:left w:val="single" w:sz="8" w:color="D9E2F2"/>
              <w:top w:val="single" w:sz="8" w:color="D9E2F2"/>
              <w:right w:val="single" w:sz="8" w:color="D9E2F2"/>
              <w:bottom w:val="single" w:sz="8" w:color="D9E2F2"/>
            </w:tcBorders>
          </w:tcPr>
          <w:p>
            <w:pPr>
              <w:spacing w:after="40"/>
            </w:pPr>
            <w:r>
              <w:t>Useful for payments and later agent-to-agent commerce</w:t>
            </w:r>
          </w:p>
        </w:tc>
      </w:tr>
    </w:tbl>
    <w:p/>
    <w:p>
      <w:pPr>
        <w:pStyle w:val="Heading2"/>
        <w:spacing w:before="160"/>
      </w:pPr>
      <w:r>
        <w:t>3.1 What the main references contribute</w:t>
      </w:r>
    </w:p>
    <w:p>
      <w:pPr>
        <w:ind w:left="283" w:hanging="198"/>
      </w:pPr>
      <w:r>
        <w:rPr>
          <w:b/>
        </w:rPr>
        <w:t xml:space="preserve">• </w:t>
      </w:r>
      <w:r>
        <w:t>W3C DID defines a verifiable decentralized identifier and DID Document model for any subject, not only people. It supports controllers, verification methods, and service endpoints.</w:t>
      </w:r>
    </w:p>
    <w:p>
      <w:pPr>
        <w:ind w:left="283" w:hanging="198"/>
      </w:pPr>
      <w:r>
        <w:rPr>
          <w:b/>
        </w:rPr>
        <w:t xml:space="preserve">• </w:t>
      </w:r>
      <w:r>
        <w:t>W3C VC defines a tamper-evident claims model with issuer, holder, and verifier roles. This is the correct place to express ownership, KYC status, and authority claims.</w:t>
      </w:r>
    </w:p>
    <w:p>
      <w:pPr>
        <w:ind w:left="283" w:hanging="198"/>
      </w:pPr>
      <w:r>
        <w:rPr>
          <w:b/>
        </w:rPr>
        <w:t xml:space="preserve">• </w:t>
      </w:r>
      <w:r>
        <w:t>OpenID4VCI and OpenID4VP define interoperable issuance and presentation flows for credentials, which are practical building blocks for onboarding and account opening.</w:t>
      </w:r>
    </w:p>
    <w:p>
      <w:pPr>
        <w:ind w:left="283" w:hanging="198"/>
      </w:pPr>
      <w:r>
        <w:rPr>
          <w:b/>
        </w:rPr>
        <w:t xml:space="preserve">• </w:t>
      </w:r>
      <w:r>
        <w:t>ERC-4337 smart accounts allow arbitrary verification logic and policy-driven account behavior, which is essential for agent wallets with delegated authority, session keys, or paymasters.</w:t>
      </w:r>
    </w:p>
    <w:p>
      <w:pPr>
        <w:ind w:left="283" w:hanging="198"/>
      </w:pPr>
      <w:r>
        <w:rPr>
          <w:b/>
        </w:rPr>
        <w:t xml:space="preserve">• </w:t>
      </w:r>
      <w:r>
        <w:t>Coinbase AgentKit and agentic wallet initiatives demonstrate that AI agents can hold wallets and perform on-chain actions, but they do not replace a full identity and authority model.</w:t>
      </w:r>
    </w:p>
    <w:p>
      <w:pPr>
        <w:ind w:left="283" w:hanging="198"/>
      </w:pPr>
      <w:r>
        <w:rPr>
          <w:b/>
        </w:rPr>
        <w:t xml:space="preserve">• </w:t>
      </w:r>
      <w:r>
        <w:t>Google AP2, x402, and ERC-8183 are useful for delegated payments, machine-native payment flows, and escrowed agentic commerce, but they should sit on top of a stronger identity base layer.</w:t>
      </w:r>
    </w:p>
    <w:p>
      <w:pPr>
        <w:pStyle w:val="Heading1"/>
        <w:spacing w:before="240"/>
      </w:pPr>
      <w:r>
        <w:t>4. Problem statement and design goals</w:t>
      </w:r>
    </w:p>
    <w:p>
      <w:pPr>
        <w:pStyle w:val="Heading2"/>
        <w:spacing w:before="160"/>
      </w:pPr>
      <w:r>
        <w:t>4.1 Problem statement</w:t>
      </w:r>
    </w:p>
    <w:p>
      <w:r>
        <w:t>The core problem is not simply “how do we let an AI agent send tokens?” The real problem is how to make an on-chain agent a recognizable, governable, auditable, revocable financial actor. The stack must support all of the following without leaking sensitive identity data:</w:t>
      </w:r>
    </w:p>
    <w:p>
      <w:pPr>
        <w:ind w:left="283" w:hanging="198"/>
      </w:pPr>
      <w:r>
        <w:rPr>
          <w:b/>
        </w:rPr>
        <w:t xml:space="preserve">• </w:t>
      </w:r>
      <w:r>
        <w:t>Prove that an agent exists and can be resolved to control material and service endpoints.</w:t>
      </w:r>
    </w:p>
    <w:p>
      <w:pPr>
        <w:ind w:left="283" w:hanging="198"/>
      </w:pPr>
      <w:r>
        <w:rPr>
          <w:b/>
        </w:rPr>
        <w:t xml:space="preserve">• </w:t>
      </w:r>
      <w:r>
        <w:t>Prove who owns or sponsors the agent.</w:t>
      </w:r>
    </w:p>
    <w:p>
      <w:pPr>
        <w:ind w:left="283" w:hanging="198"/>
      </w:pPr>
      <w:r>
        <w:rPr>
          <w:b/>
        </w:rPr>
        <w:t xml:space="preserve">• </w:t>
      </w:r>
      <w:r>
        <w:t>Prove that some KYC/KYB or equivalent compliance process has been completed for the right real-world party.</w:t>
      </w:r>
    </w:p>
    <w:p>
      <w:pPr>
        <w:ind w:left="283" w:hanging="198"/>
      </w:pPr>
      <w:r>
        <w:rPr>
          <w:b/>
        </w:rPr>
        <w:t xml:space="preserve">• </w:t>
      </w:r>
      <w:r>
        <w:t>Bind those claims to a wallet or smart account that can hold assets or interact with venues.</w:t>
      </w:r>
    </w:p>
    <w:p>
      <w:pPr>
        <w:ind w:left="283" w:hanging="198"/>
      </w:pPr>
      <w:r>
        <w:rPr>
          <w:b/>
        </w:rPr>
        <w:t xml:space="preserve">• </w:t>
      </w:r>
      <w:r>
        <w:t>Constrain the agent’s financial powers through explicit policy.</w:t>
      </w:r>
    </w:p>
    <w:p>
      <w:pPr>
        <w:ind w:left="283" w:hanging="198"/>
      </w:pPr>
      <w:r>
        <w:rPr>
          <w:b/>
        </w:rPr>
        <w:t xml:space="preserve">• </w:t>
      </w:r>
      <w:r>
        <w:t>Record enough immutable state to support post-trade audit and revocation.</w:t>
      </w:r>
    </w:p>
    <w:p>
      <w:pPr>
        <w:pStyle w:val="Heading2"/>
        <w:spacing w:before="160"/>
      </w:pPr>
      <w:r>
        <w:t>4.2 Design goals</w:t>
      </w:r>
    </w:p>
    <w:p>
      <w:pPr>
        <w:ind w:left="283" w:hanging="198"/>
      </w:pPr>
      <w:r>
        <w:rPr>
          <w:b/>
        </w:rPr>
        <w:t xml:space="preserve">• </w:t>
      </w:r>
      <w:r>
        <w:t>Identity-first, not wallet-first.</w:t>
      </w:r>
    </w:p>
    <w:p>
      <w:pPr>
        <w:ind w:left="283" w:hanging="198"/>
      </w:pPr>
      <w:r>
        <w:rPr>
          <w:b/>
        </w:rPr>
        <w:t xml:space="preserve">• </w:t>
      </w:r>
      <w:r>
        <w:t>Privacy-preserving and minimization-first.</w:t>
      </w:r>
    </w:p>
    <w:p>
      <w:pPr>
        <w:ind w:left="283" w:hanging="198"/>
      </w:pPr>
      <w:r>
        <w:rPr>
          <w:b/>
        </w:rPr>
        <w:t xml:space="preserve">• </w:t>
      </w:r>
      <w:r>
        <w:t>Compatible with human-in-the-loop, pre-authorized, and autonomous operation.</w:t>
      </w:r>
    </w:p>
    <w:p>
      <w:pPr>
        <w:ind w:left="283" w:hanging="198"/>
      </w:pPr>
      <w:r>
        <w:rPr>
          <w:b/>
        </w:rPr>
        <w:t xml:space="preserve">• </w:t>
      </w:r>
      <w:r>
        <w:t>Portable across chains and venues where possible.</w:t>
      </w:r>
    </w:p>
    <w:p>
      <w:pPr>
        <w:ind w:left="283" w:hanging="198"/>
      </w:pPr>
      <w:r>
        <w:rPr>
          <w:b/>
        </w:rPr>
        <w:t xml:space="preserve">• </w:t>
      </w:r>
      <w:r>
        <w:t>Amenable to later extensions: venue access, trading authority, collateral, and settlement receipts.</w:t>
      </w:r>
    </w:p>
    <w:p>
      <w:pPr>
        <w:pStyle w:val="Heading2"/>
        <w:spacing w:before="160"/>
      </w:pPr>
      <w:r>
        <w:t>4.3 Non-goals for v1</w:t>
      </w:r>
    </w:p>
    <w:p>
      <w:pPr>
        <w:ind w:left="283" w:hanging="198"/>
      </w:pPr>
      <w:r>
        <w:rPr>
          <w:b/>
        </w:rPr>
        <w:t xml:space="preserve">• </w:t>
      </w:r>
      <w:r>
        <w:t>Do not build a universal KYC provider in v1.</w:t>
      </w:r>
    </w:p>
    <w:p>
      <w:pPr>
        <w:ind w:left="283" w:hanging="198"/>
      </w:pPr>
      <w:r>
        <w:rPr>
          <w:b/>
        </w:rPr>
        <w:t xml:space="preserve">• </w:t>
      </w:r>
      <w:r>
        <w:t>Do not put raw documents on-chain.</w:t>
      </w:r>
    </w:p>
    <w:p>
      <w:pPr>
        <w:ind w:left="283" w:hanging="198"/>
      </w:pPr>
      <w:r>
        <w:rPr>
          <w:b/>
        </w:rPr>
        <w:t xml:space="preserve">• </w:t>
      </w:r>
      <w:r>
        <w:t>Do not solve every DID method or wallet format in v1.</w:t>
      </w:r>
    </w:p>
    <w:p>
      <w:pPr>
        <w:ind w:left="283" w:hanging="198"/>
      </w:pPr>
      <w:r>
        <w:rPr>
          <w:b/>
        </w:rPr>
        <w:t xml:space="preserve">• </w:t>
      </w:r>
      <w:r>
        <w:t>Do not begin with fully autonomous trading across all venues; start with payments and narrow permissions.</w:t>
      </w:r>
    </w:p>
    <w:p>
      <w:pPr>
        <w:pStyle w:val="Heading1"/>
        <w:spacing w:before="240"/>
      </w:pPr>
      <w:r>
        <w:t>5. Reference architecture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A</w:t>
            </w:r>
          </w:p>
        </w:tc>
        <w:tc>
          <w:tcPr>
            <w:tcW w:type="dxa" w:w="1928"/>
            <w:vAlign w:val="center"/>
            <w:tcBorders>
              <w:left w:val="single" w:sz="8" w:color="D9E2F2"/>
              <w:top w:val="single" w:sz="8" w:color="D9E2F2"/>
              <w:right w:val="single" w:sz="8" w:color="D9E2F2"/>
              <w:bottom w:val="single" w:sz="8" w:color="D9E2F2"/>
            </w:tcBorders>
          </w:tcPr>
          <w:p>
            <w:pPr>
              <w:spacing w:after="40"/>
            </w:pPr>
            <w:r>
              <w:t>Identity plane</w:t>
            </w:r>
          </w:p>
        </w:tc>
        <w:tc>
          <w:tcPr>
            <w:tcW w:type="dxa" w:w="2721"/>
            <w:vAlign w:val="center"/>
            <w:tcBorders>
              <w:left w:val="single" w:sz="8" w:color="D9E2F2"/>
              <w:top w:val="single" w:sz="8" w:color="D9E2F2"/>
              <w:right w:val="single" w:sz="8" w:color="D9E2F2"/>
              <w:bottom w:val="single" w:sz="8" w:color="D9E2F2"/>
            </w:tcBorders>
          </w:tcPr>
          <w:p>
            <w:pPr>
              <w:spacing w:after="40"/>
            </w:pPr>
            <w:r>
              <w:t>Owner DID, Agent DID, DID Documents, controller model, service endpoints</w:t>
            </w:r>
          </w:p>
        </w:tc>
        <w:tc>
          <w:tcPr>
            <w:tcW w:type="dxa" w:w="2835"/>
            <w:vAlign w:val="center"/>
            <w:tcBorders>
              <w:left w:val="single" w:sz="8" w:color="D9E2F2"/>
              <w:top w:val="single" w:sz="8" w:color="D9E2F2"/>
              <w:right w:val="single" w:sz="8" w:color="D9E2F2"/>
              <w:bottom w:val="single" w:sz="8" w:color="D9E2F2"/>
            </w:tcBorders>
          </w:tcPr>
          <w:p>
            <w:pPr>
              <w:spacing w:after="40"/>
            </w:pPr>
            <w:r>
              <w:t>Creates the resolvable identity graph</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B</w:t>
            </w:r>
          </w:p>
        </w:tc>
        <w:tc>
          <w:tcPr>
            <w:tcW w:type="dxa" w:w="1928"/>
            <w:vAlign w:val="center"/>
            <w:tcBorders>
              <w:left w:val="single" w:sz="8" w:color="D9E2F2"/>
              <w:top w:val="single" w:sz="8" w:color="D9E2F2"/>
              <w:right w:val="single" w:sz="8" w:color="D9E2F2"/>
              <w:bottom w:val="single" w:sz="8" w:color="D9E2F2"/>
            </w:tcBorders>
          </w:tcPr>
          <w:p>
            <w:pPr>
              <w:spacing w:after="40"/>
            </w:pPr>
            <w:r>
              <w:t>Credential plane</w:t>
            </w:r>
          </w:p>
        </w:tc>
        <w:tc>
          <w:tcPr>
            <w:tcW w:type="dxa" w:w="2721"/>
            <w:vAlign w:val="center"/>
            <w:tcBorders>
              <w:left w:val="single" w:sz="8" w:color="D9E2F2"/>
              <w:top w:val="single" w:sz="8" w:color="D9E2F2"/>
              <w:right w:val="single" w:sz="8" w:color="D9E2F2"/>
              <w:bottom w:val="single" w:sz="8" w:color="D9E2F2"/>
            </w:tcBorders>
          </w:tcPr>
          <w:p>
            <w:pPr>
              <w:spacing w:after="40"/>
            </w:pPr>
            <w:r>
              <w:t>Ownership VC, KYC/KYB VC, Authority VC, Risk VC</w:t>
            </w:r>
          </w:p>
        </w:tc>
        <w:tc>
          <w:tcPr>
            <w:tcW w:type="dxa" w:w="2835"/>
            <w:vAlign w:val="center"/>
            <w:tcBorders>
              <w:left w:val="single" w:sz="8" w:color="D9E2F2"/>
              <w:top w:val="single" w:sz="8" w:color="D9E2F2"/>
              <w:right w:val="single" w:sz="8" w:color="D9E2F2"/>
              <w:bottom w:val="single" w:sz="8" w:color="D9E2F2"/>
            </w:tcBorders>
          </w:tcPr>
          <w:p>
            <w:pPr>
              <w:spacing w:after="40"/>
            </w:pPr>
            <w:r>
              <w:t>Carries claims and permissions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C</w:t>
            </w:r>
          </w:p>
        </w:tc>
        <w:tc>
          <w:tcPr>
            <w:tcW w:type="dxa" w:w="1928"/>
            <w:vAlign w:val="center"/>
            <w:tcBorders>
              <w:left w:val="single" w:sz="8" w:color="D9E2F2"/>
              <w:top w:val="single" w:sz="8" w:color="D9E2F2"/>
              <w:right w:val="single" w:sz="8" w:color="D9E2F2"/>
              <w:bottom w:val="single" w:sz="8" w:color="D9E2F2"/>
            </w:tcBorders>
          </w:tcPr>
          <w:p>
            <w:pPr>
              <w:spacing w:after="40"/>
            </w:pPr>
            <w:r>
              <w:t>Account plane</w:t>
            </w:r>
          </w:p>
        </w:tc>
        <w:tc>
          <w:tcPr>
            <w:tcW w:type="dxa" w:w="2721"/>
            <w:vAlign w:val="center"/>
            <w:tcBorders>
              <w:left w:val="single" w:sz="8" w:color="D9E2F2"/>
              <w:top w:val="single" w:sz="8" w:color="D9E2F2"/>
              <w:right w:val="single" w:sz="8" w:color="D9E2F2"/>
              <w:bottom w:val="single" w:sz="8" w:color="D9E2F2"/>
            </w:tcBorders>
          </w:tcPr>
          <w:p>
            <w:pPr>
              <w:spacing w:after="40"/>
            </w:pPr>
            <w:r>
              <w:t>Agent smart account, treasury sub-account, key manager</w:t>
            </w:r>
          </w:p>
        </w:tc>
        <w:tc>
          <w:tcPr>
            <w:tcW w:type="dxa" w:w="2835"/>
            <w:vAlign w:val="center"/>
            <w:tcBorders>
              <w:left w:val="single" w:sz="8" w:color="D9E2F2"/>
              <w:top w:val="single" w:sz="8" w:color="D9E2F2"/>
              <w:right w:val="single" w:sz="8" w:color="D9E2F2"/>
              <w:bottom w:val="single" w:sz="8" w:color="D9E2F2"/>
            </w:tcBorders>
          </w:tcPr>
          <w:p>
            <w:pPr>
              <w:spacing w:after="40"/>
            </w:pPr>
            <w:r>
              <w:t>Holds and moves assets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D</w:t>
            </w:r>
          </w:p>
        </w:tc>
        <w:tc>
          <w:tcPr>
            <w:tcW w:type="dxa" w:w="1928"/>
            <w:vAlign w:val="center"/>
            <w:tcBorders>
              <w:left w:val="single" w:sz="8" w:color="D9E2F2"/>
              <w:top w:val="single" w:sz="8" w:color="D9E2F2"/>
              <w:right w:val="single" w:sz="8" w:color="D9E2F2"/>
              <w:bottom w:val="single" w:sz="8" w:color="D9E2F2"/>
            </w:tcBorders>
          </w:tcPr>
          <w:p>
            <w:pPr>
              <w:spacing w:after="40"/>
            </w:pPr>
            <w:r>
              <w:t>Policy plane</w:t>
            </w:r>
          </w:p>
        </w:tc>
        <w:tc>
          <w:tcPr>
            <w:tcW w:type="dxa" w:w="2721"/>
            <w:vAlign w:val="center"/>
            <w:tcBorders>
              <w:left w:val="single" w:sz="8" w:color="D9E2F2"/>
              <w:top w:val="single" w:sz="8" w:color="D9E2F2"/>
              <w:right w:val="single" w:sz="8" w:color="D9E2F2"/>
              <w:bottom w:val="single" w:sz="8" w:color="D9E2F2"/>
            </w:tcBorders>
          </w:tcPr>
          <w:p>
            <w:pPr>
              <w:spacing w:after="40"/>
            </w:pPr>
            <w:r>
              <w:t>Spend rules, counterparty allowlists, asset/venue limits, expiry, approvals</w:t>
            </w:r>
          </w:p>
        </w:tc>
        <w:tc>
          <w:tcPr>
            <w:tcW w:type="dxa" w:w="2835"/>
            <w:vAlign w:val="center"/>
            <w:tcBorders>
              <w:left w:val="single" w:sz="8" w:color="D9E2F2"/>
              <w:top w:val="single" w:sz="8" w:color="D9E2F2"/>
              <w:right w:val="single" w:sz="8" w:color="D9E2F2"/>
              <w:bottom w:val="single" w:sz="8" w:color="D9E2F2"/>
            </w:tcBorders>
          </w:tcPr>
          <w:p>
            <w:pPr>
              <w:spacing w:after="40"/>
            </w:pPr>
            <w:r>
              <w:t>Enforces financial authority</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E</w:t>
            </w:r>
          </w:p>
        </w:tc>
        <w:tc>
          <w:tcPr>
            <w:tcW w:type="dxa" w:w="1928"/>
            <w:vAlign w:val="center"/>
            <w:tcBorders>
              <w:left w:val="single" w:sz="8" w:color="D9E2F2"/>
              <w:top w:val="single" w:sz="8" w:color="D9E2F2"/>
              <w:right w:val="single" w:sz="8" w:color="D9E2F2"/>
              <w:bottom w:val="single" w:sz="8" w:color="D9E2F2"/>
            </w:tcBorders>
          </w:tcPr>
          <w:p>
            <w:pPr>
              <w:spacing w:after="40"/>
            </w:pPr>
            <w:r>
              <w:t>Execution plane</w:t>
            </w:r>
          </w:p>
        </w:tc>
        <w:tc>
          <w:tcPr>
            <w:tcW w:type="dxa" w:w="2721"/>
            <w:vAlign w:val="center"/>
            <w:tcBorders>
              <w:left w:val="single" w:sz="8" w:color="D9E2F2"/>
              <w:top w:val="single" w:sz="8" w:color="D9E2F2"/>
              <w:right w:val="single" w:sz="8" w:color="D9E2F2"/>
              <w:bottom w:val="single" w:sz="8" w:color="D9E2F2"/>
            </w:tcBorders>
          </w:tcPr>
          <w:p>
            <w:pPr>
              <w:spacing w:after="40"/>
            </w:pPr>
            <w:r>
              <w:t>Payment intent API, quote, authorization, settlement adapter</w:t>
            </w:r>
          </w:p>
        </w:tc>
        <w:tc>
          <w:tcPr>
            <w:tcW w:type="dxa" w:w="2835"/>
            <w:vAlign w:val="center"/>
            <w:tcBorders>
              <w:left w:val="single" w:sz="8" w:color="D9E2F2"/>
              <w:top w:val="single" w:sz="8" w:color="D9E2F2"/>
              <w:right w:val="single" w:sz="8" w:color="D9E2F2"/>
              <w:bottom w:val="single" w:sz="8" w:color="D9E2F2"/>
            </w:tcBorders>
          </w:tcPr>
          <w:p>
            <w:pPr>
              <w:spacing w:after="40"/>
            </w:pPr>
            <w:r>
              <w:t>Turns policy into action</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F</w:t>
            </w:r>
          </w:p>
        </w:tc>
        <w:tc>
          <w:tcPr>
            <w:tcW w:type="dxa" w:w="1928"/>
            <w:vAlign w:val="center"/>
            <w:tcBorders>
              <w:left w:val="single" w:sz="8" w:color="D9E2F2"/>
              <w:top w:val="single" w:sz="8" w:color="D9E2F2"/>
              <w:right w:val="single" w:sz="8" w:color="D9E2F2"/>
              <w:bottom w:val="single" w:sz="8" w:color="D9E2F2"/>
            </w:tcBorders>
          </w:tcPr>
          <w:p>
            <w:pPr>
              <w:spacing w:after="40"/>
            </w:pPr>
            <w:r>
              <w:t>Audit plane</w:t>
            </w:r>
          </w:p>
        </w:tc>
        <w:tc>
          <w:tcPr>
            <w:tcW w:type="dxa" w:w="2721"/>
            <w:vAlign w:val="center"/>
            <w:tcBorders>
              <w:left w:val="single" w:sz="8" w:color="D9E2F2"/>
              <w:top w:val="single" w:sz="8" w:color="D9E2F2"/>
              <w:right w:val="single" w:sz="8" w:color="D9E2F2"/>
              <w:bottom w:val="single" w:sz="8" w:color="D9E2F2"/>
            </w:tcBorders>
          </w:tcPr>
          <w:p>
            <w:pPr>
              <w:spacing w:after="40"/>
            </w:pPr>
            <w:r>
              <w:t>On-chain attestation, receipt hash, revocation registry, event logs</w:t>
            </w:r>
          </w:p>
        </w:tc>
        <w:tc>
          <w:tcPr>
            <w:tcW w:type="dxa" w:w="2835"/>
            <w:vAlign w:val="center"/>
            <w:tcBorders>
              <w:left w:val="single" w:sz="8" w:color="D9E2F2"/>
              <w:top w:val="single" w:sz="8" w:color="D9E2F2"/>
              <w:right w:val="single" w:sz="8" w:color="D9E2F2"/>
              <w:bottom w:val="single" w:sz="8" w:color="D9E2F2"/>
            </w:tcBorders>
          </w:tcPr>
          <w:p>
            <w:pPr>
              <w:spacing w:after="40"/>
            </w:pPr>
            <w:r>
              <w:t>Supports forensics, compliance, and dispute handling</w:t>
            </w:r>
          </w:p>
        </w:tc>
      </w:tr>
    </w:tbl>
    <w:p/>
    <w:p>
      <w:pPr>
        <w:pStyle w:val="Heading2"/>
        <w:spacing w:before="160"/>
      </w:pPr>
      <w:r>
        <w:t>5.1 Recommended subject model</w:t>
      </w:r>
    </w:p>
    <w:p>
      <w:pPr>
        <w:ind w:left="283" w:hanging="198"/>
      </w:pPr>
      <w:r>
        <w:rPr>
          <w:b/>
        </w:rPr>
        <w:t xml:space="preserve">• </w:t>
      </w:r>
      <w:r>
        <w:t>Owner: a natural person, organization, fund, platform, or treasury that bears legal or economic responsibility.</w:t>
      </w:r>
    </w:p>
    <w:p>
      <w:pPr>
        <w:ind w:left="283" w:hanging="198"/>
      </w:pPr>
      <w:r>
        <w:rPr>
          <w:b/>
        </w:rPr>
        <w:t xml:space="preserve">• </w:t>
      </w:r>
      <w:r>
        <w:t>Agent: an autonomous or semi-autonomous software actor with a unique DID and a wallet or account binding.</w:t>
      </w:r>
    </w:p>
    <w:p>
      <w:pPr>
        <w:ind w:left="283" w:hanging="198"/>
      </w:pPr>
      <w:r>
        <w:rPr>
          <w:b/>
        </w:rPr>
        <w:t xml:space="preserve">• </w:t>
      </w:r>
      <w:r>
        <w:t>Issuer: a trusted identity, KYC, or policy issuer able to sign credentials.</w:t>
      </w:r>
    </w:p>
    <w:p>
      <w:pPr>
        <w:ind w:left="283" w:hanging="198"/>
      </w:pPr>
      <w:r>
        <w:rPr>
          <w:b/>
        </w:rPr>
        <w:t xml:space="preserve">• </w:t>
      </w:r>
      <w:r>
        <w:t>Verifier: a wallet service, venue, payment service, or policy engine that checks credentials and policy before execution.</w:t>
      </w:r>
    </w:p>
    <w:p>
      <w:pPr>
        <w:ind w:left="283" w:hanging="198"/>
      </w:pPr>
      <w:r>
        <w:rPr>
          <w:b/>
        </w:rPr>
        <w:t xml:space="preserve">• </w:t>
      </w:r>
      <w:r>
        <w:t>Policy authority: the entity that can grant, rotate, suspend, or revoke the agent’s financial rights.</w:t>
      </w:r>
    </w:p>
    <w:p>
      <w:pPr>
        <w:pStyle w:val="Heading2"/>
        <w:spacing w:before="160"/>
      </w:pPr>
      <w:r>
        <w:t>5.2 Minimal trust graph</w:t>
      </w:r>
    </w:p>
    <w:tbl>
      <w:tblPr>
        <w:tblW w:type="auto" w:w="0"/>
        <w:jc w:val="center"/>
        <w:tblLayout w:type="fixed"/>
        <w:tblLook w:firstColumn="1" w:firstRow="1" w:lastColumn="0" w:lastRow="0" w:noHBand="0" w:noVBand="1" w:val="04A0"/>
      </w:tblPr>
      <w:tblGrid>
        <w:gridCol w:w="8617"/>
      </w:tblGrid>
      <w:tr>
        <w:tc>
          <w:tcPr>
            <w:tcW w:type="dxa" w:w="9746"/>
            <w:shd w:fill="FAFBFD"/>
            <w:tcBorders>
              <w:left w:val="single" w:sz="8" w:color="D9E2F2"/>
              <w:top w:val="single" w:sz="8" w:color="D9E2F2"/>
              <w:right w:val="single" w:sz="8" w:color="D9E2F2"/>
              <w:bottom w:val="single" w:sz="8" w:color="D9E2F2"/>
            </w:tcBorders>
          </w:tcPr>
          <w:p>
            <w:r>
              <w:rPr>
                <w:rFonts w:ascii="Consolas" w:hAnsi="Consolas"/>
                <w:sz w:val="18"/>
              </w:rPr>
              <w:t>Owner DID  ----(owns/sponsors)---&gt;  Agent DID</w:t>
              <w:br/>
              <w:t>Agent DID  ----(bound to)-------&gt;  Smart Account</w:t>
              <w:br/>
              <w:t>Issuer DID ----(issues VC)-------&gt;  Ownership VC / KYC VC / Authority VC</w:t>
              <w:br/>
              <w:t>Verifier ----(checks)------------&gt;  DID resolution + VC validity + policy + revocation</w:t>
              <w:br/>
              <w:t>Execution ----(writes)-----------&gt;  On-chain payment or attestation receipt</w:t>
            </w:r>
          </w:p>
        </w:tc>
      </w:tr>
    </w:tbl>
    <w:p/>
    <w:p>
      <w:pPr>
        <w:pStyle w:val="Heading1"/>
        <w:spacing w:before="240"/>
      </w:pPr>
      <w:r>
        <w:t>6. Identity layer in detail</w:t>
      </w:r>
    </w:p>
    <w:p>
      <w:pPr>
        <w:pStyle w:val="Heading2"/>
        <w:spacing w:before="160"/>
      </w:pPr>
      <w:r>
        <w:t>6.1 DID method strategy</w:t>
      </w:r>
    </w:p>
    <w:p>
      <w:r>
        <w:t>There are three realistic choices for v1.0, each with trade-offs: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did:key</w:t>
            </w:r>
          </w:p>
        </w:tc>
        <w:tc>
          <w:tcPr>
            <w:tcW w:type="dxa" w:w="1928"/>
            <w:vAlign w:val="center"/>
            <w:tcBorders>
              <w:left w:val="single" w:sz="8" w:color="D9E2F2"/>
              <w:top w:val="single" w:sz="8" w:color="D9E2F2"/>
              <w:right w:val="single" w:sz="8" w:color="D9E2F2"/>
              <w:bottom w:val="single" w:sz="8" w:color="D9E2F2"/>
            </w:tcBorders>
          </w:tcPr>
          <w:p>
            <w:pPr>
              <w:spacing w:after="40"/>
            </w:pPr>
            <w:r>
              <w:t>Fastest to start</w:t>
            </w:r>
          </w:p>
        </w:tc>
        <w:tc>
          <w:tcPr>
            <w:tcW w:type="dxa" w:w="2721"/>
            <w:vAlign w:val="center"/>
            <w:tcBorders>
              <w:left w:val="single" w:sz="8" w:color="D9E2F2"/>
              <w:top w:val="single" w:sz="8" w:color="D9E2F2"/>
              <w:right w:val="single" w:sz="8" w:color="D9E2F2"/>
              <w:bottom w:val="single" w:sz="8" w:color="D9E2F2"/>
            </w:tcBorders>
          </w:tcPr>
          <w:p>
            <w:pPr>
              <w:spacing w:after="40"/>
            </w:pPr>
            <w:r>
              <w:t>No registry required; simple self-certifying identifier</w:t>
            </w:r>
          </w:p>
        </w:tc>
        <w:tc>
          <w:tcPr>
            <w:tcW w:type="dxa" w:w="2835"/>
            <w:vAlign w:val="center"/>
            <w:tcBorders>
              <w:left w:val="single" w:sz="8" w:color="D9E2F2"/>
              <w:top w:val="single" w:sz="8" w:color="D9E2F2"/>
              <w:right w:val="single" w:sz="8" w:color="D9E2F2"/>
              <w:bottom w:val="single" w:sz="8" w:color="D9E2F2"/>
            </w:tcBorders>
          </w:tcPr>
          <w:p>
            <w:pPr>
              <w:spacing w:after="40"/>
            </w:pPr>
            <w:r>
              <w:t>Poor fit for mutable lifecycle, rotation history, and rich service discovery</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did:web</w:t>
            </w:r>
          </w:p>
        </w:tc>
        <w:tc>
          <w:tcPr>
            <w:tcW w:type="dxa" w:w="1928"/>
            <w:vAlign w:val="center"/>
            <w:tcBorders>
              <w:left w:val="single" w:sz="8" w:color="D9E2F2"/>
              <w:top w:val="single" w:sz="8" w:color="D9E2F2"/>
              <w:right w:val="single" w:sz="8" w:color="D9E2F2"/>
              <w:bottom w:val="single" w:sz="8" w:color="D9E2F2"/>
            </w:tcBorders>
          </w:tcPr>
          <w:p>
            <w:pPr>
              <w:spacing w:after="40"/>
            </w:pPr>
            <w:r>
              <w:t>Operationally simple</w:t>
            </w:r>
          </w:p>
        </w:tc>
        <w:tc>
          <w:tcPr>
            <w:tcW w:type="dxa" w:w="2721"/>
            <w:vAlign w:val="center"/>
            <w:tcBorders>
              <w:left w:val="single" w:sz="8" w:color="D9E2F2"/>
              <w:top w:val="single" w:sz="8" w:color="D9E2F2"/>
              <w:right w:val="single" w:sz="8" w:color="D9E2F2"/>
              <w:bottom w:val="single" w:sz="8" w:color="D9E2F2"/>
            </w:tcBorders>
          </w:tcPr>
          <w:p>
            <w:pPr>
              <w:spacing w:after="40"/>
            </w:pPr>
            <w:r>
              <w:t>Easy control through standard web infrastructure; human-readable</w:t>
            </w:r>
          </w:p>
        </w:tc>
        <w:tc>
          <w:tcPr>
            <w:tcW w:type="dxa" w:w="2835"/>
            <w:vAlign w:val="center"/>
            <w:tcBorders>
              <w:left w:val="single" w:sz="8" w:color="D9E2F2"/>
              <w:top w:val="single" w:sz="8" w:color="D9E2F2"/>
              <w:right w:val="single" w:sz="8" w:color="D9E2F2"/>
              <w:bottom w:val="single" w:sz="8" w:color="D9E2F2"/>
            </w:tcBorders>
          </w:tcPr>
          <w:p>
            <w:pPr>
              <w:spacing w:after="40"/>
            </w:pPr>
            <w:r>
              <w:t>Depends on domain control; less natively on-chain</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Custom method (e.g., did:agent)</w:t>
            </w:r>
          </w:p>
        </w:tc>
        <w:tc>
          <w:tcPr>
            <w:tcW w:type="dxa" w:w="1928"/>
            <w:vAlign w:val="center"/>
            <w:tcBorders>
              <w:left w:val="single" w:sz="8" w:color="D9E2F2"/>
              <w:top w:val="single" w:sz="8" w:color="D9E2F2"/>
              <w:right w:val="single" w:sz="8" w:color="D9E2F2"/>
              <w:bottom w:val="single" w:sz="8" w:color="D9E2F2"/>
            </w:tcBorders>
          </w:tcPr>
          <w:p>
            <w:pPr>
              <w:spacing w:after="40"/>
            </w:pPr>
            <w:r>
              <w:t>Best long-term fit</w:t>
            </w:r>
          </w:p>
        </w:tc>
        <w:tc>
          <w:tcPr>
            <w:tcW w:type="dxa" w:w="2721"/>
            <w:vAlign w:val="center"/>
            <w:tcBorders>
              <w:left w:val="single" w:sz="8" w:color="D9E2F2"/>
              <w:top w:val="single" w:sz="8" w:color="D9E2F2"/>
              <w:right w:val="single" w:sz="8" w:color="D9E2F2"/>
              <w:bottom w:val="single" w:sz="8" w:color="D9E2F2"/>
            </w:tcBorders>
          </w:tcPr>
          <w:p>
            <w:pPr>
              <w:spacing w:after="40"/>
            </w:pPr>
            <w:r>
              <w:t>Can define lifecycle, revocation, canonical bindings, and chain anchoring explicitly</w:t>
            </w:r>
          </w:p>
        </w:tc>
        <w:tc>
          <w:tcPr>
            <w:tcW w:type="dxa" w:w="2835"/>
            <w:vAlign w:val="center"/>
            <w:tcBorders>
              <w:left w:val="single" w:sz="8" w:color="D9E2F2"/>
              <w:top w:val="single" w:sz="8" w:color="D9E2F2"/>
              <w:right w:val="single" w:sz="8" w:color="D9E2F2"/>
              <w:bottom w:val="single" w:sz="8" w:color="D9E2F2"/>
            </w:tcBorders>
          </w:tcPr>
          <w:p>
            <w:pPr>
              <w:spacing w:after="40"/>
            </w:pPr>
            <w:r>
              <w:t>Highest design and implementation burden</w:t>
            </w:r>
          </w:p>
        </w:tc>
      </w:tr>
    </w:tbl>
    <w:p/>
    <w:p>
      <w:r>
        <w:t>Recommendation: start with a hybrid model. Use a web-backed issuer and verifier trust domain for speed, but bind agent state changes and wallet linkage to on-chain events. If the system succeeds, define a custom DID method later for richer lifecycle semantics.</w:t>
      </w:r>
    </w:p>
    <w:p>
      <w:pPr>
        <w:pStyle w:val="Heading2"/>
        <w:spacing w:before="160"/>
      </w:pPr>
      <w:r>
        <w:t>6.2 DID document fields that matter most for agents</w:t>
      </w:r>
    </w:p>
    <w:p>
      <w:pPr>
        <w:ind w:left="283" w:hanging="198"/>
      </w:pPr>
      <w:r>
        <w:rPr>
          <w:b/>
        </w:rPr>
        <w:t xml:space="preserve">• </w:t>
      </w:r>
      <w:r>
        <w:t>id: the canonical DID of the agent.</w:t>
      </w:r>
    </w:p>
    <w:p>
      <w:pPr>
        <w:ind w:left="283" w:hanging="198"/>
      </w:pPr>
      <w:r>
        <w:rPr>
          <w:b/>
        </w:rPr>
        <w:t xml:space="preserve">• </w:t>
      </w:r>
      <w:r>
        <w:t>controller: who can rotate keys or alter the DID document; this should usually be a policy or owner authority, not the hot transaction key.</w:t>
      </w:r>
    </w:p>
    <w:p>
      <w:pPr>
        <w:ind w:left="283" w:hanging="198"/>
      </w:pPr>
      <w:r>
        <w:rPr>
          <w:b/>
        </w:rPr>
        <w:t xml:space="preserve">• </w:t>
      </w:r>
      <w:r>
        <w:t>verificationMethod: public keys or JWK references used for authentication, assertion, or capability work.</w:t>
      </w:r>
    </w:p>
    <w:p>
      <w:pPr>
        <w:ind w:left="283" w:hanging="198"/>
      </w:pPr>
      <w:r>
        <w:rPr>
          <w:b/>
        </w:rPr>
        <w:t xml:space="preserve">• </w:t>
      </w:r>
      <w:r>
        <w:t>authentication: methods the agent can use to prove control.</w:t>
      </w:r>
    </w:p>
    <w:p>
      <w:pPr>
        <w:ind w:left="283" w:hanging="198"/>
      </w:pPr>
      <w:r>
        <w:rPr>
          <w:b/>
        </w:rPr>
        <w:t xml:space="preserve">• </w:t>
      </w:r>
      <w:r>
        <w:t>assertionMethod: methods used to sign claims or execution attestations.</w:t>
      </w:r>
    </w:p>
    <w:p>
      <w:pPr>
        <w:ind w:left="283" w:hanging="198"/>
      </w:pPr>
      <w:r>
        <w:rPr>
          <w:b/>
        </w:rPr>
        <w:t xml:space="preserve">• </w:t>
      </w:r>
      <w:r>
        <w:t>capabilityInvocation and capabilityDelegation: especially relevant for delegated authority and later capability-based security models.</w:t>
      </w:r>
    </w:p>
    <w:p>
      <w:pPr>
        <w:ind w:left="283" w:hanging="198"/>
      </w:pPr>
      <w:r>
        <w:rPr>
          <w:b/>
        </w:rPr>
        <w:t xml:space="preserve">• </w:t>
      </w:r>
      <w:r>
        <w:t>service: service endpoints such as policy endpoint, presentation endpoint, messaging endpoint, or account-opening endpoint.</w:t>
      </w:r>
    </w:p>
    <w:tbl>
      <w:tblPr>
        <w:tblW w:type="auto" w:w="0"/>
        <w:jc w:val="center"/>
        <w:tblLayout w:type="fixed"/>
        <w:tblLook w:firstColumn="1" w:firstRow="1" w:lastColumn="0" w:lastRow="0" w:noHBand="0" w:noVBand="1" w:val="04A0"/>
      </w:tblPr>
      <w:tblGrid>
        <w:gridCol w:w="8617"/>
      </w:tblGrid>
      <w:tr>
        <w:tc>
          <w:tcPr>
            <w:tcW w:type="dxa" w:w="9746"/>
            <w:shd w:fill="FAFBFD"/>
            <w:tcBorders>
              <w:left w:val="single" w:sz="8" w:color="D9E2F2"/>
              <w:top w:val="single" w:sz="8" w:color="D9E2F2"/>
              <w:right w:val="single" w:sz="8" w:color="D9E2F2"/>
              <w:bottom w:val="single" w:sz="8" w:color="D9E2F2"/>
            </w:tcBorders>
          </w:tcPr>
          <w:p>
            <w:r>
              <w:rPr>
                <w:rFonts w:ascii="Consolas" w:hAnsi="Consolas"/>
                <w:sz w:val="18"/>
              </w:rPr>
              <w:t>{</w:t>
              <w:br/>
              <w:t xml:space="preserve">  "id": "did:web:agents.example.com:agent:8f1d",</w:t>
              <w:br/>
              <w:t xml:space="preserve">  "controller": ["did:web:treasury.example.com"],</w:t>
              <w:br/>
              <w:t xml:space="preserve">  "verificationMethod": [{</w:t>
              <w:br/>
              <w:t xml:space="preserve">    "id": "did:web:agents.example.com:agent:8f1d#auth-1",</w:t>
              <w:br/>
              <w:t xml:space="preserve">    "type": "JsonWebKey",</w:t>
              <w:br/>
              <w:t xml:space="preserve">    "controller": "did:web:agents.example.com:agent:8f1d",</w:t>
              <w:br/>
              <w:t xml:space="preserve">    "publicKeyJwk": {"kty": "EC", "crv": "P-256", "x": "...", "y": "..."}</w:t>
              <w:br/>
              <w:t xml:space="preserve">  }],</w:t>
              <w:br/>
              <w:t xml:space="preserve">  "authentication": ["did:web:agents.example.com:agent:8f1d#auth-1"],</w:t>
              <w:br/>
              <w:t xml:space="preserve">  "assertionMethod": ["did:web:agents.example.com:agent:8f1d#auth-1"],</w:t>
              <w:br/>
              <w:t xml:space="preserve">  "service": [{</w:t>
              <w:br/>
              <w:t xml:space="preserve">    "id": "did:web:agents.example.com:agent:8f1d#policy",</w:t>
              <w:br/>
              <w:t xml:space="preserve">    "type": "AgentPolicyService",</w:t>
              <w:br/>
              <w:t xml:space="preserve">    "serviceEndpoint": "https://policy.example.com/agents/8f1d"</w:t>
              <w:br/>
              <w:t xml:space="preserve">  }]</w:t>
              <w:br/>
              <w:t>}</w:t>
            </w:r>
          </w:p>
        </w:tc>
      </w:tr>
    </w:tbl>
    <w:p/>
    <w:p>
      <w:pPr>
        <w:pStyle w:val="Heading1"/>
        <w:spacing w:before="240"/>
      </w:pPr>
      <w:r>
        <w:t>7. Credential layer in detail</w:t>
      </w:r>
    </w:p>
    <w:p>
      <w:r>
        <w:t>A DID identifies. A credential says something about that identified subject. For this design, credentials should be issued off-chain, held by a wallet or identity agent, presented selectively, and anchored on-chain only when necessary.</w:t>
      </w:r>
    </w:p>
    <w:p>
      <w:pPr>
        <w:pStyle w:val="Heading2"/>
        <w:spacing w:before="160"/>
      </w:pPr>
      <w:r>
        <w:t>7.1 Recommended credential set</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Ownership VC</w:t>
            </w:r>
          </w:p>
        </w:tc>
        <w:tc>
          <w:tcPr>
            <w:tcW w:type="dxa" w:w="1928"/>
            <w:vAlign w:val="center"/>
            <w:tcBorders>
              <w:left w:val="single" w:sz="8" w:color="D9E2F2"/>
              <w:top w:val="single" w:sz="8" w:color="D9E2F2"/>
              <w:right w:val="single" w:sz="8" w:color="D9E2F2"/>
              <w:bottom w:val="single" w:sz="8" w:color="D9E2F2"/>
            </w:tcBorders>
          </w:tcPr>
          <w:p>
            <w:pPr>
              <w:spacing w:after="40"/>
            </w:pPr>
            <w:r>
              <w:t>Binds an agent DID to an owner DID or organization DID</w:t>
            </w:r>
          </w:p>
        </w:tc>
        <w:tc>
          <w:tcPr>
            <w:tcW w:type="dxa" w:w="2721"/>
            <w:vAlign w:val="center"/>
            <w:tcBorders>
              <w:left w:val="single" w:sz="8" w:color="D9E2F2"/>
              <w:top w:val="single" w:sz="8" w:color="D9E2F2"/>
              <w:right w:val="single" w:sz="8" w:color="D9E2F2"/>
              <w:bottom w:val="single" w:sz="8" w:color="D9E2F2"/>
            </w:tcBorders>
          </w:tcPr>
          <w:p>
            <w:pPr>
              <w:spacing w:after="40"/>
            </w:pPr>
            <w:r>
              <w:t>Who is ultimately responsible for the agent</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KYC/KYB Result VC</w:t>
            </w:r>
          </w:p>
        </w:tc>
        <w:tc>
          <w:tcPr>
            <w:tcW w:type="dxa" w:w="1928"/>
            <w:vAlign w:val="center"/>
            <w:tcBorders>
              <w:left w:val="single" w:sz="8" w:color="D9E2F2"/>
              <w:top w:val="single" w:sz="8" w:color="D9E2F2"/>
              <w:right w:val="single" w:sz="8" w:color="D9E2F2"/>
              <w:bottom w:val="single" w:sz="8" w:color="D9E2F2"/>
            </w:tcBorders>
          </w:tcPr>
          <w:p>
            <w:pPr>
              <w:spacing w:after="40"/>
            </w:pPr>
            <w:r>
              <w:t>States that required verification was completed by a trusted issuer</w:t>
            </w:r>
          </w:p>
        </w:tc>
        <w:tc>
          <w:tcPr>
            <w:tcW w:type="dxa" w:w="2721"/>
            <w:vAlign w:val="center"/>
            <w:tcBorders>
              <w:left w:val="single" w:sz="8" w:color="D9E2F2"/>
              <w:top w:val="single" w:sz="8" w:color="D9E2F2"/>
              <w:right w:val="single" w:sz="8" w:color="D9E2F2"/>
              <w:bottom w:val="single" w:sz="8" w:color="D9E2F2"/>
            </w:tcBorders>
          </w:tcPr>
          <w:p>
            <w:pPr>
              <w:spacing w:after="40"/>
            </w:pPr>
            <w:r>
              <w:t>Whether the owner or institution passed onboarding</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Authority VC</w:t>
            </w:r>
          </w:p>
        </w:tc>
        <w:tc>
          <w:tcPr>
            <w:tcW w:type="dxa" w:w="1928"/>
            <w:vAlign w:val="center"/>
            <w:tcBorders>
              <w:left w:val="single" w:sz="8" w:color="D9E2F2"/>
              <w:top w:val="single" w:sz="8" w:color="D9E2F2"/>
              <w:right w:val="single" w:sz="8" w:color="D9E2F2"/>
              <w:bottom w:val="single" w:sz="8" w:color="D9E2F2"/>
            </w:tcBorders>
          </w:tcPr>
          <w:p>
            <w:pPr>
              <w:spacing w:after="40"/>
            </w:pPr>
            <w:r>
              <w:t>States what the agent may do financially</w:t>
            </w:r>
          </w:p>
        </w:tc>
        <w:tc>
          <w:tcPr>
            <w:tcW w:type="dxa" w:w="2721"/>
            <w:vAlign w:val="center"/>
            <w:tcBorders>
              <w:left w:val="single" w:sz="8" w:color="D9E2F2"/>
              <w:top w:val="single" w:sz="8" w:color="D9E2F2"/>
              <w:right w:val="single" w:sz="8" w:color="D9E2F2"/>
              <w:bottom w:val="single" w:sz="8" w:color="D9E2F2"/>
            </w:tcBorders>
          </w:tcPr>
          <w:p>
            <w:pPr>
              <w:spacing w:after="40"/>
            </w:pPr>
            <w:r>
              <w:t>Spend, payment, venue, asset, or settlement permissions</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Risk or Status VC</w:t>
            </w:r>
          </w:p>
        </w:tc>
        <w:tc>
          <w:tcPr>
            <w:tcW w:type="dxa" w:w="1928"/>
            <w:vAlign w:val="center"/>
            <w:tcBorders>
              <w:left w:val="single" w:sz="8" w:color="D9E2F2"/>
              <w:top w:val="single" w:sz="8" w:color="D9E2F2"/>
              <w:right w:val="single" w:sz="8" w:color="D9E2F2"/>
              <w:bottom w:val="single" w:sz="8" w:color="D9E2F2"/>
            </w:tcBorders>
          </w:tcPr>
          <w:p>
            <w:pPr>
              <w:spacing w:after="40"/>
            </w:pPr>
            <w:r>
              <w:t>States operational status or risk level</w:t>
            </w:r>
          </w:p>
        </w:tc>
        <w:tc>
          <w:tcPr>
            <w:tcW w:type="dxa" w:w="2721"/>
            <w:vAlign w:val="center"/>
            <w:tcBorders>
              <w:left w:val="single" w:sz="8" w:color="D9E2F2"/>
              <w:top w:val="single" w:sz="8" w:color="D9E2F2"/>
              <w:right w:val="single" w:sz="8" w:color="D9E2F2"/>
              <w:bottom w:val="single" w:sz="8" w:color="D9E2F2"/>
            </w:tcBorders>
          </w:tcPr>
          <w:p>
            <w:pPr>
              <w:spacing w:after="40"/>
            </w:pPr>
            <w:r>
              <w:t>Suspended, probationary, reduced limit, or region restricted</w:t>
            </w:r>
          </w:p>
        </w:tc>
        <w:tc>
          <w:tcPr>
            <w:tcW w:type="dxa" w:w="2436"/>
          </w:tcPr>
          <w:p/>
        </w:tc>
      </w:tr>
    </w:tbl>
    <w:p/>
    <w:p>
      <w:pPr>
        <w:pStyle w:val="Heading2"/>
        <w:spacing w:before="160"/>
      </w:pPr>
      <w:r>
        <w:t>7.2 Suggested authority VC claims</w:t>
      </w:r>
    </w:p>
    <w:tbl>
      <w:tblPr>
        <w:tblW w:type="auto" w:w="0"/>
        <w:jc w:val="center"/>
        <w:tblLayout w:type="fixed"/>
        <w:tblLook w:firstColumn="1" w:firstRow="1" w:lastColumn="0" w:lastRow="0" w:noHBand="0" w:noVBand="1" w:val="04A0"/>
      </w:tblPr>
      <w:tblGrid>
        <w:gridCol w:w="8617"/>
      </w:tblGrid>
      <w:tr>
        <w:tc>
          <w:tcPr>
            <w:tcW w:type="dxa" w:w="9746"/>
            <w:shd w:fill="FAFBFD"/>
            <w:tcBorders>
              <w:left w:val="single" w:sz="8" w:color="D9E2F2"/>
              <w:top w:val="single" w:sz="8" w:color="D9E2F2"/>
              <w:right w:val="single" w:sz="8" w:color="D9E2F2"/>
              <w:bottom w:val="single" w:sz="8" w:color="D9E2F2"/>
            </w:tcBorders>
          </w:tcPr>
          <w:p>
            <w:r>
              <w:rPr>
                <w:rFonts w:ascii="Consolas" w:hAnsi="Consolas"/>
                <w:sz w:val="18"/>
              </w:rPr>
              <w:t>{</w:t>
              <w:br/>
              <w:t xml:space="preserve">  "type": ["VerifiableCredential", "AgentAuthorityCredential"],</w:t>
              <w:br/>
              <w:t xml:space="preserve">  "issuer": "did:web:issuer.example.com",</w:t>
              <w:br/>
              <w:t xml:space="preserve">  "credentialSubject": {</w:t>
              <w:br/>
              <w:t xml:space="preserve">    "id": "did:web:agents.example.com:agent:8f1d",</w:t>
              <w:br/>
              <w:t xml:space="preserve">    "owner": "did:web:fund.example.com",</w:t>
              <w:br/>
              <w:t xml:space="preserve">    "allowedActions": ["payment.execute", "payment.intent.create"],</w:t>
              <w:br/>
              <w:t xml:space="preserve">    "allowedAssets": ["USDC", "USDT"],</w:t>
              <w:br/>
              <w:t xml:space="preserve">    "counterpartyPolicy": {"allowList": ["merchant:alpha", "api:beta"]},</w:t>
              <w:br/>
              <w:t xml:space="preserve">    "amountLimits": {"single": "100.00", "daily": "1000.00"},</w:t>
              <w:br/>
              <w:t xml:space="preserve">    "regions": ["SG", "UAE"],</w:t>
              <w:br/>
              <w:t xml:space="preserve">    "requiresHumanApprovalAbove": "25.00",</w:t>
              <w:br/>
              <w:t xml:space="preserve">    "validUntil": "2026-12-31T23:59:59Z"</w:t>
              <w:br/>
              <w:t xml:space="preserve">  }</w:t>
              <w:br/>
              <w:t>}</w:t>
            </w:r>
          </w:p>
        </w:tc>
      </w:tr>
    </w:tbl>
    <w:p/>
    <w:p>
      <w:pPr>
        <w:pStyle w:val="Heading2"/>
        <w:spacing w:before="160"/>
      </w:pPr>
      <w:r>
        <w:t>7.3 Issuance and presentation protocols</w:t>
      </w:r>
    </w:p>
    <w:p>
      <w:pPr>
        <w:ind w:left="283" w:hanging="198"/>
      </w:pPr>
      <w:r>
        <w:rPr>
          <w:b/>
        </w:rPr>
        <w:t xml:space="preserve">• </w:t>
      </w:r>
      <w:r>
        <w:t>Use OpenID4VCI or an equivalent OAuth-style issuance flow to issue credentials to the owner wallet or custody layer.</w:t>
      </w:r>
    </w:p>
    <w:p>
      <w:pPr>
        <w:ind w:left="283" w:hanging="198"/>
      </w:pPr>
      <w:r>
        <w:rPr>
          <w:b/>
        </w:rPr>
        <w:t xml:space="preserve">• </w:t>
      </w:r>
      <w:r>
        <w:t>Use OpenID4VP or a comparable presentation protocol when a wallet, venue, or payment verifier needs proof of KYC or authority.</w:t>
      </w:r>
    </w:p>
    <w:p>
      <w:pPr>
        <w:ind w:left="283" w:hanging="198"/>
      </w:pPr>
      <w:r>
        <w:rPr>
          <w:b/>
        </w:rPr>
        <w:t xml:space="preserve">• </w:t>
      </w:r>
      <w:r>
        <w:t>Support selective disclosure where possible so verifiers learn “this agent is authorized” without receiving full KYC payloads.</w:t>
      </w:r>
    </w:p>
    <w:p>
      <w:pPr>
        <w:ind w:left="283" w:hanging="198"/>
      </w:pPr>
      <w:r>
        <w:rPr>
          <w:b/>
        </w:rPr>
        <w:t xml:space="preserve">• </w:t>
      </w:r>
      <w:r>
        <w:t>Maintain a credential status and revocation registry that can be checked during payment or account opening.</w:t>
      </w:r>
    </w:p>
    <w:p>
      <w:pPr>
        <w:pStyle w:val="Heading1"/>
        <w:spacing w:before="240"/>
      </w:pPr>
      <w:r>
        <w:t>8. Account opening and wallet architecture</w:t>
      </w:r>
    </w:p>
    <w:p>
      <w:pPr>
        <w:pStyle w:val="Heading2"/>
        <w:spacing w:before="160"/>
      </w:pPr>
      <w:r>
        <w:t>8.1 What “account opening” means for agents</w:t>
      </w:r>
    </w:p>
    <w:p>
      <w:r>
        <w:t>In this stack, account opening is not a form-submission event. It is a state transition from “identified and authorized subject” to “subject with a wallet or account that can act within policy.”</w:t>
      </w:r>
    </w:p>
    <w:p>
      <w:pPr>
        <w:ind w:left="283" w:hanging="198"/>
      </w:pPr>
      <w:r>
        <w:rPr>
          <w:b/>
        </w:rPr>
        <w:t xml:space="preserve">• </w:t>
      </w:r>
      <w:r>
        <w:t>Create or assign an agent smart account.</w:t>
      </w:r>
    </w:p>
    <w:p>
      <w:pPr>
        <w:ind w:left="283" w:hanging="198"/>
      </w:pPr>
      <w:r>
        <w:rPr>
          <w:b/>
        </w:rPr>
        <w:t xml:space="preserve">• </w:t>
      </w:r>
      <w:r>
        <w:t>Bind the account to the Agent DID.</w:t>
      </w:r>
    </w:p>
    <w:p>
      <w:pPr>
        <w:ind w:left="283" w:hanging="198"/>
      </w:pPr>
      <w:r>
        <w:rPr>
          <w:b/>
        </w:rPr>
        <w:t xml:space="preserve">• </w:t>
      </w:r>
      <w:r>
        <w:t>Attach policy configuration and approved signers/session keys.</w:t>
      </w:r>
    </w:p>
    <w:p>
      <w:pPr>
        <w:ind w:left="283" w:hanging="198"/>
      </w:pPr>
      <w:r>
        <w:rPr>
          <w:b/>
        </w:rPr>
        <w:t xml:space="preserve">• </w:t>
      </w:r>
      <w:r>
        <w:t>Record the account-opening event and account status in an auditable registry.</w:t>
      </w:r>
    </w:p>
    <w:p>
      <w:pPr>
        <w:ind w:left="283" w:hanging="198"/>
      </w:pPr>
      <w:r>
        <w:rPr>
          <w:b/>
        </w:rPr>
        <w:t xml:space="preserve">• </w:t>
      </w:r>
      <w:r>
        <w:t>If needed, bind the agent account to a custodian, exchange sub-account, or internal treasury ledger.</w:t>
      </w:r>
    </w:p>
    <w:p>
      <w:pPr>
        <w:pStyle w:val="Heading2"/>
        <w:spacing w:before="160"/>
      </w:pPr>
      <w:r>
        <w:t>8.2 Recommended wallet stack</w:t>
      </w:r>
    </w:p>
    <w:p>
      <w:pPr>
        <w:ind w:left="283" w:hanging="198"/>
      </w:pPr>
      <w:r>
        <w:rPr>
          <w:b/>
        </w:rPr>
        <w:t xml:space="preserve">• </w:t>
      </w:r>
      <w:r>
        <w:t>Use ERC-4337 style smart accounts on an EVM chain or L2 for programmable verification logic, paymasters, and account-level policy support.</w:t>
      </w:r>
    </w:p>
    <w:p>
      <w:pPr>
        <w:ind w:left="283" w:hanging="198"/>
      </w:pPr>
      <w:r>
        <w:rPr>
          <w:b/>
        </w:rPr>
        <w:t xml:space="preserve">• </w:t>
      </w:r>
      <w:r>
        <w:t>Use a separate key hierarchy: cold governance keys for recovery and rotation; service keys for identity operations; short-lived session keys for low-risk execution.</w:t>
      </w:r>
    </w:p>
    <w:p>
      <w:pPr>
        <w:ind w:left="283" w:hanging="198"/>
      </w:pPr>
      <w:r>
        <w:rPr>
          <w:b/>
        </w:rPr>
        <w:t xml:space="preserve">• </w:t>
      </w:r>
      <w:r>
        <w:t>Support paymasters only after the identity and policy checks pass, to avoid subsidizing abusive traffic.</w:t>
      </w:r>
    </w:p>
    <w:p>
      <w:pPr>
        <w:ind w:left="283" w:hanging="198"/>
      </w:pPr>
      <w:r>
        <w:rPr>
          <w:b/>
        </w:rPr>
        <w:t xml:space="preserve">• </w:t>
      </w:r>
      <w:r>
        <w:t>For enterprises, add sub-accounts or treasury partitions so multiple agents can draw from bounded budgets rather than a shared hot wallet.</w:t>
      </w:r>
    </w:p>
    <w:p>
      <w:pPr>
        <w:pStyle w:val="Heading2"/>
        <w:spacing w:before="160"/>
      </w:pPr>
      <w:r>
        <w:t>8.3 Recommended on-chain account registry fields</w:t>
      </w:r>
    </w:p>
    <w:tbl>
      <w:tblPr>
        <w:tblW w:type="auto" w:w="0"/>
        <w:jc w:val="center"/>
        <w:tblLayout w:type="fixed"/>
        <w:tblLook w:firstColumn="1" w:firstRow="1" w:lastColumn="0" w:lastRow="0" w:noHBand="0" w:noVBand="1" w:val="04A0"/>
      </w:tblPr>
      <w:tblGrid>
        <w:gridCol w:w="8617"/>
      </w:tblGrid>
      <w:tr>
        <w:tc>
          <w:tcPr>
            <w:tcW w:type="dxa" w:w="9746"/>
            <w:shd w:fill="FAFBFD"/>
            <w:tcBorders>
              <w:left w:val="single" w:sz="8" w:color="D9E2F2"/>
              <w:top w:val="single" w:sz="8" w:color="D9E2F2"/>
              <w:right w:val="single" w:sz="8" w:color="D9E2F2"/>
              <w:bottom w:val="single" w:sz="8" w:color="D9E2F2"/>
            </w:tcBorders>
          </w:tcPr>
          <w:p>
            <w:r>
              <w:rPr>
                <w:rFonts w:ascii="Consolas" w:hAnsi="Consolas"/>
                <w:sz w:val="18"/>
              </w:rPr>
              <w:t>struct AgentAccountBinding {</w:t>
              <w:br/>
              <w:t xml:space="preserve">    bytes32 agentDidHash;</w:t>
              <w:br/>
              <w:t xml:space="preserve">    address smartAccount;</w:t>
              <w:br/>
              <w:t xml:space="preserve">    bytes32 currentAuthorityCredentialHash;</w:t>
              <w:br/>
              <w:t xml:space="preserve">    uint64 status; // active, suspended, revoked</w:t>
              <w:br/>
              <w:t xml:space="preserve">    uint64 createdAt;</w:t>
              <w:br/>
              <w:t xml:space="preserve">    uint64 updatedAt;</w:t>
              <w:br/>
              <w:t>}</w:t>
            </w:r>
          </w:p>
        </w:tc>
      </w:tr>
    </w:tbl>
    <w:p/>
    <w:p>
      <w:pPr>
        <w:pStyle w:val="Heading1"/>
        <w:spacing w:before="240"/>
      </w:pPr>
      <w:r>
        <w:t>9. Authorization and policy engine</w:t>
      </w:r>
    </w:p>
    <w:p>
      <w:r>
        <w:t>The policy engine is the real safety boundary. It decides whether a requested action is allowed now, by this agent, against this counterparty, with this asset, at this size, under this execution mode.</w:t>
      </w:r>
    </w:p>
    <w:p>
      <w:pPr>
        <w:pStyle w:val="Heading2"/>
        <w:spacing w:before="160"/>
      </w:pPr>
      <w:r>
        <w:t>9.1 Core policy dimensions</w:t>
      </w:r>
    </w:p>
    <w:p>
      <w:pPr>
        <w:ind w:left="283" w:hanging="198"/>
      </w:pPr>
      <w:r>
        <w:rPr>
          <w:b/>
        </w:rPr>
        <w:t xml:space="preserve">• </w:t>
      </w:r>
      <w:r>
        <w:t>Action scope: payment creation, payment execution, refund request, venue order submission, or custody withdrawal.</w:t>
      </w:r>
    </w:p>
    <w:p>
      <w:pPr>
        <w:ind w:left="283" w:hanging="198"/>
      </w:pPr>
      <w:r>
        <w:rPr>
          <w:b/>
        </w:rPr>
        <w:t xml:space="preserve">• </w:t>
      </w:r>
      <w:r>
        <w:t>Asset scope: which tokens or currencies are permitted.</w:t>
      </w:r>
    </w:p>
    <w:p>
      <w:pPr>
        <w:ind w:left="283" w:hanging="198"/>
      </w:pPr>
      <w:r>
        <w:rPr>
          <w:b/>
        </w:rPr>
        <w:t xml:space="preserve">• </w:t>
      </w:r>
      <w:r>
        <w:t>Counterparty scope: allowlist, denylist, jurisdiction restrictions, or trust/risk thresholds.</w:t>
      </w:r>
    </w:p>
    <w:p>
      <w:pPr>
        <w:ind w:left="283" w:hanging="198"/>
      </w:pPr>
      <w:r>
        <w:rPr>
          <w:b/>
        </w:rPr>
        <w:t xml:space="preserve">• </w:t>
      </w:r>
      <w:r>
        <w:t>Budget scope: single-transaction, rolling daily, rolling monthly, or strategy-lifetime caps.</w:t>
      </w:r>
    </w:p>
    <w:p>
      <w:pPr>
        <w:ind w:left="283" w:hanging="198"/>
      </w:pPr>
      <w:r>
        <w:rPr>
          <w:b/>
        </w:rPr>
        <w:t xml:space="preserve">• </w:t>
      </w:r>
      <w:r>
        <w:t>Approval scope: thresholds that trigger human approval or step-up authentication.</w:t>
      </w:r>
    </w:p>
    <w:p>
      <w:pPr>
        <w:ind w:left="283" w:hanging="198"/>
      </w:pPr>
      <w:r>
        <w:rPr>
          <w:b/>
        </w:rPr>
        <w:t xml:space="preserve">• </w:t>
      </w:r>
      <w:r>
        <w:t>Time scope: expiry windows, market hours, cooling-off windows, or kill-switch states.</w:t>
      </w:r>
    </w:p>
    <w:p>
      <w:pPr>
        <w:pStyle w:val="Heading2"/>
        <w:spacing w:before="160"/>
      </w:pPr>
      <w:r>
        <w:t>9.2 Execution modes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Human confirmed</w:t>
            </w:r>
          </w:p>
        </w:tc>
        <w:tc>
          <w:tcPr>
            <w:tcW w:type="dxa" w:w="1928"/>
            <w:vAlign w:val="center"/>
            <w:tcBorders>
              <w:left w:val="single" w:sz="8" w:color="D9E2F2"/>
              <w:top w:val="single" w:sz="8" w:color="D9E2F2"/>
              <w:right w:val="single" w:sz="8" w:color="D9E2F2"/>
              <w:bottom w:val="single" w:sz="8" w:color="D9E2F2"/>
            </w:tcBorders>
          </w:tcPr>
          <w:p>
            <w:pPr>
              <w:spacing w:after="40"/>
            </w:pPr>
            <w:r>
              <w:t>Agent proposes; owner confirms each material action</w:t>
            </w:r>
          </w:p>
        </w:tc>
        <w:tc>
          <w:tcPr>
            <w:tcW w:type="dxa" w:w="2721"/>
            <w:vAlign w:val="center"/>
            <w:tcBorders>
              <w:left w:val="single" w:sz="8" w:color="D9E2F2"/>
              <w:top w:val="single" w:sz="8" w:color="D9E2F2"/>
              <w:right w:val="single" w:sz="8" w:color="D9E2F2"/>
              <w:bottom w:val="single" w:sz="8" w:color="D9E2F2"/>
            </w:tcBorders>
          </w:tcPr>
          <w:p>
            <w:pPr>
              <w:spacing w:after="40"/>
            </w:pPr>
            <w:r>
              <w:t>Initial production rollout, high value or high risk payments</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Pre-authorized</w:t>
            </w:r>
          </w:p>
        </w:tc>
        <w:tc>
          <w:tcPr>
            <w:tcW w:type="dxa" w:w="1928"/>
            <w:vAlign w:val="center"/>
            <w:tcBorders>
              <w:left w:val="single" w:sz="8" w:color="D9E2F2"/>
              <w:top w:val="single" w:sz="8" w:color="D9E2F2"/>
              <w:right w:val="single" w:sz="8" w:color="D9E2F2"/>
              <w:bottom w:val="single" w:sz="8" w:color="D9E2F2"/>
            </w:tcBorders>
          </w:tcPr>
          <w:p>
            <w:pPr>
              <w:spacing w:after="40"/>
            </w:pPr>
            <w:r>
              <w:t>Agent acts automatically within narrow policy</w:t>
            </w:r>
          </w:p>
        </w:tc>
        <w:tc>
          <w:tcPr>
            <w:tcW w:type="dxa" w:w="2721"/>
            <w:vAlign w:val="center"/>
            <w:tcBorders>
              <w:left w:val="single" w:sz="8" w:color="D9E2F2"/>
              <w:top w:val="single" w:sz="8" w:color="D9E2F2"/>
              <w:right w:val="single" w:sz="8" w:color="D9E2F2"/>
              <w:bottom w:val="single" w:sz="8" w:color="D9E2F2"/>
            </w:tcBorders>
          </w:tcPr>
          <w:p>
            <w:pPr>
              <w:spacing w:after="40"/>
            </w:pPr>
            <w:r>
              <w:t>Recurring or low-risk payments; preferred v1 automation mode</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Fully agent-native</w:t>
            </w:r>
          </w:p>
        </w:tc>
        <w:tc>
          <w:tcPr>
            <w:tcW w:type="dxa" w:w="1928"/>
            <w:vAlign w:val="center"/>
            <w:tcBorders>
              <w:left w:val="single" w:sz="8" w:color="D9E2F2"/>
              <w:top w:val="single" w:sz="8" w:color="D9E2F2"/>
              <w:right w:val="single" w:sz="8" w:color="D9E2F2"/>
              <w:bottom w:val="single" w:sz="8" w:color="D9E2F2"/>
            </w:tcBorders>
          </w:tcPr>
          <w:p>
            <w:pPr>
              <w:spacing w:after="40"/>
            </w:pPr>
            <w:r>
              <w:t>Agent acts without immediate human confirmation but under enforceable policy and audit</w:t>
            </w:r>
          </w:p>
        </w:tc>
        <w:tc>
          <w:tcPr>
            <w:tcW w:type="dxa" w:w="2721"/>
            <w:vAlign w:val="center"/>
            <w:tcBorders>
              <w:left w:val="single" w:sz="8" w:color="D9E2F2"/>
              <w:top w:val="single" w:sz="8" w:color="D9E2F2"/>
              <w:right w:val="single" w:sz="8" w:color="D9E2F2"/>
              <w:bottom w:val="single" w:sz="8" w:color="D9E2F2"/>
            </w:tcBorders>
          </w:tcPr>
          <w:p>
            <w:pPr>
              <w:spacing w:after="40"/>
            </w:pPr>
            <w:r>
              <w:t>Later stage, only after strong controls and monitoring</w:t>
            </w:r>
          </w:p>
        </w:tc>
        <w:tc>
          <w:tcPr>
            <w:tcW w:type="dxa" w:w="2436"/>
          </w:tcPr>
          <w:p/>
        </w:tc>
      </w:tr>
    </w:tbl>
    <w:p/>
    <w:p>
      <w:pPr>
        <w:pStyle w:val="Heading2"/>
        <w:spacing w:before="160"/>
      </w:pPr>
      <w:r>
        <w:t>9.3 Policy decision pseudocode</w:t>
      </w:r>
    </w:p>
    <w:tbl>
      <w:tblPr>
        <w:tblW w:type="auto" w:w="0"/>
        <w:jc w:val="center"/>
        <w:tblLayout w:type="fixed"/>
        <w:tblLook w:firstColumn="1" w:firstRow="1" w:lastColumn="0" w:lastRow="0" w:noHBand="0" w:noVBand="1" w:val="04A0"/>
      </w:tblPr>
      <w:tblGrid>
        <w:gridCol w:w="8617"/>
      </w:tblGrid>
      <w:tr>
        <w:tc>
          <w:tcPr>
            <w:tcW w:type="dxa" w:w="9746"/>
            <w:shd w:fill="FAFBFD"/>
            <w:tcBorders>
              <w:left w:val="single" w:sz="8" w:color="D9E2F2"/>
              <w:top w:val="single" w:sz="8" w:color="D9E2F2"/>
              <w:right w:val="single" w:sz="8" w:color="D9E2F2"/>
              <w:bottom w:val="single" w:sz="8" w:color="D9E2F2"/>
            </w:tcBorders>
          </w:tcPr>
          <w:p>
            <w:r>
              <w:rPr>
                <w:rFonts w:ascii="Consolas" w:hAnsi="Consolas"/>
                <w:sz w:val="18"/>
              </w:rPr>
              <w:t>if agent_status != ACTIVE: reject</w:t>
              <w:br/>
              <w:t>if credential_revoked(authority_credential): reject</w:t>
              <w:br/>
              <w:t>if requested_asset not in allowed_assets: reject</w:t>
              <w:br/>
              <w:t>if counterparty not allowed: reject</w:t>
              <w:br/>
              <w:t>if amount &gt; single_limit: reject</w:t>
              <w:br/>
              <w:t>if daily_spend + amount &gt; daily_limit: reject</w:t>
              <w:br/>
              <w:t>if amount &gt; human_approval_threshold: require_approval</w:t>
              <w:br/>
              <w:t>execute_or_hold_intent()</w:t>
            </w:r>
          </w:p>
        </w:tc>
      </w:tr>
    </w:tbl>
    <w:p/>
    <w:p>
      <w:pPr>
        <w:pStyle w:val="Heading1"/>
        <w:spacing w:before="240"/>
      </w:pPr>
      <w:r>
        <w:t>10. Payment execution layer</w:t>
      </w:r>
    </w:p>
    <w:p>
      <w:r>
        <w:t>A robust payment base layer should use payment intents rather than direct transfer requests. Intents preserve context, give the policy engine time to validate claims, and provide a durable audit object.</w:t>
      </w:r>
    </w:p>
    <w:p>
      <w:pPr>
        <w:pStyle w:val="Heading2"/>
        <w:spacing w:before="160"/>
      </w:pPr>
      <w:r>
        <w:t>10.1 Payment intent lifecycle</w:t>
      </w:r>
    </w:p>
    <w:p>
      <w:pPr>
        <w:ind w:left="312" w:hanging="255"/>
      </w:pPr>
      <w:r>
        <w:rPr>
          <w:b/>
        </w:rPr>
        <w:t xml:space="preserve">1. </w:t>
      </w:r>
      <w:r>
        <w:t>Create intent: agent requests a payment or settlement action with context, amount, asset, counterparty, purpose, and requested execution mode.</w:t>
      </w:r>
    </w:p>
    <w:p>
      <w:pPr>
        <w:ind w:left="312" w:hanging="255"/>
      </w:pPr>
      <w:r>
        <w:rPr>
          <w:b/>
        </w:rPr>
        <w:t xml:space="preserve">2. </w:t>
      </w:r>
      <w:r>
        <w:t>Resolve and verify: verifier resolves DID, checks credential validity, checks revocation and account status.</w:t>
      </w:r>
    </w:p>
    <w:p>
      <w:pPr>
        <w:ind w:left="312" w:hanging="255"/>
      </w:pPr>
      <w:r>
        <w:rPr>
          <w:b/>
        </w:rPr>
        <w:t xml:space="preserve">3. </w:t>
      </w:r>
      <w:r>
        <w:t>Apply policy: policy engine decides allow, hold for approval, or deny.</w:t>
      </w:r>
    </w:p>
    <w:p>
      <w:pPr>
        <w:ind w:left="312" w:hanging="255"/>
      </w:pPr>
      <w:r>
        <w:rPr>
          <w:b/>
        </w:rPr>
        <w:t xml:space="preserve">4. </w:t>
      </w:r>
      <w:r>
        <w:t>Execute: wallet submits a user operation or chain transaction, or calls an off-chain settlement connector.</w:t>
      </w:r>
    </w:p>
    <w:p>
      <w:pPr>
        <w:ind w:left="312" w:hanging="255"/>
      </w:pPr>
      <w:r>
        <w:rPr>
          <w:b/>
        </w:rPr>
        <w:t xml:space="preserve">5. </w:t>
      </w:r>
      <w:r>
        <w:t>Attest and record: write receipt hash or attestation on-chain and store rich logs off-chain.</w:t>
      </w:r>
    </w:p>
    <w:p>
      <w:pPr>
        <w:pStyle w:val="Heading2"/>
        <w:spacing w:before="160"/>
      </w:pPr>
      <w:r>
        <w:t>10.2 Suggested payment intent object</w:t>
      </w:r>
    </w:p>
    <w:tbl>
      <w:tblPr>
        <w:tblW w:type="auto" w:w="0"/>
        <w:jc w:val="center"/>
        <w:tblLayout w:type="fixed"/>
        <w:tblLook w:firstColumn="1" w:firstRow="1" w:lastColumn="0" w:lastRow="0" w:noHBand="0" w:noVBand="1" w:val="04A0"/>
      </w:tblPr>
      <w:tblGrid>
        <w:gridCol w:w="8617"/>
      </w:tblGrid>
      <w:tr>
        <w:tc>
          <w:tcPr>
            <w:tcW w:type="dxa" w:w="9746"/>
            <w:shd w:fill="FAFBFD"/>
            <w:tcBorders>
              <w:left w:val="single" w:sz="8" w:color="D9E2F2"/>
              <w:top w:val="single" w:sz="8" w:color="D9E2F2"/>
              <w:right w:val="single" w:sz="8" w:color="D9E2F2"/>
              <w:bottom w:val="single" w:sz="8" w:color="D9E2F2"/>
            </w:tcBorders>
          </w:tcPr>
          <w:p>
            <w:r>
              <w:rPr>
                <w:rFonts w:ascii="Consolas" w:hAnsi="Consolas"/>
                <w:sz w:val="18"/>
              </w:rPr>
              <w:t>{</w:t>
              <w:br/>
              <w:t xml:space="preserve">  "intentId": "pi_01H...",</w:t>
              <w:br/>
              <w:t xml:space="preserve">  "agentDid": "did:web:agents.example.com:agent:8f1d",</w:t>
              <w:br/>
              <w:t xml:space="preserve">  "account": "0xabc...",</w:t>
              <w:br/>
              <w:t xml:space="preserve">  "counterparty": "merchant:alpha",</w:t>
              <w:br/>
              <w:t xml:space="preserve">  "asset": "USDC",</w:t>
              <w:br/>
              <w:t xml:space="preserve">  "amount": "12.50",</w:t>
              <w:br/>
              <w:t xml:space="preserve">  "purpose": "api-call-settlement",</w:t>
              <w:br/>
              <w:t xml:space="preserve">  "mode": "pre_authorized",</w:t>
              <w:br/>
              <w:t xml:space="preserve">  "credentialRefs": ["cred_ownership", "cred_authority"],</w:t>
              <w:br/>
              <w:t xml:space="preserve">  "policyRef": "policy_v7",</w:t>
              <w:br/>
              <w:t xml:space="preserve">  "createdAt": "2026-03-14T10:00:00Z"</w:t>
              <w:br/>
              <w:t>}</w:t>
            </w:r>
          </w:p>
        </w:tc>
      </w:tr>
    </w:tbl>
    <w:p/>
    <w:p>
      <w:pPr>
        <w:pStyle w:val="Heading2"/>
        <w:spacing w:before="160"/>
      </w:pPr>
      <w:r>
        <w:t>10.3 Payment connectors</w:t>
      </w:r>
    </w:p>
    <w:p>
      <w:pPr>
        <w:ind w:left="283" w:hanging="198"/>
      </w:pPr>
      <w:r>
        <w:rPr>
          <w:b/>
        </w:rPr>
        <w:t xml:space="preserve">• </w:t>
      </w:r>
      <w:r>
        <w:t>On-chain stablecoin transfer for agent-native settlement.</w:t>
      </w:r>
    </w:p>
    <w:p>
      <w:pPr>
        <w:ind w:left="283" w:hanging="198"/>
      </w:pPr>
      <w:r>
        <w:rPr>
          <w:b/>
        </w:rPr>
        <w:t xml:space="preserve">• </w:t>
      </w:r>
      <w:r>
        <w:t>Escrow release flow for condition-based completion.</w:t>
      </w:r>
    </w:p>
    <w:p>
      <w:pPr>
        <w:ind w:left="283" w:hanging="198"/>
      </w:pPr>
      <w:r>
        <w:rPr>
          <w:b/>
        </w:rPr>
        <w:t xml:space="preserve">• </w:t>
      </w:r>
      <w:r>
        <w:t>Internal ledger movement for high-frequency or micro-payment environments.</w:t>
      </w:r>
    </w:p>
    <w:p>
      <w:pPr>
        <w:ind w:left="283" w:hanging="198"/>
      </w:pPr>
      <w:r>
        <w:rPr>
          <w:b/>
        </w:rPr>
        <w:t xml:space="preserve">• </w:t>
      </w:r>
      <w:r>
        <w:t>Optional bridge to fiat rails later, but only after the authority model is stable.</w:t>
      </w:r>
    </w:p>
    <w:p>
      <w:pPr>
        <w:pStyle w:val="Heading1"/>
        <w:spacing w:before="240"/>
      </w:pPr>
      <w:r>
        <w:t>11. On-chain versus off-chain data placement</w:t>
      </w:r>
    </w:p>
    <w:p>
      <w:r>
        <w:t>A common failure mode is trying to make “identity on-chain” mean “all identity data on-chain.” That is not recommended. The better model is anchored verifiability.</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On-chain</w:t>
            </w:r>
          </w:p>
        </w:tc>
        <w:tc>
          <w:tcPr>
            <w:tcW w:type="dxa" w:w="1928"/>
            <w:vAlign w:val="center"/>
            <w:tcBorders>
              <w:left w:val="single" w:sz="8" w:color="D9E2F2"/>
              <w:top w:val="single" w:sz="8" w:color="D9E2F2"/>
              <w:right w:val="single" w:sz="8" w:color="D9E2F2"/>
              <w:bottom w:val="single" w:sz="8" w:color="D9E2F2"/>
            </w:tcBorders>
          </w:tcPr>
          <w:p>
            <w:pPr>
              <w:spacing w:after="40"/>
            </w:pPr>
            <w:r>
              <w:t>DID state anchor, wallet binding, credential hash, credential status, revocation status, policy commitment hash, payment or settlement attestation, account status flags</w:t>
            </w:r>
          </w:p>
        </w:tc>
        <w:tc>
          <w:tcPr>
            <w:tcW w:type="dxa" w:w="2721"/>
            <w:vAlign w:val="center"/>
            <w:tcBorders>
              <w:left w:val="single" w:sz="8" w:color="D9E2F2"/>
              <w:top w:val="single" w:sz="8" w:color="D9E2F2"/>
              <w:right w:val="single" w:sz="8" w:color="D9E2F2"/>
              <w:bottom w:val="single" w:sz="8" w:color="D9E2F2"/>
            </w:tcBorders>
          </w:tcPr>
          <w:p>
            <w:pPr>
              <w:spacing w:after="40"/>
            </w:pPr>
            <w:r>
              <w:t>Small, durable, privacy-conscious, auditable</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Off-chain</w:t>
            </w:r>
          </w:p>
        </w:tc>
        <w:tc>
          <w:tcPr>
            <w:tcW w:type="dxa" w:w="1928"/>
            <w:vAlign w:val="center"/>
            <w:tcBorders>
              <w:left w:val="single" w:sz="8" w:color="D9E2F2"/>
              <w:top w:val="single" w:sz="8" w:color="D9E2F2"/>
              <w:right w:val="single" w:sz="8" w:color="D9E2F2"/>
              <w:bottom w:val="single" w:sz="8" w:color="D9E2F2"/>
            </w:tcBorders>
          </w:tcPr>
          <w:p>
            <w:pPr>
              <w:spacing w:after="40"/>
            </w:pPr>
            <w:r>
              <w:t>Raw KYC files, onboarding forms, sanctions evidence, full credential payloads when sensitive, internal risk scores, detailed payment context logs</w:t>
            </w:r>
          </w:p>
        </w:tc>
        <w:tc>
          <w:tcPr>
            <w:tcW w:type="dxa" w:w="2721"/>
            <w:vAlign w:val="center"/>
            <w:tcBorders>
              <w:left w:val="single" w:sz="8" w:color="D9E2F2"/>
              <w:top w:val="single" w:sz="8" w:color="D9E2F2"/>
              <w:right w:val="single" w:sz="8" w:color="D9E2F2"/>
              <w:bottom w:val="single" w:sz="8" w:color="D9E2F2"/>
            </w:tcBorders>
          </w:tcPr>
          <w:p>
            <w:pPr>
              <w:spacing w:after="40"/>
            </w:pPr>
            <w:r>
              <w:t>Sensitive, mutable, often legally erasable or access controlled</w:t>
            </w:r>
          </w:p>
        </w:tc>
        <w:tc>
          <w:tcPr>
            <w:tcW w:type="dxa" w:w="2436"/>
          </w:tcPr>
          <w:p/>
        </w:tc>
      </w:tr>
    </w:tbl>
    <w:p/>
    <w:p>
      <w:pPr>
        <w:pStyle w:val="Heading2"/>
        <w:spacing w:before="160"/>
      </w:pPr>
      <w:r>
        <w:t>11.1 Why this split works</w:t>
      </w:r>
    </w:p>
    <w:p>
      <w:pPr>
        <w:ind w:left="283" w:hanging="198"/>
      </w:pPr>
      <w:r>
        <w:rPr>
          <w:b/>
        </w:rPr>
        <w:t xml:space="preserve">• </w:t>
      </w:r>
      <w:r>
        <w:t>It supports privacy laws and operational minimization.</w:t>
      </w:r>
    </w:p>
    <w:p>
      <w:pPr>
        <w:ind w:left="283" w:hanging="198"/>
      </w:pPr>
      <w:r>
        <w:rPr>
          <w:b/>
        </w:rPr>
        <w:t xml:space="preserve">• </w:t>
      </w:r>
      <w:r>
        <w:t>It avoids putting revocable secrets or mutable business logic entirely on-chain.</w:t>
      </w:r>
    </w:p>
    <w:p>
      <w:pPr>
        <w:ind w:left="283" w:hanging="198"/>
      </w:pPr>
      <w:r>
        <w:rPr>
          <w:b/>
        </w:rPr>
        <w:t xml:space="preserve">• </w:t>
      </w:r>
      <w:r>
        <w:t>It still provides a cryptographic anchor and tamper-evident trail for what mattered at the time of execution.</w:t>
      </w:r>
    </w:p>
    <w:p>
      <w:pPr>
        <w:pStyle w:val="Heading1"/>
        <w:spacing w:before="240"/>
      </w:pPr>
      <w:r>
        <w:t>12. Security, privacy, recovery, and revocation</w:t>
      </w:r>
    </w:p>
    <w:p>
      <w:pPr>
        <w:pStyle w:val="Heading2"/>
        <w:spacing w:before="160"/>
      </w:pPr>
      <w:r>
        <w:t>12.1 Security controls</w:t>
      </w:r>
    </w:p>
    <w:p>
      <w:pPr>
        <w:ind w:left="283" w:hanging="198"/>
      </w:pPr>
      <w:r>
        <w:rPr>
          <w:b/>
        </w:rPr>
        <w:t xml:space="preserve">• </w:t>
      </w:r>
      <w:r>
        <w:t>Separate identity control keys from execution keys.</w:t>
      </w:r>
    </w:p>
    <w:p>
      <w:pPr>
        <w:ind w:left="283" w:hanging="198"/>
      </w:pPr>
      <w:r>
        <w:rPr>
          <w:b/>
        </w:rPr>
        <w:t xml:space="preserve">• </w:t>
      </w:r>
      <w:r>
        <w:t>Use short-lived session keys for low-risk automation and revoke them aggressively.</w:t>
      </w:r>
    </w:p>
    <w:p>
      <w:pPr>
        <w:ind w:left="283" w:hanging="198"/>
      </w:pPr>
      <w:r>
        <w:rPr>
          <w:b/>
        </w:rPr>
        <w:t xml:space="preserve">• </w:t>
      </w:r>
      <w:r>
        <w:t>Keep a governance or recovery key path for emergency account suspension.</w:t>
      </w:r>
    </w:p>
    <w:p>
      <w:pPr>
        <w:ind w:left="283" w:hanging="198"/>
      </w:pPr>
      <w:r>
        <w:rPr>
          <w:b/>
        </w:rPr>
        <w:t xml:space="preserve">• </w:t>
      </w:r>
      <w:r>
        <w:t>Require counterparty, asset, and value policy checks before paymaster sponsorship or execution.</w:t>
      </w:r>
    </w:p>
    <w:p>
      <w:pPr>
        <w:ind w:left="283" w:hanging="198"/>
      </w:pPr>
      <w:r>
        <w:rPr>
          <w:b/>
        </w:rPr>
        <w:t xml:space="preserve">• </w:t>
      </w:r>
      <w:r>
        <w:t>Log every policy evaluation result, not just successful executions.</w:t>
      </w:r>
    </w:p>
    <w:p>
      <w:pPr>
        <w:pStyle w:val="Heading2"/>
        <w:spacing w:before="160"/>
      </w:pPr>
      <w:r>
        <w:t>12.2 Revocation and suspension</w:t>
      </w:r>
    </w:p>
    <w:p>
      <w:pPr>
        <w:ind w:left="283" w:hanging="198"/>
      </w:pPr>
      <w:r>
        <w:rPr>
          <w:b/>
        </w:rPr>
        <w:t xml:space="preserve">• </w:t>
      </w:r>
      <w:r>
        <w:t>Credentials must have status endpoints or revocation references that verifiers can check in real time or near real time.</w:t>
      </w:r>
    </w:p>
    <w:p>
      <w:pPr>
        <w:ind w:left="283" w:hanging="198"/>
      </w:pPr>
      <w:r>
        <w:rPr>
          <w:b/>
        </w:rPr>
        <w:t xml:space="preserve">• </w:t>
      </w:r>
      <w:r>
        <w:t>Agent accounts should support suspended and revoked states distinct from deleted.</w:t>
      </w:r>
    </w:p>
    <w:p>
      <w:pPr>
        <w:ind w:left="283" w:hanging="198"/>
      </w:pPr>
      <w:r>
        <w:rPr>
          <w:b/>
        </w:rPr>
        <w:t xml:space="preserve">• </w:t>
      </w:r>
      <w:r>
        <w:t>A revoked authority VC should cause future actions to fail even if the wallet still has funds.</w:t>
      </w:r>
    </w:p>
    <w:p>
      <w:pPr>
        <w:pStyle w:val="Heading2"/>
        <w:spacing w:before="160"/>
      </w:pPr>
      <w:r>
        <w:t>12.3 Recovery</w:t>
      </w:r>
    </w:p>
    <w:p>
      <w:pPr>
        <w:ind w:left="283" w:hanging="198"/>
      </w:pPr>
      <w:r>
        <w:rPr>
          <w:b/>
        </w:rPr>
        <w:t xml:space="preserve">• </w:t>
      </w:r>
      <w:r>
        <w:t>Plan for key rotation in DID Documents.</w:t>
      </w:r>
    </w:p>
    <w:p>
      <w:pPr>
        <w:ind w:left="283" w:hanging="198"/>
      </w:pPr>
      <w:r>
        <w:rPr>
          <w:b/>
        </w:rPr>
        <w:t xml:space="preserve">• </w:t>
      </w:r>
      <w:r>
        <w:t>Plan for wallet migration from one smart account implementation to another.</w:t>
      </w:r>
    </w:p>
    <w:p>
      <w:pPr>
        <w:ind w:left="283" w:hanging="198"/>
      </w:pPr>
      <w:r>
        <w:rPr>
          <w:b/>
        </w:rPr>
        <w:t xml:space="preserve">• </w:t>
      </w:r>
      <w:r>
        <w:t>Keep owner-to-agent bindings re-issuable when a wallet changes but the agent identity remains valid.</w:t>
      </w:r>
    </w:p>
    <w:p>
      <w:pPr>
        <w:pStyle w:val="Heading1"/>
        <w:spacing w:before="240"/>
      </w:pPr>
      <w:r>
        <w:t>13. Rollout plan</w:t>
      </w:r>
    </w:p>
    <w:p>
      <w:pPr>
        <w:pStyle w:val="Heading2"/>
        <w:spacing w:before="160"/>
      </w:pPr>
      <w:r>
        <w:t>13.1 Phase 0 — design and trust model</w:t>
      </w:r>
    </w:p>
    <w:p>
      <w:pPr>
        <w:ind w:left="283" w:hanging="198"/>
      </w:pPr>
      <w:r>
        <w:rPr>
          <w:b/>
        </w:rPr>
        <w:t xml:space="preserve">• </w:t>
      </w:r>
      <w:r>
        <w:t>Choose chain and wallet model. Practical default: EVM L2 + ERC-4337 smart accounts.</w:t>
      </w:r>
    </w:p>
    <w:p>
      <w:pPr>
        <w:ind w:left="283" w:hanging="198"/>
      </w:pPr>
      <w:r>
        <w:rPr>
          <w:b/>
        </w:rPr>
        <w:t xml:space="preserve">• </w:t>
      </w:r>
      <w:r>
        <w:t>Choose DID approach. Practical default: web-backed issuer domain plus on-chain state anchoring.</w:t>
      </w:r>
    </w:p>
    <w:p>
      <w:pPr>
        <w:ind w:left="283" w:hanging="198"/>
      </w:pPr>
      <w:r>
        <w:rPr>
          <w:b/>
        </w:rPr>
        <w:t xml:space="preserve">• </w:t>
      </w:r>
      <w:r>
        <w:t>Define four credential schemas: ownership, KYC/KYB result, authority, status/risk.</w:t>
      </w:r>
    </w:p>
    <w:p>
      <w:pPr>
        <w:ind w:left="283" w:hanging="198"/>
      </w:pPr>
      <w:r>
        <w:rPr>
          <w:b/>
        </w:rPr>
        <w:t xml:space="preserve">• </w:t>
      </w:r>
      <w:r>
        <w:t>Define on-chain registry contracts for agent-account binding and revocation state.</w:t>
      </w:r>
    </w:p>
    <w:p>
      <w:pPr>
        <w:pStyle w:val="Heading2"/>
        <w:spacing w:before="160"/>
      </w:pPr>
      <w:r>
        <w:t>13.2 Phase 1 — MVP</w:t>
      </w:r>
    </w:p>
    <w:p>
      <w:pPr>
        <w:ind w:left="283" w:hanging="198"/>
      </w:pPr>
      <w:r>
        <w:rPr>
          <w:b/>
        </w:rPr>
        <w:t xml:space="preserve">• </w:t>
      </w:r>
      <w:r>
        <w:t>Issue Agent DID and Owner DID.</w:t>
      </w:r>
    </w:p>
    <w:p>
      <w:pPr>
        <w:ind w:left="283" w:hanging="198"/>
      </w:pPr>
      <w:r>
        <w:rPr>
          <w:b/>
        </w:rPr>
        <w:t xml:space="preserve">• </w:t>
      </w:r>
      <w:r>
        <w:t>Issue Ownership VC and Authority VC after KYC/KYB is completed through an off-chain provider.</w:t>
      </w:r>
    </w:p>
    <w:p>
      <w:pPr>
        <w:ind w:left="283" w:hanging="198"/>
      </w:pPr>
      <w:r>
        <w:rPr>
          <w:b/>
        </w:rPr>
        <w:t xml:space="preserve">• </w:t>
      </w:r>
      <w:r>
        <w:t>Create ERC-4337 smart account for the agent.</w:t>
      </w:r>
    </w:p>
    <w:p>
      <w:pPr>
        <w:ind w:left="283" w:hanging="198"/>
      </w:pPr>
      <w:r>
        <w:rPr>
          <w:b/>
        </w:rPr>
        <w:t xml:space="preserve">• </w:t>
      </w:r>
      <w:r>
        <w:t>Implement payment intent API and policy engine.</w:t>
      </w:r>
    </w:p>
    <w:p>
      <w:pPr>
        <w:ind w:left="283" w:hanging="198"/>
      </w:pPr>
      <w:r>
        <w:rPr>
          <w:b/>
        </w:rPr>
        <w:t xml:space="preserve">• </w:t>
      </w:r>
      <w:r>
        <w:t>Support USDC/USDT payment execution only, with narrow allowlists and low limits.</w:t>
      </w:r>
    </w:p>
    <w:p>
      <w:pPr>
        <w:ind w:left="283" w:hanging="198"/>
      </w:pPr>
      <w:r>
        <w:rPr>
          <w:b/>
        </w:rPr>
        <w:t xml:space="preserve">• </w:t>
      </w:r>
      <w:r>
        <w:t>Write attestation receipts and registry updates on-chain.</w:t>
      </w:r>
    </w:p>
    <w:p>
      <w:pPr>
        <w:pStyle w:val="Heading2"/>
        <w:spacing w:before="160"/>
      </w:pPr>
      <w:r>
        <w:t>13.3 Phase 2 — production hardening</w:t>
      </w:r>
    </w:p>
    <w:p>
      <w:pPr>
        <w:ind w:left="283" w:hanging="198"/>
      </w:pPr>
      <w:r>
        <w:rPr>
          <w:b/>
        </w:rPr>
        <w:t xml:space="preserve">• </w:t>
      </w:r>
      <w:r>
        <w:t>Add OpenID4VCI/OpenID4VP or equivalent interoperable issuance/presentation flows.</w:t>
      </w:r>
    </w:p>
    <w:p>
      <w:pPr>
        <w:ind w:left="283" w:hanging="198"/>
      </w:pPr>
      <w:r>
        <w:rPr>
          <w:b/>
        </w:rPr>
        <w:t xml:space="preserve">• </w:t>
      </w:r>
      <w:r>
        <w:t>Add revocation webhooks and verifier caching rules.</w:t>
      </w:r>
    </w:p>
    <w:p>
      <w:pPr>
        <w:ind w:left="283" w:hanging="198"/>
      </w:pPr>
      <w:r>
        <w:rPr>
          <w:b/>
        </w:rPr>
        <w:t xml:space="preserve">• </w:t>
      </w:r>
      <w:r>
        <w:t>Add internal risk scoring and adaptive policy thresholds.</w:t>
      </w:r>
    </w:p>
    <w:p>
      <w:pPr>
        <w:ind w:left="283" w:hanging="198"/>
      </w:pPr>
      <w:r>
        <w:rPr>
          <w:b/>
        </w:rPr>
        <w:t xml:space="preserve">• </w:t>
      </w:r>
      <w:r>
        <w:t>Add enterprise treasury partitions and delegated admin controls.</w:t>
      </w:r>
    </w:p>
    <w:p>
      <w:pPr>
        <w:pStyle w:val="Heading2"/>
        <w:spacing w:before="160"/>
      </w:pPr>
      <w:r>
        <w:t>13.4 Phase 3 — controlled extensions</w:t>
      </w:r>
    </w:p>
    <w:p>
      <w:pPr>
        <w:ind w:left="283" w:hanging="198"/>
      </w:pPr>
      <w:r>
        <w:rPr>
          <w:b/>
        </w:rPr>
        <w:t xml:space="preserve">• </w:t>
      </w:r>
      <w:r>
        <w:t>Venue access and trading authority credentials.</w:t>
      </w:r>
    </w:p>
    <w:p>
      <w:pPr>
        <w:ind w:left="283" w:hanging="198"/>
      </w:pPr>
      <w:r>
        <w:rPr>
          <w:b/>
        </w:rPr>
        <w:t xml:space="preserve">• </w:t>
      </w:r>
      <w:r>
        <w:t>Escrowed agent-to-agent commerce flows.</w:t>
      </w:r>
    </w:p>
    <w:p>
      <w:pPr>
        <w:ind w:left="283" w:hanging="198"/>
      </w:pPr>
      <w:r>
        <w:rPr>
          <w:b/>
        </w:rPr>
        <w:t xml:space="preserve">• </w:t>
      </w:r>
      <w:r>
        <w:t>Selective fiat bridge or custodial account opening adapters.</w:t>
      </w:r>
    </w:p>
    <w:p>
      <w:pPr>
        <w:ind w:left="283" w:hanging="198"/>
      </w:pPr>
      <w:r>
        <w:rPr>
          <w:b/>
        </w:rPr>
        <w:t xml:space="preserve">• </w:t>
      </w:r>
      <w:r>
        <w:t>Proof-of-service and later agent-to-agent market infrastructure.</w:t>
      </w:r>
    </w:p>
    <w:p>
      <w:pPr>
        <w:pStyle w:val="Heading1"/>
        <w:spacing w:before="240"/>
      </w:pPr>
      <w:r>
        <w:t>14. Build versus buy</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247"/>
            <w:vAlign w:val="center"/>
            <w:shd w:fill="DCE6F1"/>
            <w:tcBorders>
              <w:left w:val="single" w:sz="10" w:color="D9E2F2"/>
              <w:top w:val="single" w:sz="10" w:color="D9E2F2"/>
              <w:right w:val="single" w:sz="10" w:color="D9E2F2"/>
              <w:bottom w:val="single" w:sz="10" w:color="D9E2F2"/>
            </w:tcBorders>
          </w:tcPr>
          <w:p>
            <w:r>
              <w:rPr>
                <w:b/>
              </w:rPr>
              <w:t>Layer</w:t>
            </w:r>
          </w:p>
        </w:tc>
        <w:tc>
          <w:tcPr>
            <w:tcW w:type="dxa" w:w="1928"/>
            <w:vAlign w:val="center"/>
            <w:shd w:fill="DCE6F1"/>
            <w:tcBorders>
              <w:left w:val="single" w:sz="10" w:color="D9E2F2"/>
              <w:top w:val="single" w:sz="10" w:color="D9E2F2"/>
              <w:right w:val="single" w:sz="10" w:color="D9E2F2"/>
              <w:bottom w:val="single" w:sz="10" w:color="D9E2F2"/>
            </w:tcBorders>
          </w:tcPr>
          <w:p>
            <w:r>
              <w:rPr>
                <w:b/>
              </w:rPr>
              <w:t>Purpose</w:t>
            </w:r>
          </w:p>
        </w:tc>
        <w:tc>
          <w:tcPr>
            <w:tcW w:type="dxa" w:w="2721"/>
            <w:vAlign w:val="center"/>
            <w:shd w:fill="DCE6F1"/>
            <w:tcBorders>
              <w:left w:val="single" w:sz="10" w:color="D9E2F2"/>
              <w:top w:val="single" w:sz="10" w:color="D9E2F2"/>
              <w:right w:val="single" w:sz="10" w:color="D9E2F2"/>
              <w:bottom w:val="single" w:sz="10" w:color="D9E2F2"/>
            </w:tcBorders>
          </w:tcPr>
          <w:p>
            <w:r>
              <w:rPr>
                <w:b/>
              </w:rPr>
              <w:t>What lives here</w:t>
            </w:r>
          </w:p>
        </w:tc>
        <w:tc>
          <w:tcPr>
            <w:tcW w:type="dxa" w:w="2835"/>
            <w:vAlign w:val="center"/>
            <w:shd w:fill="DCE6F1"/>
            <w:tcBorders>
              <w:left w:val="single" w:sz="10" w:color="D9E2F2"/>
              <w:top w:val="single" w:sz="10" w:color="D9E2F2"/>
              <w:right w:val="single" w:sz="10" w:color="D9E2F2"/>
              <w:bottom w:val="single" w:sz="10" w:color="D9E2F2"/>
            </w:tcBorders>
          </w:tcPr>
          <w:p>
            <w:r>
              <w:rPr>
                <w:b/>
              </w:rPr>
              <w:t>Notes</w:t>
            </w: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Build</w:t>
            </w:r>
          </w:p>
        </w:tc>
        <w:tc>
          <w:tcPr>
            <w:tcW w:type="dxa" w:w="1928"/>
            <w:vAlign w:val="center"/>
            <w:tcBorders>
              <w:left w:val="single" w:sz="8" w:color="D9E2F2"/>
              <w:top w:val="single" w:sz="8" w:color="D9E2F2"/>
              <w:right w:val="single" w:sz="8" w:color="D9E2F2"/>
              <w:bottom w:val="single" w:sz="8" w:color="D9E2F2"/>
            </w:tcBorders>
          </w:tcPr>
          <w:p>
            <w:pPr>
              <w:spacing w:after="40"/>
            </w:pPr>
            <w:r>
              <w:t>Policy engine, on-chain registry, account bindings, authority schema, audit model</w:t>
            </w:r>
          </w:p>
        </w:tc>
        <w:tc>
          <w:tcPr>
            <w:tcW w:type="dxa" w:w="2721"/>
            <w:vAlign w:val="center"/>
            <w:tcBorders>
              <w:left w:val="single" w:sz="8" w:color="D9E2F2"/>
              <w:top w:val="single" w:sz="8" w:color="D9E2F2"/>
              <w:right w:val="single" w:sz="8" w:color="D9E2F2"/>
              <w:bottom w:val="single" w:sz="8" w:color="D9E2F2"/>
            </w:tcBorders>
          </w:tcPr>
          <w:p>
            <w:pPr>
              <w:spacing w:after="40"/>
            </w:pPr>
            <w:r>
              <w:t>These are core differentiation and safety boundaries</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Adopt</w:t>
            </w:r>
          </w:p>
        </w:tc>
        <w:tc>
          <w:tcPr>
            <w:tcW w:type="dxa" w:w="1928"/>
            <w:vAlign w:val="center"/>
            <w:tcBorders>
              <w:left w:val="single" w:sz="8" w:color="D9E2F2"/>
              <w:top w:val="single" w:sz="8" w:color="D9E2F2"/>
              <w:right w:val="single" w:sz="8" w:color="D9E2F2"/>
              <w:bottom w:val="single" w:sz="8" w:color="D9E2F2"/>
            </w:tcBorders>
          </w:tcPr>
          <w:p>
            <w:pPr>
              <w:spacing w:after="40"/>
            </w:pPr>
            <w:r>
              <w:t>DID/VC standards, OpenID4VCI/OpenID4VP, ERC-4337 account framework</w:t>
            </w:r>
          </w:p>
        </w:tc>
        <w:tc>
          <w:tcPr>
            <w:tcW w:type="dxa" w:w="2721"/>
            <w:vAlign w:val="center"/>
            <w:tcBorders>
              <w:left w:val="single" w:sz="8" w:color="D9E2F2"/>
              <w:top w:val="single" w:sz="8" w:color="D9E2F2"/>
              <w:right w:val="single" w:sz="8" w:color="D9E2F2"/>
              <w:bottom w:val="single" w:sz="8" w:color="D9E2F2"/>
            </w:tcBorders>
          </w:tcPr>
          <w:p>
            <w:pPr>
              <w:spacing w:after="40"/>
            </w:pPr>
            <w:r>
              <w:t>Use open standards where they are strong</w:t>
            </w:r>
          </w:p>
        </w:tc>
        <w:tc>
          <w:tcPr>
            <w:tcW w:type="dxa" w:w="2436"/>
          </w:tcPr>
          <w:p/>
        </w:tc>
      </w:tr>
      <w:tr>
        <w:tc>
          <w:tcPr>
            <w:tcW w:type="dxa" w:w="1247"/>
            <w:vAlign w:val="center"/>
            <w:tcBorders>
              <w:left w:val="single" w:sz="8" w:color="D9E2F2"/>
              <w:top w:val="single" w:sz="8" w:color="D9E2F2"/>
              <w:right w:val="single" w:sz="8" w:color="D9E2F2"/>
              <w:bottom w:val="single" w:sz="8" w:color="D9E2F2"/>
            </w:tcBorders>
            <w:shd w:fill="F4F7FB"/>
          </w:tcPr>
          <w:p>
            <w:pPr>
              <w:spacing w:after="40"/>
            </w:pPr>
            <w:r>
              <w:t>Integrate</w:t>
            </w:r>
          </w:p>
        </w:tc>
        <w:tc>
          <w:tcPr>
            <w:tcW w:type="dxa" w:w="1928"/>
            <w:vAlign w:val="center"/>
            <w:tcBorders>
              <w:left w:val="single" w:sz="8" w:color="D9E2F2"/>
              <w:top w:val="single" w:sz="8" w:color="D9E2F2"/>
              <w:right w:val="single" w:sz="8" w:color="D9E2F2"/>
              <w:bottom w:val="single" w:sz="8" w:color="D9E2F2"/>
            </w:tcBorders>
          </w:tcPr>
          <w:p>
            <w:pPr>
              <w:spacing w:after="40"/>
            </w:pPr>
            <w:r>
              <w:t>KYC/KYB providers, custodians, sanctions providers, wallet infra</w:t>
            </w:r>
          </w:p>
        </w:tc>
        <w:tc>
          <w:tcPr>
            <w:tcW w:type="dxa" w:w="2721"/>
            <w:vAlign w:val="center"/>
            <w:tcBorders>
              <w:left w:val="single" w:sz="8" w:color="D9E2F2"/>
              <w:top w:val="single" w:sz="8" w:color="D9E2F2"/>
              <w:right w:val="single" w:sz="8" w:color="D9E2F2"/>
              <w:bottom w:val="single" w:sz="8" w:color="D9E2F2"/>
            </w:tcBorders>
          </w:tcPr>
          <w:p>
            <w:pPr>
              <w:spacing w:after="40"/>
            </w:pPr>
            <w:r>
              <w:t>These are capability providers, not the core moat</w:t>
            </w:r>
          </w:p>
        </w:tc>
        <w:tc>
          <w:tcPr>
            <w:tcW w:type="dxa" w:w="2436"/>
          </w:tcPr>
          <w:p/>
        </w:tc>
      </w:tr>
    </w:tbl>
    <w:p>
      <w:pPr/>
      <w:r>
        <w:t>AP2 should be adopted as an authorization-and-liability design input, not as the full substrate. The recommended strategy is to build the identity, credential, account, and policy core in-house, then make that core AP2-compatible. In practical terms: build Agent DID, Owner/Institution DID, Ownership VC, KYC/KYB VC, Authority/Policy VC, account-opening logic, smart-account controls, revocation, and auditable on-chain receipts as first-party infrastructure; reuse AP2 concepts for mandate semantics, trusted-surface challenge handling, and payment-authorization packaging toward merchants, issuers, or credential providers. This gives the stack long-term control over agent identity and delegated authority while remaining compatible with agentic commerce protocols as they mature.</w:t>
      </w:r>
    </w:p>
    <w:p>
      <w:pPr/>
      <w:r>
        <w:t>The target is AP2-compatible but not AP2-dependent. A verifier or commerce connector should be able to transform internal authority and payment-intent objects into AP2-like mandate artifacts when interacting with AP2-aware merchants, credential providers, or payment processors. Internally, however, the source of truth remains the DID/VC/account/policy stack.</w:t>
      </w:r>
    </w:p>
    <w:p>
      <w:pPr>
        <w:pStyle w:val="Heading2"/>
      </w:pPr>
      <w:r>
        <w:t>14.4 Compatibility target</w:t>
      </w:r>
    </w:p>
    <w:p>
      <w:pPr/>
      <w:r>
        <w:t>The platform should inherit AP2’s mandate vocabulary and trust choreography. Specifically: Cart Mandate inspires a concrete user-confirmed action object; Intent Mandate inspires pre-authorized delegated authority for later execution; Payment Mandate inspires a compact authorization artifact carried into the payment ecosystem. The AP2 trusted-surface model should be adopted for step-up verification, challenge resolution, and dispute evidence.</w:t>
      </w:r>
    </w:p>
    <w:p>
      <w:pPr>
        <w:pStyle w:val="Heading2"/>
      </w:pPr>
      <w:r>
        <w:t>14.3 What we inherit from AP2</w:t>
      </w:r>
    </w:p>
    <w:p>
      <w:pPr/>
      <w:r>
        <w:t>The in-house core should own five primitives: (1) identity registry and DID resolution rules for owners, institutions, and agents; (2) verifiable credentials for ownership, KYC/KYB result, authority, and status/risk; (3) account-opening orchestration that maps validated credentials into agent smart accounts and treasury partitions; (4) policy evaluation and revocation services; and (5) execution receipts and audit anchoring. These are the durable control points of the system.</w:t>
      </w:r>
    </w:p>
    <w:p>
      <w:pPr>
        <w:pStyle w:val="Heading2"/>
      </w:pPr>
      <w:r>
        <w:t>14.2 What we build ourselves</w:t>
      </w:r>
    </w:p>
    <w:p>
      <w:pPr/>
      <w:r>
        <w:t>Use AP2 for what it is best at: explicit transaction authorization, human-present and human-not-present mandate patterns, challenge/step-up routing to a trusted surface, and payment-ecosystem visibility through mandate objects. Do not rely on AP2 to define agent identity, KYC/KYB representation, wallet/account opening, or generalized agent-to-agent financial authority.</w:t>
      </w:r>
    </w:p>
    <w:p>
      <w:pPr>
        <w:pStyle w:val="Heading2"/>
      </w:pPr>
      <w:r>
        <w:t>14.1 Recommended boundary with AP2</w:t>
      </w:r>
    </w:p>
    <w:p>
      <w:pPr>
        <w:pStyle w:val="Heading1"/>
        <w:spacing w:before="240"/>
      </w:pPr>
      <w:r>
        <w:t>15. What success looks like</w:t>
      </w:r>
    </w:p>
    <w:p>
      <w:pPr>
        <w:ind w:left="283" w:hanging="198"/>
      </w:pPr>
      <w:r>
        <w:rPr>
          <w:b/>
        </w:rPr>
        <w:t xml:space="preserve">• </w:t>
      </w:r>
      <w:r>
        <w:t>An agent can be resolved, authenticated, and linked to a responsible owner.</w:t>
      </w:r>
    </w:p>
    <w:p>
      <w:pPr>
        <w:ind w:left="283" w:hanging="198"/>
      </w:pPr>
      <w:r>
        <w:rPr>
          <w:b/>
        </w:rPr>
        <w:t xml:space="preserve">• </w:t>
      </w:r>
      <w:r>
        <w:t>A verifier can confirm that required KYC/KYB was completed without seeing raw documents.</w:t>
      </w:r>
    </w:p>
    <w:p>
      <w:pPr>
        <w:ind w:left="283" w:hanging="198"/>
      </w:pPr>
      <w:r>
        <w:rPr>
          <w:b/>
        </w:rPr>
        <w:t xml:space="preserve">• </w:t>
      </w:r>
      <w:r>
        <w:t>A wallet or smart account can be opened automatically after credentials are presented and validated.</w:t>
      </w:r>
    </w:p>
    <w:p>
      <w:pPr>
        <w:ind w:left="283" w:hanging="198"/>
      </w:pPr>
      <w:r>
        <w:rPr>
          <w:b/>
        </w:rPr>
        <w:t xml:space="preserve">• </w:t>
      </w:r>
      <w:r>
        <w:t>The agent can pay under bounded authority, with every action attributable, revocable, and auditable.</w:t>
      </w:r>
    </w:p>
    <w:p>
      <w:pPr>
        <w:ind w:left="283" w:hanging="198"/>
      </w:pPr>
      <w:r>
        <w:rPr>
          <w:b/>
        </w:rPr>
        <w:t xml:space="preserve">• </w:t>
      </w:r>
      <w:r>
        <w:t>The same foundation can later support venue access, trading, escrow, and agent-to-agent settlement.</w:t>
      </w:r>
    </w:p>
    <w:p>
      <w:pPr>
        <w:pStyle w:val="Heading1"/>
        <w:spacing w:before="240"/>
      </w:pPr>
      <w:r>
        <w:t>16. Selected source references</w:t>
      </w:r>
    </w:p>
    <w:p>
      <w:r>
        <w:t>The references below are the most relevant official or primary materials for building this stack. They are included as implementation references, not as endorsements of any specific vendor.</w:t>
      </w:r>
    </w:p>
    <w:p>
      <w:pPr/>
      <w:r>
        <w:rPr>
          <w:b/>
        </w:rPr>
        <w:t>W3C DID 1.1 / DID Core family</w:t>
      </w:r>
      <w:r>
        <w:t xml:space="preserve"> — DID syntax, DID documents, controllers, verification methods, and services. </w:t>
      </w:r>
      <w:hyperlink r:id="rId10">
        <w:r>
          <w:rPr>
            <w:color w:val="1F4E79"/>
            <w:u w:val="single"/>
          </w:rPr>
          <w:t>https://www.w3.org/TR/did-1.1/</w:t>
        </w:r>
      </w:hyperlink>
    </w:p>
    <w:p>
      <w:pPr/>
      <w:r>
        <w:rPr>
          <w:b/>
        </w:rPr>
        <w:t>W3C DID 1.0 Recommendation decision</w:t>
      </w:r>
      <w:r>
        <w:t xml:space="preserve"> — Confirms DID Core advanced to W3C Recommendation in 2022. </w:t>
      </w:r>
      <w:hyperlink r:id="rId11">
        <w:r>
          <w:rPr>
            <w:color w:val="1F4E79"/>
            <w:u w:val="single"/>
          </w:rPr>
          <w:t>https://www.w3.org/2022/06/DIDRecommendationDecision.html</w:t>
        </w:r>
      </w:hyperlink>
    </w:p>
    <w:p>
      <w:pPr/>
      <w:r>
        <w:rPr>
          <w:b/>
        </w:rPr>
        <w:t>W3C Verifiable Credentials Data Model v2.0</w:t>
      </w:r>
      <w:r>
        <w:t xml:space="preserve"> — Defines issuer, holder, verifier model and tamper-evident credential data model. </w:t>
      </w:r>
      <w:hyperlink r:id="rId12">
        <w:r>
          <w:rPr>
            <w:color w:val="1F4E79"/>
            <w:u w:val="single"/>
          </w:rPr>
          <w:t>https://www.w3.org/TR/vc-data-model-2.0/</w:t>
        </w:r>
      </w:hyperlink>
    </w:p>
    <w:p>
      <w:pPr/>
      <w:r>
        <w:rPr>
          <w:b/>
        </w:rPr>
        <w:t>OpenID for Verifiable Credential Issuance 1.0</w:t>
      </w:r>
      <w:r>
        <w:t xml:space="preserve"> — OAuth-based issuance flow for VCs. </w:t>
      </w:r>
      <w:hyperlink r:id="rId13">
        <w:r>
          <w:rPr>
            <w:color w:val="1F4E79"/>
            <w:u w:val="single"/>
          </w:rPr>
          <w:t>https://openid.net/specs/openid-4-verifiable-credential-issuance-1_0.html</w:t>
        </w:r>
      </w:hyperlink>
    </w:p>
    <w:p>
      <w:pPr/>
      <w:r>
        <w:rPr>
          <w:b/>
        </w:rPr>
        <w:t>OpenID for Verifiable Presentations 1.0</w:t>
      </w:r>
      <w:r>
        <w:t xml:space="preserve"> — Presentation flow for credentials to verifiers. </w:t>
      </w:r>
      <w:hyperlink r:id="rId14">
        <w:r>
          <w:rPr>
            <w:color w:val="1F4E79"/>
            <w:u w:val="single"/>
          </w:rPr>
          <w:t>https://openid.net/specs/openid-4-verifiable-presentations-1_0.html</w:t>
        </w:r>
      </w:hyperlink>
    </w:p>
    <w:p>
      <w:pPr/>
      <w:r>
        <w:rPr>
          <w:b/>
        </w:rPr>
        <w:t>EIP-4337</w:t>
      </w:r>
      <w:r>
        <w:t xml:space="preserve"> — Smart contract accounts, UserOperations, bundlers, and paymasters. </w:t>
      </w:r>
      <w:hyperlink r:id="rId15">
        <w:r>
          <w:rPr>
            <w:color w:val="1F4E79"/>
            <w:u w:val="single"/>
          </w:rPr>
          <w:t>https://eips.ethereum.org/EIPS/eip-4337</w:t>
        </w:r>
      </w:hyperlink>
    </w:p>
    <w:p>
      <w:pPr/>
      <w:r>
        <w:rPr>
          <w:b/>
        </w:rPr>
        <w:t>Coinbase AgentKit</w:t>
      </w:r>
      <w:r>
        <w:t xml:space="preserve"> — Reference implementation direction for AI agents with secure wallet management and on-chain actions. </w:t>
      </w:r>
      <w:hyperlink r:id="rId16">
        <w:r>
          <w:rPr>
            <w:color w:val="1F4E79"/>
            <w:u w:val="single"/>
          </w:rPr>
          <w:t>https://docs.cdp.coinbase.com/agent-kit/welcome</w:t>
        </w:r>
      </w:hyperlink>
    </w:p>
    <w:p>
      <w:pPr/>
      <w:r>
        <w:rPr>
          <w:b/>
        </w:rPr>
        <w:t>x402</w:t>
      </w:r>
      <w:r>
        <w:t xml:space="preserve"> — Machine-native stablecoin payments over HTTP. </w:t>
      </w:r>
      <w:hyperlink r:id="rId17">
        <w:r>
          <w:rPr>
            <w:color w:val="1F4E79"/>
            <w:u w:val="single"/>
          </w:rPr>
          <w:t>https://docs.cdp.coinbase.com/x402/welcome</w:t>
        </w:r>
      </w:hyperlink>
    </w:p>
    <w:p>
      <w:pPr/>
      <w:r>
        <w:rPr>
          <w:b/>
        </w:rPr>
        <w:t>Google Agent Payments Protocol (AP2)</w:t>
      </w:r>
      <w:r>
        <w:t xml:space="preserve"> — Delegated and interoperable agent-led payment design direction. </w:t>
      </w:r>
      <w:hyperlink r:id="rId18">
        <w:r>
          <w:rPr>
            <w:color w:val="1F4E79"/>
            <w:u w:val="single"/>
          </w:rPr>
          <w:t>https://cloud.google.com/blog/products/ai-machine-learning/announcing-agents-to-payments-ap2-protocol</w:t>
        </w:r>
      </w:hyperlink>
    </w:p>
    <w:p>
      <w:pPr/>
      <w:r>
        <w:rPr>
          <w:b/>
        </w:rPr>
        <w:t>ERC-8183 Agentic Commerce</w:t>
      </w:r>
      <w:r>
        <w:t xml:space="preserve"> — Escrowed job and evaluator pattern for later agent-to-agent commerce. </w:t>
      </w:r>
      <w:hyperlink r:id="rId19">
        <w:r>
          <w:rPr>
            <w:color w:val="1F4E79"/>
            <w:u w:val="single"/>
          </w:rPr>
          <w:t>https://eips.ethereum.org/EIPS/eip-8183</w:t>
        </w:r>
      </w:hyperlink>
    </w:p>
    <w:p>
      <w:r>
        <w:br w:type="page"/>
      </w:r>
    </w:p>
    <w:p>
      <w:pPr>
        <w:pStyle w:val="Heading1"/>
      </w:pPr>
      <w:r>
        <w:t>Appendix A. Detailed technical specification</w:t>
      </w:r>
    </w:p>
    <w:p>
      <w:pPr>
        <w:spacing w:after="160"/>
      </w:pPr>
      <w:r>
        <w:t>This appendix expands the main white paper into concrete implementation-level guidance. It focuses on object models, cryptographic trust boundaries, smart-contract modules, APIs, and operational flows for an agent identity, authority, account opening, and payment base layer.</w:t>
      </w:r>
    </w:p>
    <w:p>
      <w:pPr>
        <w:pStyle w:val="Heading2"/>
      </w:pPr>
      <w:r>
        <w:t>A.1 System design principles</w:t>
      </w:r>
    </w:p>
    <w:p>
      <w:pPr>
        <w:pStyle w:val="ListBullet"/>
      </w:pPr>
      <w:r>
        <w:t>Separate identity from execution. A DID should identify an owner or agent, while the wallet account should execute payments and on-chain actions under policy control.</w:t>
      </w:r>
    </w:p>
    <w:p>
      <w:pPr>
        <w:pStyle w:val="ListBullet"/>
      </w:pPr>
      <w:r>
        <w:t>Separate claims from state. Credentials should carry KYC/KYB and authority claims, while on-chain contracts should carry compact registries, revocation status, hashes, and bindings.</w:t>
      </w:r>
    </w:p>
    <w:p>
      <w:pPr>
        <w:pStyle w:val="ListBullet"/>
      </w:pPr>
      <w:r>
        <w:t>Default to least privilege. Agent rights should start narrow: limited assets, limited counterparties, low limits, and short-lived authorizations.</w:t>
      </w:r>
    </w:p>
    <w:p>
      <w:pPr>
        <w:pStyle w:val="ListBullet"/>
      </w:pPr>
      <w:r>
        <w:t>Make policy checkable before gas is spent. All high-cost operations should be gated by preflight verification, then enforced again at account execution time.</w:t>
      </w:r>
    </w:p>
    <w:p>
      <w:pPr>
        <w:pStyle w:val="ListBullet"/>
      </w:pPr>
      <w:r>
        <w:t>Keep PII off-chain. Only identifiers, credential references, hashes, status bits, and auditable execution receipts should be on-chain.</w:t>
      </w:r>
    </w:p>
    <w:p>
      <w:pPr>
        <w:pStyle w:val="Heading2"/>
      </w:pPr>
      <w:r>
        <w:t>A.2 Recommended architecture stack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90" w:type="dxa"/>
              <w:start w:w="110" w:type="dxa"/>
              <w:bottom w:w="90" w:type="dxa"/>
              <w:end w:w="110" w:type="dxa"/>
            </w:tcMar>
            <w:shd w:fill="D9EAF7"/>
          </w:tcPr>
          <w:p>
            <w:pPr>
              <w:spacing w:before="40" w:after="40" w:line="264" w:lineRule="auto"/>
            </w:pPr>
            <w:r>
              <w:rPr>
                <w:b/>
              </w:rPr>
              <w:t>Layer</w:t>
            </w:r>
          </w:p>
        </w:tc>
        <w:tc>
          <w:tcPr>
            <w:tcW w:type="dxa" w:w="2436"/>
            <w:vAlign w:val="center"/>
            <w:tcMar>
              <w:top w:w="90" w:type="dxa"/>
              <w:start w:w="110" w:type="dxa"/>
              <w:bottom w:w="90" w:type="dxa"/>
              <w:end w:w="110" w:type="dxa"/>
            </w:tcMar>
            <w:shd w:fill="D9EAF7"/>
          </w:tcPr>
          <w:p>
            <w:pPr>
              <w:spacing w:before="40" w:after="40" w:line="264" w:lineRule="auto"/>
            </w:pPr>
            <w:r>
              <w:rPr>
                <w:b/>
              </w:rPr>
              <w:t>Recommended choice for v1</w:t>
            </w:r>
          </w:p>
        </w:tc>
        <w:tc>
          <w:tcPr>
            <w:tcW w:type="dxa" w:w="2436"/>
            <w:vAlign w:val="center"/>
            <w:tcMar>
              <w:top w:w="90" w:type="dxa"/>
              <w:start w:w="110" w:type="dxa"/>
              <w:bottom w:w="90" w:type="dxa"/>
              <w:end w:w="110" w:type="dxa"/>
            </w:tcMar>
            <w:shd w:fill="D9EAF7"/>
          </w:tcPr>
          <w:p>
            <w:pPr>
              <w:spacing w:before="40" w:after="40" w:line="264" w:lineRule="auto"/>
            </w:pPr>
            <w:r>
              <w:rPr>
                <w:b/>
              </w:rPr>
              <w:t>Why it fits</w:t>
            </w:r>
          </w:p>
        </w:tc>
        <w:tc>
          <w:tcPr>
            <w:tcW w:type="dxa" w:w="2436"/>
            <w:vAlign w:val="center"/>
            <w:tcMar>
              <w:top w:w="90" w:type="dxa"/>
              <w:start w:w="110" w:type="dxa"/>
              <w:bottom w:w="90" w:type="dxa"/>
              <w:end w:w="110" w:type="dxa"/>
            </w:tcMar>
            <w:shd w:fill="D9EAF7"/>
          </w:tcPr>
          <w:p>
            <w:pPr>
              <w:spacing w:before="40" w:after="40" w:line="264" w:lineRule="auto"/>
            </w:pPr>
            <w:r>
              <w:rPr>
                <w:b/>
              </w:rPr>
              <w:t>Upgrade path</w:t>
            </w:r>
          </w:p>
        </w:tc>
      </w:tr>
      <w:tr>
        <w:tc>
          <w:tcPr>
            <w:tcW w:type="dxa" w:w="2436"/>
            <w:vAlign w:val="center"/>
            <w:tcMar>
              <w:top w:w="90" w:type="dxa"/>
              <w:start w:w="110" w:type="dxa"/>
              <w:bottom w:w="90" w:type="dxa"/>
              <w:end w:w="110" w:type="dxa"/>
            </w:tcMar>
          </w:tcPr>
          <w:p>
            <w:pPr>
              <w:spacing w:before="40" w:after="40" w:line="264" w:lineRule="auto"/>
            </w:pPr>
            <w:r>
              <w:t>Identifier layer</w:t>
            </w:r>
          </w:p>
        </w:tc>
        <w:tc>
          <w:tcPr>
            <w:tcW w:type="dxa" w:w="2436"/>
            <w:vAlign w:val="center"/>
            <w:tcMar>
              <w:top w:w="90" w:type="dxa"/>
              <w:start w:w="110" w:type="dxa"/>
              <w:bottom w:w="90" w:type="dxa"/>
              <w:end w:w="110" w:type="dxa"/>
            </w:tcMar>
          </w:tcPr>
          <w:p>
            <w:pPr>
              <w:spacing w:before="40" w:after="40" w:line="264" w:lineRule="auto"/>
            </w:pPr>
            <w:r>
              <w:t>W3C DID with a hybrid did:web issuer domain plus chain-anchored state commitments</w:t>
            </w:r>
          </w:p>
        </w:tc>
        <w:tc>
          <w:tcPr>
            <w:tcW w:type="dxa" w:w="2436"/>
            <w:vAlign w:val="center"/>
            <w:tcMar>
              <w:top w:w="90" w:type="dxa"/>
              <w:start w:w="110" w:type="dxa"/>
              <w:bottom w:w="90" w:type="dxa"/>
              <w:end w:w="110" w:type="dxa"/>
            </w:tcMar>
          </w:tcPr>
          <w:p>
            <w:pPr>
              <w:spacing w:before="40" w:after="40" w:line="264" w:lineRule="auto"/>
            </w:pPr>
            <w:r>
              <w:t>Fast to ship, easy verifier onboarding, clear web trust domain</w:t>
            </w:r>
          </w:p>
        </w:tc>
        <w:tc>
          <w:tcPr>
            <w:tcW w:type="dxa" w:w="2436"/>
            <w:vAlign w:val="center"/>
            <w:tcMar>
              <w:top w:w="90" w:type="dxa"/>
              <w:start w:w="110" w:type="dxa"/>
              <w:bottom w:w="90" w:type="dxa"/>
              <w:end w:w="110" w:type="dxa"/>
            </w:tcMar>
          </w:tcPr>
          <w:p>
            <w:pPr>
              <w:spacing w:before="40" w:after="40" w:line="264" w:lineRule="auto"/>
            </w:pPr>
            <w:r>
              <w:t>Add a bespoke did:agent method or anchor to did:ion / did:pkh later</w:t>
            </w:r>
          </w:p>
        </w:tc>
      </w:tr>
      <w:tr>
        <w:tc>
          <w:tcPr>
            <w:tcW w:type="dxa" w:w="2436"/>
            <w:vAlign w:val="center"/>
            <w:tcMar>
              <w:top w:w="90" w:type="dxa"/>
              <w:start w:w="110" w:type="dxa"/>
              <w:bottom w:w="90" w:type="dxa"/>
              <w:end w:w="110" w:type="dxa"/>
            </w:tcMar>
          </w:tcPr>
          <w:p>
            <w:pPr>
              <w:spacing w:before="40" w:after="40" w:line="264" w:lineRule="auto"/>
            </w:pPr>
            <w:r>
              <w:t>Credential layer</w:t>
            </w:r>
          </w:p>
        </w:tc>
        <w:tc>
          <w:tcPr>
            <w:tcW w:type="dxa" w:w="2436"/>
            <w:vAlign w:val="center"/>
            <w:tcMar>
              <w:top w:w="90" w:type="dxa"/>
              <w:start w:w="110" w:type="dxa"/>
              <w:bottom w:w="90" w:type="dxa"/>
              <w:end w:w="110" w:type="dxa"/>
            </w:tcMar>
          </w:tcPr>
          <w:p>
            <w:pPr>
              <w:spacing w:before="40" w:after="40" w:line="264" w:lineRule="auto"/>
            </w:pPr>
            <w:r>
              <w:t>W3C VC 2.0 with OpenID4VCI / OpenID4VP issuance and presentation</w:t>
            </w:r>
          </w:p>
        </w:tc>
        <w:tc>
          <w:tcPr>
            <w:tcW w:type="dxa" w:w="2436"/>
            <w:vAlign w:val="center"/>
            <w:tcMar>
              <w:top w:w="90" w:type="dxa"/>
              <w:start w:w="110" w:type="dxa"/>
              <w:bottom w:w="90" w:type="dxa"/>
              <w:end w:w="110" w:type="dxa"/>
            </w:tcMar>
          </w:tcPr>
          <w:p>
            <w:pPr>
              <w:spacing w:before="40" w:after="40" w:line="264" w:lineRule="auto"/>
            </w:pPr>
            <w:r>
              <w:t>Interoperable issuance and selective disclosure roadmap</w:t>
            </w:r>
          </w:p>
        </w:tc>
        <w:tc>
          <w:tcPr>
            <w:tcW w:type="dxa" w:w="2436"/>
            <w:vAlign w:val="center"/>
            <w:tcMar>
              <w:top w:w="90" w:type="dxa"/>
              <w:start w:w="110" w:type="dxa"/>
              <w:bottom w:w="90" w:type="dxa"/>
              <w:end w:w="110" w:type="dxa"/>
            </w:tcMar>
          </w:tcPr>
          <w:p>
            <w:pPr>
              <w:spacing w:before="40" w:after="40" w:line="264" w:lineRule="auto"/>
            </w:pPr>
            <w:r>
              <w:t>Add BBS+ or SD-JWT VC where verifier minimization matters</w:t>
            </w:r>
          </w:p>
        </w:tc>
      </w:tr>
      <w:tr>
        <w:tc>
          <w:tcPr>
            <w:tcW w:type="dxa" w:w="2436"/>
            <w:vAlign w:val="center"/>
            <w:tcMar>
              <w:top w:w="90" w:type="dxa"/>
              <w:start w:w="110" w:type="dxa"/>
              <w:bottom w:w="90" w:type="dxa"/>
              <w:end w:w="110" w:type="dxa"/>
            </w:tcMar>
          </w:tcPr>
          <w:p>
            <w:pPr>
              <w:spacing w:before="40" w:after="40" w:line="264" w:lineRule="auto"/>
            </w:pPr>
            <w:r>
              <w:t>Wallet layer</w:t>
            </w:r>
          </w:p>
        </w:tc>
        <w:tc>
          <w:tcPr>
            <w:tcW w:type="dxa" w:w="2436"/>
            <w:vAlign w:val="center"/>
            <w:tcMar>
              <w:top w:w="90" w:type="dxa"/>
              <w:start w:w="110" w:type="dxa"/>
              <w:bottom w:w="90" w:type="dxa"/>
              <w:end w:w="110" w:type="dxa"/>
            </w:tcMar>
          </w:tcPr>
          <w:p>
            <w:pPr>
              <w:spacing w:before="40" w:after="40" w:line="264" w:lineRule="auto"/>
            </w:pPr>
            <w:r>
              <w:t>ERC-4337 smart accounts on an EVM L2</w:t>
            </w:r>
          </w:p>
        </w:tc>
        <w:tc>
          <w:tcPr>
            <w:tcW w:type="dxa" w:w="2436"/>
            <w:vAlign w:val="center"/>
            <w:tcMar>
              <w:top w:w="90" w:type="dxa"/>
              <w:start w:w="110" w:type="dxa"/>
              <w:bottom w:w="90" w:type="dxa"/>
              <w:end w:w="110" w:type="dxa"/>
            </w:tcMar>
          </w:tcPr>
          <w:p>
            <w:pPr>
              <w:spacing w:before="40" w:after="40" w:line="264" w:lineRule="auto"/>
            </w:pPr>
            <w:r>
              <w:t>Programmable validation, paymasters, session keys, modular controls</w:t>
            </w:r>
          </w:p>
        </w:tc>
        <w:tc>
          <w:tcPr>
            <w:tcW w:type="dxa" w:w="2436"/>
            <w:vAlign w:val="center"/>
            <w:tcMar>
              <w:top w:w="90" w:type="dxa"/>
              <w:start w:w="110" w:type="dxa"/>
              <w:bottom w:w="90" w:type="dxa"/>
              <w:end w:w="110" w:type="dxa"/>
            </w:tcMar>
          </w:tcPr>
          <w:p>
            <w:pPr>
              <w:spacing w:before="40" w:after="40" w:line="264" w:lineRule="auto"/>
            </w:pPr>
            <w:r>
              <w:t>Add MPC custody, cross-chain wallet abstraction, or enterprise subaccounts</w:t>
            </w:r>
          </w:p>
        </w:tc>
      </w:tr>
      <w:tr>
        <w:tc>
          <w:tcPr>
            <w:tcW w:type="dxa" w:w="2436"/>
            <w:vAlign w:val="center"/>
            <w:tcMar>
              <w:top w:w="90" w:type="dxa"/>
              <w:start w:w="110" w:type="dxa"/>
              <w:bottom w:w="90" w:type="dxa"/>
              <w:end w:w="110" w:type="dxa"/>
            </w:tcMar>
          </w:tcPr>
          <w:p>
            <w:pPr>
              <w:spacing w:before="40" w:after="40" w:line="264" w:lineRule="auto"/>
            </w:pPr>
            <w:r>
              <w:t>Policy layer</w:t>
            </w:r>
          </w:p>
        </w:tc>
        <w:tc>
          <w:tcPr>
            <w:tcW w:type="dxa" w:w="2436"/>
            <w:vAlign w:val="center"/>
            <w:tcMar>
              <w:top w:w="90" w:type="dxa"/>
              <w:start w:w="110" w:type="dxa"/>
              <w:bottom w:w="90" w:type="dxa"/>
              <w:end w:w="110" w:type="dxa"/>
            </w:tcMar>
          </w:tcPr>
          <w:p>
            <w:pPr>
              <w:spacing w:before="40" w:after="40" w:line="264" w:lineRule="auto"/>
            </w:pPr>
            <w:r>
              <w:t>Off-chain policy engine with on-chain policy commitments</w:t>
            </w:r>
          </w:p>
        </w:tc>
        <w:tc>
          <w:tcPr>
            <w:tcW w:type="dxa" w:w="2436"/>
            <w:vAlign w:val="center"/>
            <w:tcMar>
              <w:top w:w="90" w:type="dxa"/>
              <w:start w:w="110" w:type="dxa"/>
              <w:bottom w:w="90" w:type="dxa"/>
              <w:end w:w="110" w:type="dxa"/>
            </w:tcMar>
          </w:tcPr>
          <w:p>
            <w:pPr>
              <w:spacing w:before="40" w:after="40" w:line="264" w:lineRule="auto"/>
            </w:pPr>
            <w:r>
              <w:t>Fast iteration for rules; on-chain commitments preserve auditability</w:t>
            </w:r>
          </w:p>
        </w:tc>
        <w:tc>
          <w:tcPr>
            <w:tcW w:type="dxa" w:w="2436"/>
            <w:vAlign w:val="center"/>
            <w:tcMar>
              <w:top w:w="90" w:type="dxa"/>
              <w:start w:w="110" w:type="dxa"/>
              <w:bottom w:w="90" w:type="dxa"/>
              <w:end w:w="110" w:type="dxa"/>
            </w:tcMar>
          </w:tcPr>
          <w:p>
            <w:pPr>
              <w:spacing w:before="40" w:after="40" w:line="264" w:lineRule="auto"/>
            </w:pPr>
            <w:r>
              <w:t>Move critical checks fully on-chain if latency and gas allow</w:t>
            </w:r>
          </w:p>
        </w:tc>
      </w:tr>
      <w:tr>
        <w:tc>
          <w:tcPr>
            <w:tcW w:type="dxa" w:w="2436"/>
            <w:vAlign w:val="center"/>
            <w:tcMar>
              <w:top w:w="90" w:type="dxa"/>
              <w:start w:w="110" w:type="dxa"/>
              <w:bottom w:w="90" w:type="dxa"/>
              <w:end w:w="110" w:type="dxa"/>
            </w:tcMar>
          </w:tcPr>
          <w:p>
            <w:pPr>
              <w:spacing w:before="40" w:after="40" w:line="264" w:lineRule="auto"/>
            </w:pPr>
            <w:r>
              <w:t>Payment layer</w:t>
            </w:r>
          </w:p>
        </w:tc>
        <w:tc>
          <w:tcPr>
            <w:tcW w:type="dxa" w:w="2436"/>
            <w:vAlign w:val="center"/>
            <w:tcMar>
              <w:top w:w="90" w:type="dxa"/>
              <w:start w:w="110" w:type="dxa"/>
              <w:bottom w:w="90" w:type="dxa"/>
              <w:end w:w="110" w:type="dxa"/>
            </w:tcMar>
          </w:tcPr>
          <w:p>
            <w:pPr>
              <w:spacing w:before="40" w:after="40" w:line="264" w:lineRule="auto"/>
            </w:pPr>
            <w:r>
              <w:t>Payment intent service plus smart-account execution</w:t>
            </w:r>
          </w:p>
        </w:tc>
        <w:tc>
          <w:tcPr>
            <w:tcW w:type="dxa" w:w="2436"/>
            <w:vAlign w:val="center"/>
            <w:tcMar>
              <w:top w:w="90" w:type="dxa"/>
              <w:start w:w="110" w:type="dxa"/>
              <w:bottom w:w="90" w:type="dxa"/>
              <w:end w:w="110" w:type="dxa"/>
            </w:tcMar>
          </w:tcPr>
          <w:p>
            <w:pPr>
              <w:spacing w:before="40" w:after="40" w:line="264" w:lineRule="auto"/>
            </w:pPr>
            <w:r>
              <w:t>Supports human-approved and autonomous modes with the same object model</w:t>
            </w:r>
          </w:p>
        </w:tc>
        <w:tc>
          <w:tcPr>
            <w:tcW w:type="dxa" w:w="2436"/>
            <w:vAlign w:val="center"/>
            <w:tcMar>
              <w:top w:w="90" w:type="dxa"/>
              <w:start w:w="110" w:type="dxa"/>
              <w:bottom w:w="90" w:type="dxa"/>
              <w:end w:w="110" w:type="dxa"/>
            </w:tcMar>
          </w:tcPr>
          <w:p>
            <w:pPr>
              <w:spacing w:before="40" w:after="40" w:line="264" w:lineRule="auto"/>
            </w:pPr>
            <w:r>
              <w:t>Extend to settlement, escrow, and trade intents</w:t>
            </w:r>
          </w:p>
        </w:tc>
      </w:tr>
      <w:tr>
        <w:tc>
          <w:tcPr>
            <w:tcW w:type="dxa" w:w="2436"/>
            <w:vAlign w:val="center"/>
            <w:tcMar>
              <w:top w:w="90" w:type="dxa"/>
              <w:start w:w="110" w:type="dxa"/>
              <w:bottom w:w="90" w:type="dxa"/>
              <w:end w:w="110" w:type="dxa"/>
            </w:tcMar>
          </w:tcPr>
          <w:p>
            <w:pPr>
              <w:spacing w:before="40" w:after="40" w:line="264" w:lineRule="auto"/>
            </w:pPr>
            <w:r>
              <w:t>Audit layer</w:t>
            </w:r>
          </w:p>
        </w:tc>
        <w:tc>
          <w:tcPr>
            <w:tcW w:type="dxa" w:w="2436"/>
            <w:vAlign w:val="center"/>
            <w:tcMar>
              <w:top w:w="90" w:type="dxa"/>
              <w:start w:w="110" w:type="dxa"/>
              <w:bottom w:w="90" w:type="dxa"/>
              <w:end w:w="110" w:type="dxa"/>
            </w:tcMar>
          </w:tcPr>
          <w:p>
            <w:pPr>
              <w:spacing w:before="40" w:after="40" w:line="264" w:lineRule="auto"/>
            </w:pPr>
            <w:r>
              <w:t>On-chain receipt hashes and off-chain signed logs</w:t>
            </w:r>
          </w:p>
        </w:tc>
        <w:tc>
          <w:tcPr>
            <w:tcW w:type="dxa" w:w="2436"/>
            <w:vAlign w:val="center"/>
            <w:tcMar>
              <w:top w:w="90" w:type="dxa"/>
              <w:start w:w="110" w:type="dxa"/>
              <w:bottom w:w="90" w:type="dxa"/>
              <w:end w:w="110" w:type="dxa"/>
            </w:tcMar>
          </w:tcPr>
          <w:p>
            <w:pPr>
              <w:spacing w:before="40" w:after="40" w:line="264" w:lineRule="auto"/>
            </w:pPr>
            <w:r>
              <w:t>Good privacy-performance trade-off</w:t>
            </w:r>
          </w:p>
        </w:tc>
        <w:tc>
          <w:tcPr>
            <w:tcW w:type="dxa" w:w="2436"/>
            <w:vAlign w:val="center"/>
            <w:tcMar>
              <w:top w:w="90" w:type="dxa"/>
              <w:start w:w="110" w:type="dxa"/>
              <w:bottom w:w="90" w:type="dxa"/>
              <w:end w:w="110" w:type="dxa"/>
            </w:tcMar>
          </w:tcPr>
          <w:p>
            <w:pPr>
              <w:spacing w:before="40" w:after="40" w:line="264" w:lineRule="auto"/>
            </w:pPr>
            <w:r>
              <w:t>Add zk attestations or verifiable execution proofs later</w:t>
            </w:r>
          </w:p>
        </w:tc>
      </w:tr>
    </w:tbl>
    <w:p>
      <w:pPr>
        <w:pStyle w:val="Heading2"/>
      </w:pPr>
      <w:r>
        <w:t>A.3 DID model and lifecycle</w:t>
      </w:r>
    </w:p>
    <w:p>
      <w:pPr>
        <w:pStyle w:val="Heading3"/>
      </w:pPr>
      <w:r>
        <w:t>A.3.1 Subject types</w:t>
      </w:r>
    </w:p>
    <w:p>
      <w:pPr>
        <w:pStyle w:val="ListBullet"/>
      </w:pPr>
      <w:r>
        <w:t>Owner DID: the natural person, enterprise, fund, or treasury with legal/economic responsibility.</w:t>
      </w:r>
    </w:p>
    <w:p>
      <w:pPr>
        <w:pStyle w:val="ListBullet"/>
      </w:pPr>
      <w:r>
        <w:t>Institution DID: the legal entity or service provider that issues credentials, opens accounts, or operates policy.</w:t>
      </w:r>
    </w:p>
    <w:p>
      <w:pPr>
        <w:pStyle w:val="ListBullet"/>
      </w:pPr>
      <w:r>
        <w:t>Agent DID: the software actor that receives delegated powers and binds to a wallet account.</w:t>
      </w:r>
    </w:p>
    <w:p>
      <w:pPr>
        <w:pStyle w:val="ListBullet"/>
      </w:pPr>
      <w:r>
        <w:t>Service DID (optional): a payment connector, KYC provider, custodian, or settlement service for trust graph clarity.</w:t>
      </w:r>
    </w:p>
    <w:p>
      <w:pPr>
        <w:pStyle w:val="Heading3"/>
      </w:pPr>
      <w:r>
        <w:t>A.3.2 Minimal DID document fields</w:t>
      </w:r>
    </w:p>
    <w:p>
      <w:pPr>
        <w:pStyle w:val="NoSpacing"/>
      </w:pPr>
      <w:r>
        <w:rPr>
          <w:rFonts w:ascii="Courier New" w:hAnsi="Courier New"/>
          <w:sz w:val="16"/>
        </w:rPr>
        <w:t>{</w:t>
        <w:br/>
        <w:t xml:space="preserve">  "id": "did:web:agents.example.com:agent:abc123",</w:t>
        <w:br/>
        <w:t xml:space="preserve">  "controller": ["did:web:org.example.com:treasury", "did:web:org.example.com:policy"],</w:t>
        <w:br/>
        <w:t xml:space="preserve">  "verificationMethod": [</w:t>
        <w:br/>
        <w:t xml:space="preserve">    {"id": "#auth-1", "type": "JsonWebKey2020", "controller": "did:web:agents.example.com:agent:abc123", "publicKeyJwk": {"kty": "OKP", "crv": "Ed25519", "x": "..."}},</w:t>
        <w:br/>
        <w:t xml:space="preserve">    {"id": "#sess-1", "type": "JsonWebKey2020", "controller": "did:web:agents.example.com:agent:abc123", "publicKeyJwk": {"kty": "EC", "crv": "secp256k1", "x": "...", "y": "..."}}</w:t>
        <w:br/>
        <w:t xml:space="preserve">  ],</w:t>
        <w:br/>
        <w:t xml:space="preserve">  "authentication": ["#auth-1"],</w:t>
        <w:br/>
        <w:t xml:space="preserve">  "assertionMethod": ["#auth-1"],</w:t>
        <w:br/>
        <w:t xml:space="preserve">  "capabilityInvocation": ["#sess-1"],</w:t>
        <w:br/>
        <w:t xml:space="preserve">  "service": [</w:t>
        <w:br/>
        <w:t xml:space="preserve">    {"id": "#policy", "type": "AgentPolicyService", "serviceEndpoint": "https://policy.example.com/v1/agents/abc123"},</w:t>
        <w:br/>
        <w:t xml:space="preserve">    {"id": "#presentation", "type": "OpenID4VPVerifier", "serviceEndpoint": "https://verify.example.com/vp"}</w:t>
        <w:br/>
        <w:t xml:space="preserve">  ]</w:t>
        <w:br/>
        <w:t>}</w:t>
      </w:r>
    </w:p>
    <w:p>
      <w:pPr>
        <w:pStyle w:val="Heading3"/>
      </w:pPr>
      <w:r>
        <w:t>A.3.3 DID lifecycle events</w:t>
      </w:r>
    </w:p>
    <w:p>
      <w:pPr>
        <w:pStyle w:val="ListBullet"/>
      </w:pPr>
      <w:r>
        <w:t>Create: owner and platform mint Agent DID, set controller set, and write an initial state commitment.</w:t>
      </w:r>
    </w:p>
    <w:p>
      <w:pPr>
        <w:pStyle w:val="ListBullet"/>
      </w:pPr>
      <w:r>
        <w:t>Bind: link DID to smart account, policy profile, and credential status list references.</w:t>
      </w:r>
    </w:p>
    <w:p>
      <w:pPr>
        <w:pStyle w:val="ListBullet"/>
      </w:pPr>
      <w:r>
        <w:t>Rotate: rotate auth or session keys without changing the DID.</w:t>
      </w:r>
    </w:p>
    <w:p>
      <w:pPr>
        <w:pStyle w:val="ListBullet"/>
      </w:pPr>
      <w:r>
        <w:t>Suspend: freeze payment and trading rights while preserving audit state.</w:t>
      </w:r>
    </w:p>
    <w:p>
      <w:pPr>
        <w:pStyle w:val="ListBullet"/>
      </w:pPr>
      <w:r>
        <w:t>Deactivate: permanently retire the DID while keeping historical references resolvable for audit.</w:t>
      </w:r>
    </w:p>
    <w:p>
      <w:pPr>
        <w:pStyle w:val="Heading2"/>
      </w:pPr>
      <w:r>
        <w:t>A.4 Credential schema design</w:t>
      </w:r>
    </w:p>
    <w:p>
      <w:pPr>
        <w:pStyle w:val="Heading3"/>
      </w:pPr>
      <w:r>
        <w:t>A.4.1 Core credential families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90" w:type="dxa"/>
              <w:start w:w="110" w:type="dxa"/>
              <w:bottom w:w="90" w:type="dxa"/>
              <w:end w:w="110" w:type="dxa"/>
            </w:tcMar>
            <w:shd w:fill="D9EAF7"/>
          </w:tcPr>
          <w:p>
            <w:pPr>
              <w:spacing w:before="40" w:after="40" w:line="264" w:lineRule="auto"/>
            </w:pPr>
            <w:r>
              <w:rPr>
                <w:b/>
              </w:rPr>
              <w:t>Credential</w:t>
            </w:r>
          </w:p>
        </w:tc>
        <w:tc>
          <w:tcPr>
            <w:tcW w:type="dxa" w:w="2436"/>
            <w:vAlign w:val="center"/>
            <w:tcMar>
              <w:top w:w="90" w:type="dxa"/>
              <w:start w:w="110" w:type="dxa"/>
              <w:bottom w:w="90" w:type="dxa"/>
              <w:end w:w="110" w:type="dxa"/>
            </w:tcMar>
            <w:shd w:fill="D9EAF7"/>
          </w:tcPr>
          <w:p>
            <w:pPr>
              <w:spacing w:before="40" w:after="40" w:line="264" w:lineRule="auto"/>
            </w:pPr>
            <w:r>
              <w:rPr>
                <w:b/>
              </w:rPr>
              <w:t>Subject</w:t>
            </w:r>
          </w:p>
        </w:tc>
        <w:tc>
          <w:tcPr>
            <w:tcW w:type="dxa" w:w="2436"/>
            <w:vAlign w:val="center"/>
            <w:tcMar>
              <w:top w:w="90" w:type="dxa"/>
              <w:start w:w="110" w:type="dxa"/>
              <w:bottom w:w="90" w:type="dxa"/>
              <w:end w:w="110" w:type="dxa"/>
            </w:tcMar>
            <w:shd w:fill="D9EAF7"/>
          </w:tcPr>
          <w:p>
            <w:pPr>
              <w:spacing w:before="40" w:after="40" w:line="264" w:lineRule="auto"/>
            </w:pPr>
            <w:r>
              <w:rPr>
                <w:b/>
              </w:rPr>
              <w:t>Key claims</w:t>
            </w:r>
          </w:p>
        </w:tc>
        <w:tc>
          <w:tcPr>
            <w:tcW w:type="dxa" w:w="2436"/>
            <w:vAlign w:val="center"/>
            <w:tcMar>
              <w:top w:w="90" w:type="dxa"/>
              <w:start w:w="110" w:type="dxa"/>
              <w:bottom w:w="90" w:type="dxa"/>
              <w:end w:w="110" w:type="dxa"/>
            </w:tcMar>
            <w:shd w:fill="D9EAF7"/>
          </w:tcPr>
          <w:p>
            <w:pPr>
              <w:spacing w:before="40" w:after="40" w:line="264" w:lineRule="auto"/>
            </w:pPr>
            <w:r>
              <w:rPr>
                <w:b/>
              </w:rPr>
              <w:t>Checked by</w:t>
            </w:r>
          </w:p>
        </w:tc>
      </w:tr>
      <w:tr>
        <w:tc>
          <w:tcPr>
            <w:tcW w:type="dxa" w:w="2436"/>
            <w:vAlign w:val="center"/>
            <w:tcMar>
              <w:top w:w="90" w:type="dxa"/>
              <w:start w:w="110" w:type="dxa"/>
              <w:bottom w:w="90" w:type="dxa"/>
              <w:end w:w="110" w:type="dxa"/>
            </w:tcMar>
          </w:tcPr>
          <w:p>
            <w:pPr>
              <w:spacing w:before="40" w:after="40" w:line="264" w:lineRule="auto"/>
            </w:pPr>
            <w:r>
              <w:t>Ownership VC</w:t>
            </w:r>
          </w:p>
        </w:tc>
        <w:tc>
          <w:tcPr>
            <w:tcW w:type="dxa" w:w="2436"/>
            <w:vAlign w:val="center"/>
            <w:tcMar>
              <w:top w:w="90" w:type="dxa"/>
              <w:start w:w="110" w:type="dxa"/>
              <w:bottom w:w="90" w:type="dxa"/>
              <w:end w:w="110" w:type="dxa"/>
            </w:tcMar>
          </w:tcPr>
          <w:p>
            <w:pPr>
              <w:spacing w:before="40" w:after="40" w:line="264" w:lineRule="auto"/>
            </w:pPr>
            <w:r>
              <w:t>Agent DID</w:t>
            </w:r>
          </w:p>
        </w:tc>
        <w:tc>
          <w:tcPr>
            <w:tcW w:type="dxa" w:w="2436"/>
            <w:vAlign w:val="center"/>
            <w:tcMar>
              <w:top w:w="90" w:type="dxa"/>
              <w:start w:w="110" w:type="dxa"/>
              <w:bottom w:w="90" w:type="dxa"/>
              <w:end w:w="110" w:type="dxa"/>
            </w:tcMar>
          </w:tcPr>
          <w:p>
            <w:pPr>
              <w:spacing w:before="40" w:after="40" w:line="264" w:lineRule="auto"/>
            </w:pPr>
            <w:r>
              <w:t>ownerDid, sponsorDid, creationAuthority, revocationReference</w:t>
            </w:r>
          </w:p>
        </w:tc>
        <w:tc>
          <w:tcPr>
            <w:tcW w:type="dxa" w:w="2436"/>
            <w:vAlign w:val="center"/>
            <w:tcMar>
              <w:top w:w="90" w:type="dxa"/>
              <w:start w:w="110" w:type="dxa"/>
              <w:bottom w:w="90" w:type="dxa"/>
              <w:end w:w="110" w:type="dxa"/>
            </w:tcMar>
          </w:tcPr>
          <w:p>
            <w:pPr>
              <w:spacing w:before="40" w:after="40" w:line="264" w:lineRule="auto"/>
            </w:pPr>
            <w:r>
              <w:t>account opener, payment verifier, venue</w:t>
            </w:r>
          </w:p>
        </w:tc>
      </w:tr>
      <w:tr>
        <w:tc>
          <w:tcPr>
            <w:tcW w:type="dxa" w:w="2436"/>
            <w:vAlign w:val="center"/>
            <w:tcMar>
              <w:top w:w="90" w:type="dxa"/>
              <w:start w:w="110" w:type="dxa"/>
              <w:bottom w:w="90" w:type="dxa"/>
              <w:end w:w="110" w:type="dxa"/>
            </w:tcMar>
          </w:tcPr>
          <w:p>
            <w:pPr>
              <w:spacing w:before="40" w:after="40" w:line="264" w:lineRule="auto"/>
            </w:pPr>
            <w:r>
              <w:t>KYC/KYB VC</w:t>
            </w:r>
          </w:p>
        </w:tc>
        <w:tc>
          <w:tcPr>
            <w:tcW w:type="dxa" w:w="2436"/>
            <w:vAlign w:val="center"/>
            <w:tcMar>
              <w:top w:w="90" w:type="dxa"/>
              <w:start w:w="110" w:type="dxa"/>
              <w:bottom w:w="90" w:type="dxa"/>
              <w:end w:w="110" w:type="dxa"/>
            </w:tcMar>
          </w:tcPr>
          <w:p>
            <w:pPr>
              <w:spacing w:before="40" w:after="40" w:line="264" w:lineRule="auto"/>
            </w:pPr>
            <w:r>
              <w:t>Owner DID or Institution DID</w:t>
            </w:r>
          </w:p>
        </w:tc>
        <w:tc>
          <w:tcPr>
            <w:tcW w:type="dxa" w:w="2436"/>
            <w:vAlign w:val="center"/>
            <w:tcMar>
              <w:top w:w="90" w:type="dxa"/>
              <w:start w:w="110" w:type="dxa"/>
              <w:bottom w:w="90" w:type="dxa"/>
              <w:end w:w="110" w:type="dxa"/>
            </w:tcMar>
          </w:tcPr>
          <w:p>
            <w:pPr>
              <w:spacing w:before="40" w:after="40" w:line="264" w:lineRule="auto"/>
            </w:pPr>
            <w:r>
              <w:t>jurisdiction, kycStatus, riskTier, reviewDate, expiry</w:t>
            </w:r>
          </w:p>
        </w:tc>
        <w:tc>
          <w:tcPr>
            <w:tcW w:type="dxa" w:w="2436"/>
            <w:vAlign w:val="center"/>
            <w:tcMar>
              <w:top w:w="90" w:type="dxa"/>
              <w:start w:w="110" w:type="dxa"/>
              <w:bottom w:w="90" w:type="dxa"/>
              <w:end w:w="110" w:type="dxa"/>
            </w:tcMar>
          </w:tcPr>
          <w:p>
            <w:pPr>
              <w:spacing w:before="40" w:after="40" w:line="264" w:lineRule="auto"/>
            </w:pPr>
            <w:r>
              <w:t>account opener, bridge, regulated venue</w:t>
            </w:r>
          </w:p>
        </w:tc>
      </w:tr>
      <w:tr>
        <w:tc>
          <w:tcPr>
            <w:tcW w:type="dxa" w:w="2436"/>
            <w:vAlign w:val="center"/>
            <w:tcMar>
              <w:top w:w="90" w:type="dxa"/>
              <w:start w:w="110" w:type="dxa"/>
              <w:bottom w:w="90" w:type="dxa"/>
              <w:end w:w="110" w:type="dxa"/>
            </w:tcMar>
          </w:tcPr>
          <w:p>
            <w:pPr>
              <w:spacing w:before="40" w:after="40" w:line="264" w:lineRule="auto"/>
            </w:pPr>
            <w:r>
              <w:t>Authority VC</w:t>
            </w:r>
          </w:p>
        </w:tc>
        <w:tc>
          <w:tcPr>
            <w:tcW w:type="dxa" w:w="2436"/>
            <w:vAlign w:val="center"/>
            <w:tcMar>
              <w:top w:w="90" w:type="dxa"/>
              <w:start w:w="110" w:type="dxa"/>
              <w:bottom w:w="90" w:type="dxa"/>
              <w:end w:w="110" w:type="dxa"/>
            </w:tcMar>
          </w:tcPr>
          <w:p>
            <w:pPr>
              <w:spacing w:before="40" w:after="40" w:line="264" w:lineRule="auto"/>
            </w:pPr>
            <w:r>
              <w:t>Agent DID</w:t>
            </w:r>
          </w:p>
        </w:tc>
        <w:tc>
          <w:tcPr>
            <w:tcW w:type="dxa" w:w="2436"/>
            <w:vAlign w:val="center"/>
            <w:tcMar>
              <w:top w:w="90" w:type="dxa"/>
              <w:start w:w="110" w:type="dxa"/>
              <w:bottom w:w="90" w:type="dxa"/>
              <w:end w:w="110" w:type="dxa"/>
            </w:tcMar>
          </w:tcPr>
          <w:p>
            <w:pPr>
              <w:spacing w:before="40" w:after="40" w:line="264" w:lineRule="auto"/>
            </w:pPr>
            <w:r>
              <w:t>allowedActions, assetAllowlist, counterpartyRules, limitProfile, autonomyMode</w:t>
            </w:r>
          </w:p>
        </w:tc>
        <w:tc>
          <w:tcPr>
            <w:tcW w:type="dxa" w:w="2436"/>
            <w:vAlign w:val="center"/>
            <w:tcMar>
              <w:top w:w="90" w:type="dxa"/>
              <w:start w:w="110" w:type="dxa"/>
              <w:bottom w:w="90" w:type="dxa"/>
              <w:end w:w="110" w:type="dxa"/>
            </w:tcMar>
          </w:tcPr>
          <w:p>
            <w:pPr>
              <w:spacing w:before="40" w:after="40" w:line="264" w:lineRule="auto"/>
            </w:pPr>
            <w:r>
              <w:t>policy engine, wallet validator</w:t>
            </w:r>
          </w:p>
        </w:tc>
      </w:tr>
      <w:tr>
        <w:tc>
          <w:tcPr>
            <w:tcW w:type="dxa" w:w="2436"/>
            <w:vAlign w:val="center"/>
            <w:tcMar>
              <w:top w:w="90" w:type="dxa"/>
              <w:start w:w="110" w:type="dxa"/>
              <w:bottom w:w="90" w:type="dxa"/>
              <w:end w:w="110" w:type="dxa"/>
            </w:tcMar>
          </w:tcPr>
          <w:p>
            <w:pPr>
              <w:spacing w:before="40" w:after="40" w:line="264" w:lineRule="auto"/>
            </w:pPr>
            <w:r>
              <w:t>Account Binding VC</w:t>
            </w:r>
          </w:p>
        </w:tc>
        <w:tc>
          <w:tcPr>
            <w:tcW w:type="dxa" w:w="2436"/>
            <w:vAlign w:val="center"/>
            <w:tcMar>
              <w:top w:w="90" w:type="dxa"/>
              <w:start w:w="110" w:type="dxa"/>
              <w:bottom w:w="90" w:type="dxa"/>
              <w:end w:w="110" w:type="dxa"/>
            </w:tcMar>
          </w:tcPr>
          <w:p>
            <w:pPr>
              <w:spacing w:before="40" w:after="40" w:line="264" w:lineRule="auto"/>
            </w:pPr>
            <w:r>
              <w:t>Agent DID</w:t>
            </w:r>
          </w:p>
        </w:tc>
        <w:tc>
          <w:tcPr>
            <w:tcW w:type="dxa" w:w="2436"/>
            <w:vAlign w:val="center"/>
            <w:tcMar>
              <w:top w:w="90" w:type="dxa"/>
              <w:start w:w="110" w:type="dxa"/>
              <w:bottom w:w="90" w:type="dxa"/>
              <w:end w:w="110" w:type="dxa"/>
            </w:tcMar>
          </w:tcPr>
          <w:p>
            <w:pPr>
              <w:spacing w:before="40" w:after="40" w:line="264" w:lineRule="auto"/>
            </w:pPr>
            <w:r>
              <w:t>accountAddress, chainId, custodyModel, signerProfile</w:t>
            </w:r>
          </w:p>
        </w:tc>
        <w:tc>
          <w:tcPr>
            <w:tcW w:type="dxa" w:w="2436"/>
            <w:vAlign w:val="center"/>
            <w:tcMar>
              <w:top w:w="90" w:type="dxa"/>
              <w:start w:w="110" w:type="dxa"/>
              <w:bottom w:w="90" w:type="dxa"/>
              <w:end w:w="110" w:type="dxa"/>
            </w:tcMar>
          </w:tcPr>
          <w:p>
            <w:pPr>
              <w:spacing w:before="40" w:after="40" w:line="264" w:lineRule="auto"/>
            </w:pPr>
            <w:r>
              <w:t>payment executor, auditor</w:t>
            </w:r>
          </w:p>
        </w:tc>
      </w:tr>
      <w:tr>
        <w:tc>
          <w:tcPr>
            <w:tcW w:type="dxa" w:w="2436"/>
            <w:vAlign w:val="center"/>
            <w:tcMar>
              <w:top w:w="90" w:type="dxa"/>
              <w:start w:w="110" w:type="dxa"/>
              <w:bottom w:w="90" w:type="dxa"/>
              <w:end w:w="110" w:type="dxa"/>
            </w:tcMar>
          </w:tcPr>
          <w:p>
            <w:pPr>
              <w:spacing w:before="40" w:after="40" w:line="264" w:lineRule="auto"/>
            </w:pPr>
            <w:r>
              <w:t>Connector Access VC</w:t>
            </w:r>
          </w:p>
        </w:tc>
        <w:tc>
          <w:tcPr>
            <w:tcW w:type="dxa" w:w="2436"/>
            <w:vAlign w:val="center"/>
            <w:tcMar>
              <w:top w:w="90" w:type="dxa"/>
              <w:start w:w="110" w:type="dxa"/>
              <w:bottom w:w="90" w:type="dxa"/>
              <w:end w:w="110" w:type="dxa"/>
            </w:tcMar>
          </w:tcPr>
          <w:p>
            <w:pPr>
              <w:spacing w:before="40" w:after="40" w:line="264" w:lineRule="auto"/>
            </w:pPr>
            <w:r>
              <w:t>Agent DID</w:t>
            </w:r>
          </w:p>
        </w:tc>
        <w:tc>
          <w:tcPr>
            <w:tcW w:type="dxa" w:w="2436"/>
            <w:vAlign w:val="center"/>
            <w:tcMar>
              <w:top w:w="90" w:type="dxa"/>
              <w:start w:w="110" w:type="dxa"/>
              <w:bottom w:w="90" w:type="dxa"/>
              <w:end w:w="110" w:type="dxa"/>
            </w:tcMar>
          </w:tcPr>
          <w:p>
            <w:pPr>
              <w:spacing w:before="40" w:after="40" w:line="264" w:lineRule="auto"/>
            </w:pPr>
            <w:r>
              <w:t>connectorId, railType, regionPermissions, sandboxOrProd</w:t>
            </w:r>
          </w:p>
        </w:tc>
        <w:tc>
          <w:tcPr>
            <w:tcW w:type="dxa" w:w="2436"/>
            <w:vAlign w:val="center"/>
            <w:tcMar>
              <w:top w:w="90" w:type="dxa"/>
              <w:start w:w="110" w:type="dxa"/>
              <w:bottom w:w="90" w:type="dxa"/>
              <w:end w:w="110" w:type="dxa"/>
            </w:tcMar>
          </w:tcPr>
          <w:p>
            <w:pPr>
              <w:spacing w:before="40" w:after="40" w:line="264" w:lineRule="auto"/>
            </w:pPr>
            <w:r>
              <w:t>connector gateway</w:t>
            </w:r>
          </w:p>
        </w:tc>
      </w:tr>
    </w:tbl>
    <w:p>
      <w:pPr>
        <w:pStyle w:val="Heading3"/>
      </w:pPr>
      <w:r>
        <w:t>A.4.2 Suggested Authority VC payload</w:t>
      </w:r>
    </w:p>
    <w:p>
      <w:pPr>
        <w:pStyle w:val="NoSpacing"/>
      </w:pPr>
      <w:r>
        <w:rPr>
          <w:rFonts w:ascii="Courier New" w:hAnsi="Courier New"/>
          <w:sz w:val="16"/>
        </w:rPr>
        <w:t>{</w:t>
        <w:br/>
        <w:t xml:space="preserve">  "credentialSubject": {</w:t>
        <w:br/>
        <w:t xml:space="preserve">    "id": "did:web:agents.example.com:agent:abc123",</w:t>
        <w:br/>
        <w:t xml:space="preserve">    "ownerDid": "did:web:org.example.com:treasury",</w:t>
        <w:br/>
        <w:t xml:space="preserve">    "autonomyMode": "pre_authorized",</w:t>
        <w:br/>
        <w:t xml:space="preserve">    "allowedActions": ["payment:create", "payment:execute"],</w:t>
        <w:br/>
        <w:t xml:space="preserve">    "assetAllowlist": ["USDC", "USDT"],</w:t>
        <w:br/>
        <w:t xml:space="preserve">    "counterpartyPolicy": {"mode": "allowlist", "listRef": "cp-list-2026-01"},</w:t>
        <w:br/>
        <w:t xml:space="preserve">    "limits": {"singleTx": "100.00", "daily": "1000.00", "monthly": "5000.00"},</w:t>
        <w:br/>
        <w:t xml:space="preserve">    "jurisdictionPolicy": {"deny": ["IR", "KP"], "allow": ["US", "SG", "AE"]},</w:t>
        <w:br/>
        <w:t xml:space="preserve">    "approvalThresholds": {"humanConfirmationAbove": "25.00", "stepUpAuthAbove": "250.00"},</w:t>
        <w:br/>
        <w:t xml:space="preserve">    "expires": "2026-06-30T23:59:59Z"</w:t>
        <w:br/>
        <w:t xml:space="preserve">  }</w:t>
        <w:br/>
        <w:t>}</w:t>
      </w:r>
    </w:p>
    <w:p>
      <w:pPr>
        <w:pStyle w:val="Heading3"/>
      </w:pPr>
      <w:r>
        <w:t>A.4.3 Revocation model</w:t>
      </w:r>
    </w:p>
    <w:p>
      <w:pPr>
        <w:pStyle w:val="ListBullet"/>
      </w:pPr>
      <w:r>
        <w:t>Use a status list or revocation registry referenced by VC status entries.</w:t>
      </w:r>
    </w:p>
    <w:p>
      <w:pPr>
        <w:pStyle w:val="ListBullet"/>
      </w:pPr>
      <w:r>
        <w:t>Mirror the current status root or Merkle commitment on-chain for verifier auditability.</w:t>
      </w:r>
    </w:p>
    <w:p>
      <w:pPr>
        <w:pStyle w:val="ListBullet"/>
      </w:pPr>
      <w:r>
        <w:t>Treat revocation as hard fail for payment and account opening unless an explicit emergency override policy exists.</w:t>
      </w:r>
    </w:p>
    <w:p>
      <w:pPr>
        <w:pStyle w:val="Heading2"/>
      </w:pPr>
      <w:r>
        <w:t>A.5 Smart-contract and on-chain module design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Mar>
              <w:top w:w="90" w:type="dxa"/>
              <w:start w:w="110" w:type="dxa"/>
              <w:bottom w:w="90" w:type="dxa"/>
              <w:end w:w="110" w:type="dxa"/>
            </w:tcMar>
            <w:shd w:fill="D9EAF7"/>
          </w:tcPr>
          <w:p>
            <w:pPr>
              <w:spacing w:before="40" w:after="40" w:line="264" w:lineRule="auto"/>
            </w:pPr>
            <w:r>
              <w:rPr>
                <w:b/>
              </w:rPr>
              <w:t>Module</w:t>
            </w:r>
          </w:p>
        </w:tc>
        <w:tc>
          <w:tcPr>
            <w:tcW w:type="dxa" w:w="1949"/>
            <w:vAlign w:val="center"/>
            <w:tcMar>
              <w:top w:w="90" w:type="dxa"/>
              <w:start w:w="110" w:type="dxa"/>
              <w:bottom w:w="90" w:type="dxa"/>
              <w:end w:w="110" w:type="dxa"/>
            </w:tcMar>
            <w:shd w:fill="D9EAF7"/>
          </w:tcPr>
          <w:p>
            <w:pPr>
              <w:spacing w:before="40" w:after="40" w:line="264" w:lineRule="auto"/>
            </w:pPr>
            <w:r>
              <w:rPr>
                <w:b/>
              </w:rPr>
              <w:t>Purpose</w:t>
            </w:r>
          </w:p>
        </w:tc>
        <w:tc>
          <w:tcPr>
            <w:tcW w:type="dxa" w:w="1949"/>
            <w:vAlign w:val="center"/>
            <w:tcMar>
              <w:top w:w="90" w:type="dxa"/>
              <w:start w:w="110" w:type="dxa"/>
              <w:bottom w:w="90" w:type="dxa"/>
              <w:end w:w="110" w:type="dxa"/>
            </w:tcMar>
            <w:shd w:fill="D9EAF7"/>
          </w:tcPr>
          <w:p>
            <w:pPr>
              <w:spacing w:before="40" w:after="40" w:line="264" w:lineRule="auto"/>
            </w:pPr>
            <w:r>
              <w:rPr>
                <w:b/>
              </w:rPr>
              <w:t>Writes</w:t>
            </w:r>
          </w:p>
        </w:tc>
        <w:tc>
          <w:tcPr>
            <w:tcW w:type="dxa" w:w="1949"/>
            <w:vAlign w:val="center"/>
            <w:tcMar>
              <w:top w:w="90" w:type="dxa"/>
              <w:start w:w="110" w:type="dxa"/>
              <w:bottom w:w="90" w:type="dxa"/>
              <w:end w:w="110" w:type="dxa"/>
            </w:tcMar>
            <w:shd w:fill="D9EAF7"/>
          </w:tcPr>
          <w:p>
            <w:pPr>
              <w:spacing w:before="40" w:after="40" w:line="264" w:lineRule="auto"/>
            </w:pPr>
            <w:r>
              <w:rPr>
                <w:b/>
              </w:rPr>
              <w:t>Reads</w:t>
            </w:r>
          </w:p>
        </w:tc>
        <w:tc>
          <w:tcPr>
            <w:tcW w:type="dxa" w:w="1949"/>
            <w:vAlign w:val="center"/>
            <w:tcMar>
              <w:top w:w="90" w:type="dxa"/>
              <w:start w:w="110" w:type="dxa"/>
              <w:bottom w:w="90" w:type="dxa"/>
              <w:end w:w="110" w:type="dxa"/>
            </w:tcMar>
            <w:shd w:fill="D9EAF7"/>
          </w:tcPr>
          <w:p>
            <w:pPr>
              <w:spacing w:before="40" w:after="40" w:line="264" w:lineRule="auto"/>
            </w:pPr>
            <w:r>
              <w:rPr>
                <w:b/>
              </w:rPr>
              <w:t>Notes</w:t>
            </w:r>
          </w:p>
        </w:tc>
      </w:tr>
      <w:tr>
        <w:tc>
          <w:tcPr>
            <w:tcW w:type="dxa" w:w="1949"/>
            <w:vAlign w:val="center"/>
            <w:tcMar>
              <w:top w:w="90" w:type="dxa"/>
              <w:start w:w="110" w:type="dxa"/>
              <w:bottom w:w="90" w:type="dxa"/>
              <w:end w:w="110" w:type="dxa"/>
            </w:tcMar>
          </w:tcPr>
          <w:p>
            <w:pPr>
              <w:spacing w:before="40" w:after="40" w:line="264" w:lineRule="auto"/>
            </w:pPr>
            <w:r>
              <w:t>AgentRegistry</w:t>
            </w:r>
          </w:p>
        </w:tc>
        <w:tc>
          <w:tcPr>
            <w:tcW w:type="dxa" w:w="1949"/>
            <w:vAlign w:val="center"/>
            <w:tcMar>
              <w:top w:w="90" w:type="dxa"/>
              <w:start w:w="110" w:type="dxa"/>
              <w:bottom w:w="90" w:type="dxa"/>
              <w:end w:w="110" w:type="dxa"/>
            </w:tcMar>
          </w:tcPr>
          <w:p>
            <w:pPr>
              <w:spacing w:before="40" w:after="40" w:line="264" w:lineRule="auto"/>
            </w:pPr>
            <w:r>
              <w:t>Map Agent DID hash to current account, controller set hash, lifecycle status</w:t>
            </w:r>
          </w:p>
        </w:tc>
        <w:tc>
          <w:tcPr>
            <w:tcW w:type="dxa" w:w="1949"/>
            <w:vAlign w:val="center"/>
            <w:tcMar>
              <w:top w:w="90" w:type="dxa"/>
              <w:start w:w="110" w:type="dxa"/>
              <w:bottom w:w="90" w:type="dxa"/>
              <w:end w:w="110" w:type="dxa"/>
            </w:tcMar>
          </w:tcPr>
          <w:p>
            <w:pPr>
              <w:spacing w:before="40" w:after="40" w:line="264" w:lineRule="auto"/>
            </w:pPr>
            <w:r>
              <w:t>create, suspend, deactivate, bindAccount</w:t>
            </w:r>
          </w:p>
        </w:tc>
        <w:tc>
          <w:tcPr>
            <w:tcW w:type="dxa" w:w="1949"/>
            <w:vAlign w:val="center"/>
            <w:tcMar>
              <w:top w:w="90" w:type="dxa"/>
              <w:start w:w="110" w:type="dxa"/>
              <w:bottom w:w="90" w:type="dxa"/>
              <w:end w:w="110" w:type="dxa"/>
            </w:tcMar>
          </w:tcPr>
          <w:p>
            <w:pPr>
              <w:spacing w:before="40" w:after="40" w:line="264" w:lineRule="auto"/>
            </w:pPr>
            <w:r>
              <w:t>status for verifiers and wallet modules</w:t>
            </w:r>
          </w:p>
        </w:tc>
        <w:tc>
          <w:tcPr>
            <w:tcW w:type="dxa" w:w="1949"/>
            <w:vAlign w:val="center"/>
            <w:tcMar>
              <w:top w:w="90" w:type="dxa"/>
              <w:start w:w="110" w:type="dxa"/>
              <w:bottom w:w="90" w:type="dxa"/>
              <w:end w:w="110" w:type="dxa"/>
            </w:tcMar>
          </w:tcPr>
          <w:p>
            <w:pPr>
              <w:spacing w:before="40" w:after="40" w:line="264" w:lineRule="auto"/>
            </w:pPr>
            <w:r>
              <w:t>Keep full DID doc off-chain; anchor hashes and pointers only</w:t>
            </w:r>
          </w:p>
        </w:tc>
      </w:tr>
      <w:tr>
        <w:tc>
          <w:tcPr>
            <w:tcW w:type="dxa" w:w="1949"/>
            <w:vAlign w:val="center"/>
            <w:tcMar>
              <w:top w:w="90" w:type="dxa"/>
              <w:start w:w="110" w:type="dxa"/>
              <w:bottom w:w="90" w:type="dxa"/>
              <w:end w:w="110" w:type="dxa"/>
            </w:tcMar>
          </w:tcPr>
          <w:p>
            <w:pPr>
              <w:spacing w:before="40" w:after="40" w:line="264" w:lineRule="auto"/>
            </w:pPr>
            <w:r>
              <w:t>CredentialStatusAnchor</w:t>
            </w:r>
          </w:p>
        </w:tc>
        <w:tc>
          <w:tcPr>
            <w:tcW w:type="dxa" w:w="1949"/>
            <w:vAlign w:val="center"/>
            <w:tcMar>
              <w:top w:w="90" w:type="dxa"/>
              <w:start w:w="110" w:type="dxa"/>
              <w:bottom w:w="90" w:type="dxa"/>
              <w:end w:w="110" w:type="dxa"/>
            </w:tcMar>
          </w:tcPr>
          <w:p>
            <w:pPr>
              <w:spacing w:before="40" w:after="40" w:line="264" w:lineRule="auto"/>
            </w:pPr>
            <w:r>
              <w:t>Anchor current credential-status root or list hash</w:t>
            </w:r>
          </w:p>
        </w:tc>
        <w:tc>
          <w:tcPr>
            <w:tcW w:type="dxa" w:w="1949"/>
            <w:vAlign w:val="center"/>
            <w:tcMar>
              <w:top w:w="90" w:type="dxa"/>
              <w:start w:w="110" w:type="dxa"/>
              <w:bottom w:w="90" w:type="dxa"/>
              <w:end w:w="110" w:type="dxa"/>
            </w:tcMar>
          </w:tcPr>
          <w:p>
            <w:pPr>
              <w:spacing w:before="40" w:after="40" w:line="264" w:lineRule="auto"/>
            </w:pPr>
            <w:r>
              <w:t>updateRoot</w:t>
            </w:r>
          </w:p>
        </w:tc>
        <w:tc>
          <w:tcPr>
            <w:tcW w:type="dxa" w:w="1949"/>
            <w:vAlign w:val="center"/>
            <w:tcMar>
              <w:top w:w="90" w:type="dxa"/>
              <w:start w:w="110" w:type="dxa"/>
              <w:bottom w:w="90" w:type="dxa"/>
              <w:end w:w="110" w:type="dxa"/>
            </w:tcMar>
          </w:tcPr>
          <w:p>
            <w:pPr>
              <w:spacing w:before="40" w:after="40" w:line="264" w:lineRule="auto"/>
            </w:pPr>
            <w:r>
              <w:t>status validation by verifier gateways</w:t>
            </w:r>
          </w:p>
        </w:tc>
        <w:tc>
          <w:tcPr>
            <w:tcW w:type="dxa" w:w="1949"/>
            <w:vAlign w:val="center"/>
            <w:tcMar>
              <w:top w:w="90" w:type="dxa"/>
              <w:start w:w="110" w:type="dxa"/>
              <w:bottom w:w="90" w:type="dxa"/>
              <w:end w:w="110" w:type="dxa"/>
            </w:tcMar>
          </w:tcPr>
          <w:p>
            <w:pPr>
              <w:spacing w:before="40" w:after="40" w:line="264" w:lineRule="auto"/>
            </w:pPr>
            <w:r>
              <w:t>Lets off-chain status registries remain compact and flexible</w:t>
            </w:r>
          </w:p>
        </w:tc>
      </w:tr>
      <w:tr>
        <w:tc>
          <w:tcPr>
            <w:tcW w:type="dxa" w:w="1949"/>
            <w:vAlign w:val="center"/>
            <w:tcMar>
              <w:top w:w="90" w:type="dxa"/>
              <w:start w:w="110" w:type="dxa"/>
              <w:bottom w:w="90" w:type="dxa"/>
              <w:end w:w="110" w:type="dxa"/>
            </w:tcMar>
          </w:tcPr>
          <w:p>
            <w:pPr>
              <w:spacing w:before="40" w:after="40" w:line="264" w:lineRule="auto"/>
            </w:pPr>
            <w:r>
              <w:t>PolicyRegistry</w:t>
            </w:r>
          </w:p>
        </w:tc>
        <w:tc>
          <w:tcPr>
            <w:tcW w:type="dxa" w:w="1949"/>
            <w:vAlign w:val="center"/>
            <w:tcMar>
              <w:top w:w="90" w:type="dxa"/>
              <w:start w:w="110" w:type="dxa"/>
              <w:bottom w:w="90" w:type="dxa"/>
              <w:end w:w="110" w:type="dxa"/>
            </w:tcMar>
          </w:tcPr>
          <w:p>
            <w:pPr>
              <w:spacing w:before="40" w:after="40" w:line="264" w:lineRule="auto"/>
            </w:pPr>
            <w:r>
              <w:t>Store policy commitment hashes and active policy version for each agent</w:t>
            </w:r>
          </w:p>
        </w:tc>
        <w:tc>
          <w:tcPr>
            <w:tcW w:type="dxa" w:w="1949"/>
            <w:vAlign w:val="center"/>
            <w:tcMar>
              <w:top w:w="90" w:type="dxa"/>
              <w:start w:w="110" w:type="dxa"/>
              <w:bottom w:w="90" w:type="dxa"/>
              <w:end w:w="110" w:type="dxa"/>
            </w:tcMar>
          </w:tcPr>
          <w:p>
            <w:pPr>
              <w:spacing w:before="40" w:after="40" w:line="264" w:lineRule="auto"/>
            </w:pPr>
            <w:r>
              <w:t>setPolicy, freezePolicy</w:t>
            </w:r>
          </w:p>
        </w:tc>
        <w:tc>
          <w:tcPr>
            <w:tcW w:type="dxa" w:w="1949"/>
            <w:vAlign w:val="center"/>
            <w:tcMar>
              <w:top w:w="90" w:type="dxa"/>
              <w:start w:w="110" w:type="dxa"/>
              <w:bottom w:w="90" w:type="dxa"/>
              <w:end w:w="110" w:type="dxa"/>
            </w:tcMar>
          </w:tcPr>
          <w:p>
            <w:pPr>
              <w:spacing w:before="40" w:after="40" w:line="264" w:lineRule="auto"/>
            </w:pPr>
            <w:r>
              <w:t>wallet validator, auditors</w:t>
            </w:r>
          </w:p>
        </w:tc>
        <w:tc>
          <w:tcPr>
            <w:tcW w:type="dxa" w:w="1949"/>
            <w:vAlign w:val="center"/>
            <w:tcMar>
              <w:top w:w="90" w:type="dxa"/>
              <w:start w:w="110" w:type="dxa"/>
              <w:bottom w:w="90" w:type="dxa"/>
              <w:end w:w="110" w:type="dxa"/>
            </w:tcMar>
          </w:tcPr>
          <w:p>
            <w:pPr>
              <w:spacing w:before="40" w:after="40" w:line="264" w:lineRule="auto"/>
            </w:pPr>
            <w:r>
              <w:t>Detailed policy stays off-chain; on-chain commitment prevents silent tampering</w:t>
            </w:r>
          </w:p>
        </w:tc>
      </w:tr>
      <w:tr>
        <w:tc>
          <w:tcPr>
            <w:tcW w:type="dxa" w:w="1949"/>
            <w:vAlign w:val="center"/>
            <w:tcMar>
              <w:top w:w="90" w:type="dxa"/>
              <w:start w:w="110" w:type="dxa"/>
              <w:bottom w:w="90" w:type="dxa"/>
              <w:end w:w="110" w:type="dxa"/>
            </w:tcMar>
          </w:tcPr>
          <w:p>
            <w:pPr>
              <w:spacing w:before="40" w:after="40" w:line="264" w:lineRule="auto"/>
            </w:pPr>
            <w:r>
              <w:t>AgentAccountFactory</w:t>
            </w:r>
          </w:p>
        </w:tc>
        <w:tc>
          <w:tcPr>
            <w:tcW w:type="dxa" w:w="1949"/>
            <w:vAlign w:val="center"/>
            <w:tcMar>
              <w:top w:w="90" w:type="dxa"/>
              <w:start w:w="110" w:type="dxa"/>
              <w:bottom w:w="90" w:type="dxa"/>
              <w:end w:w="110" w:type="dxa"/>
            </w:tcMar>
          </w:tcPr>
          <w:p>
            <w:pPr>
              <w:spacing w:before="40" w:after="40" w:line="264" w:lineRule="auto"/>
            </w:pPr>
            <w:r>
              <w:t>Deploy ERC-4337 accounts and bind them to agents</w:t>
            </w:r>
          </w:p>
        </w:tc>
        <w:tc>
          <w:tcPr>
            <w:tcW w:type="dxa" w:w="1949"/>
            <w:vAlign w:val="center"/>
            <w:tcMar>
              <w:top w:w="90" w:type="dxa"/>
              <w:start w:w="110" w:type="dxa"/>
              <w:bottom w:w="90" w:type="dxa"/>
              <w:end w:w="110" w:type="dxa"/>
            </w:tcMar>
          </w:tcPr>
          <w:p>
            <w:pPr>
              <w:spacing w:before="40" w:after="40" w:line="264" w:lineRule="auto"/>
            </w:pPr>
            <w:r>
              <w:t>deployAccount, bindAgent</w:t>
            </w:r>
          </w:p>
        </w:tc>
        <w:tc>
          <w:tcPr>
            <w:tcW w:type="dxa" w:w="1949"/>
            <w:vAlign w:val="center"/>
            <w:tcMar>
              <w:top w:w="90" w:type="dxa"/>
              <w:start w:w="110" w:type="dxa"/>
              <w:bottom w:w="90" w:type="dxa"/>
              <w:end w:w="110" w:type="dxa"/>
            </w:tcMar>
          </w:tcPr>
          <w:p>
            <w:pPr>
              <w:spacing w:before="40" w:after="40" w:line="264" w:lineRule="auto"/>
            </w:pPr>
            <w:r>
              <w:t>wallet discovery</w:t>
            </w:r>
          </w:p>
        </w:tc>
        <w:tc>
          <w:tcPr>
            <w:tcW w:type="dxa" w:w="1949"/>
            <w:vAlign w:val="center"/>
            <w:tcMar>
              <w:top w:w="90" w:type="dxa"/>
              <w:start w:w="110" w:type="dxa"/>
              <w:bottom w:w="90" w:type="dxa"/>
              <w:end w:w="110" w:type="dxa"/>
            </w:tcMar>
          </w:tcPr>
          <w:p>
            <w:pPr>
              <w:spacing w:before="40" w:after="40" w:line="264" w:lineRule="auto"/>
            </w:pPr>
            <w:r>
              <w:t>Can enforce that only verified operators deploy bound accounts</w:t>
            </w:r>
          </w:p>
        </w:tc>
      </w:tr>
      <w:tr>
        <w:tc>
          <w:tcPr>
            <w:tcW w:type="dxa" w:w="1949"/>
            <w:vAlign w:val="center"/>
            <w:tcMar>
              <w:top w:w="90" w:type="dxa"/>
              <w:start w:w="110" w:type="dxa"/>
              <w:bottom w:w="90" w:type="dxa"/>
              <w:end w:w="110" w:type="dxa"/>
            </w:tcMar>
          </w:tcPr>
          <w:p>
            <w:pPr>
              <w:spacing w:before="40" w:after="40" w:line="264" w:lineRule="auto"/>
            </w:pPr>
            <w:r>
              <w:t>PaymentReceiptRegistry</w:t>
            </w:r>
          </w:p>
        </w:tc>
        <w:tc>
          <w:tcPr>
            <w:tcW w:type="dxa" w:w="1949"/>
            <w:vAlign w:val="center"/>
            <w:tcMar>
              <w:top w:w="90" w:type="dxa"/>
              <w:start w:w="110" w:type="dxa"/>
              <w:bottom w:w="90" w:type="dxa"/>
              <w:end w:w="110" w:type="dxa"/>
            </w:tcMar>
          </w:tcPr>
          <w:p>
            <w:pPr>
              <w:spacing w:before="40" w:after="40" w:line="264" w:lineRule="auto"/>
            </w:pPr>
            <w:r>
              <w:t>Store intent ID, receipt hash, execution status, and timestamp</w:t>
            </w:r>
          </w:p>
        </w:tc>
        <w:tc>
          <w:tcPr>
            <w:tcW w:type="dxa" w:w="1949"/>
            <w:vAlign w:val="center"/>
            <w:tcMar>
              <w:top w:w="90" w:type="dxa"/>
              <w:start w:w="110" w:type="dxa"/>
              <w:bottom w:w="90" w:type="dxa"/>
              <w:end w:w="110" w:type="dxa"/>
            </w:tcMar>
          </w:tcPr>
          <w:p>
            <w:pPr>
              <w:spacing w:before="40" w:after="40" w:line="264" w:lineRule="auto"/>
            </w:pPr>
            <w:r>
              <w:t>recordReceipt, markReverted</w:t>
            </w:r>
          </w:p>
        </w:tc>
        <w:tc>
          <w:tcPr>
            <w:tcW w:type="dxa" w:w="1949"/>
            <w:vAlign w:val="center"/>
            <w:tcMar>
              <w:top w:w="90" w:type="dxa"/>
              <w:start w:w="110" w:type="dxa"/>
              <w:bottom w:w="90" w:type="dxa"/>
              <w:end w:w="110" w:type="dxa"/>
            </w:tcMar>
          </w:tcPr>
          <w:p>
            <w:pPr>
              <w:spacing w:before="40" w:after="40" w:line="264" w:lineRule="auto"/>
            </w:pPr>
            <w:r>
              <w:t>audits and dispute review</w:t>
            </w:r>
          </w:p>
        </w:tc>
        <w:tc>
          <w:tcPr>
            <w:tcW w:type="dxa" w:w="1949"/>
            <w:vAlign w:val="center"/>
            <w:tcMar>
              <w:top w:w="90" w:type="dxa"/>
              <w:start w:w="110" w:type="dxa"/>
              <w:bottom w:w="90" w:type="dxa"/>
              <w:end w:w="110" w:type="dxa"/>
            </w:tcMar>
          </w:tcPr>
          <w:p>
            <w:pPr>
              <w:spacing w:before="40" w:after="40" w:line="264" w:lineRule="auto"/>
            </w:pPr>
            <w:r>
              <w:t>Do not store sensitive purpose text or invoice data on-chain</w:t>
            </w:r>
          </w:p>
        </w:tc>
      </w:tr>
      <w:tr>
        <w:tc>
          <w:tcPr>
            <w:tcW w:type="dxa" w:w="1949"/>
            <w:vAlign w:val="center"/>
            <w:tcMar>
              <w:top w:w="90" w:type="dxa"/>
              <w:start w:w="110" w:type="dxa"/>
              <w:bottom w:w="90" w:type="dxa"/>
              <w:end w:w="110" w:type="dxa"/>
            </w:tcMar>
          </w:tcPr>
          <w:p>
            <w:pPr>
              <w:spacing w:before="40" w:after="40" w:line="264" w:lineRule="auto"/>
            </w:pPr>
            <w:r>
              <w:t>EmergencyControl</w:t>
            </w:r>
          </w:p>
        </w:tc>
        <w:tc>
          <w:tcPr>
            <w:tcW w:type="dxa" w:w="1949"/>
            <w:vAlign w:val="center"/>
            <w:tcMar>
              <w:top w:w="90" w:type="dxa"/>
              <w:start w:w="110" w:type="dxa"/>
              <w:bottom w:w="90" w:type="dxa"/>
              <w:end w:w="110" w:type="dxa"/>
            </w:tcMar>
          </w:tcPr>
          <w:p>
            <w:pPr>
              <w:spacing w:before="40" w:after="40" w:line="264" w:lineRule="auto"/>
            </w:pPr>
            <w:r>
              <w:t>Global or per-agent kill switch</w:t>
            </w:r>
          </w:p>
        </w:tc>
        <w:tc>
          <w:tcPr>
            <w:tcW w:type="dxa" w:w="1949"/>
            <w:vAlign w:val="center"/>
            <w:tcMar>
              <w:top w:w="90" w:type="dxa"/>
              <w:start w:w="110" w:type="dxa"/>
              <w:bottom w:w="90" w:type="dxa"/>
              <w:end w:w="110" w:type="dxa"/>
            </w:tcMar>
          </w:tcPr>
          <w:p>
            <w:pPr>
              <w:spacing w:before="40" w:after="40" w:line="264" w:lineRule="auto"/>
            </w:pPr>
            <w:r>
              <w:t>pauseAgent, unpauseAgent</w:t>
            </w:r>
          </w:p>
        </w:tc>
        <w:tc>
          <w:tcPr>
            <w:tcW w:type="dxa" w:w="1949"/>
            <w:vAlign w:val="center"/>
            <w:tcMar>
              <w:top w:w="90" w:type="dxa"/>
              <w:start w:w="110" w:type="dxa"/>
              <w:bottom w:w="90" w:type="dxa"/>
              <w:end w:w="110" w:type="dxa"/>
            </w:tcMar>
          </w:tcPr>
          <w:p>
            <w:pPr>
              <w:spacing w:before="40" w:after="40" w:line="264" w:lineRule="auto"/>
            </w:pPr>
            <w:r>
              <w:t>wallet validators, gateways</w:t>
            </w:r>
          </w:p>
        </w:tc>
        <w:tc>
          <w:tcPr>
            <w:tcW w:type="dxa" w:w="1949"/>
            <w:vAlign w:val="center"/>
            <w:tcMar>
              <w:top w:w="90" w:type="dxa"/>
              <w:start w:w="110" w:type="dxa"/>
              <w:bottom w:w="90" w:type="dxa"/>
              <w:end w:w="110" w:type="dxa"/>
            </w:tcMar>
          </w:tcPr>
          <w:p>
            <w:pPr>
              <w:spacing w:before="40" w:after="40" w:line="264" w:lineRule="auto"/>
            </w:pPr>
            <w:r>
              <w:t>Must be tightly governed and highly auditable</w:t>
            </w:r>
          </w:p>
        </w:tc>
      </w:tr>
    </w:tbl>
    <w:p>
      <w:pPr>
        <w:pStyle w:val="Heading2"/>
      </w:pPr>
      <w:r>
        <w:t>A.6 ERC-4337 account design</w:t>
      </w:r>
    </w:p>
    <w:p>
      <w:pPr>
        <w:pStyle w:val="ListBullet"/>
      </w:pPr>
      <w:r>
        <w:t>Validation logic should require: active Agent DID status, active policy commitment, unrevoked Authority VC reference, and acceptable execution mode for the requested action.</w:t>
      </w:r>
    </w:p>
    <w:p>
      <w:pPr>
        <w:pStyle w:val="ListBullet"/>
      </w:pPr>
      <w:r>
        <w:t>Use session keys for short-lived automation. Session keys should be constrained by action type, expiry, asset, and spend caps.</w:t>
      </w:r>
    </w:p>
    <w:p>
      <w:pPr>
        <w:pStyle w:val="ListBullet"/>
      </w:pPr>
      <w:r>
        <w:t>Use a paymaster only after preflight verification succeeds. This avoids subsidizing spam or malicious intent creation.</w:t>
      </w:r>
    </w:p>
    <w:p>
      <w:pPr>
        <w:pStyle w:val="ListBullet"/>
      </w:pPr>
      <w:r>
        <w:t>Keep a separate governance/recovery key path from hot execution/session keys.</w:t>
      </w:r>
    </w:p>
    <w:p>
      <w:pPr>
        <w:pStyle w:val="ListBullet"/>
      </w:pPr>
      <w:r>
        <w:t>For enterprise deployments, use treasury partitions or subaccounts so one agent compromise cannot drain a full treasury.</w:t>
      </w:r>
    </w:p>
    <w:p>
      <w:pPr>
        <w:pStyle w:val="Heading3"/>
      </w:pPr>
      <w:r>
        <w:t>A.6.1 Recommended account modules</w:t>
      </w:r>
    </w:p>
    <w:p>
      <w:pPr>
        <w:pStyle w:val="ListBullet"/>
      </w:pPr>
      <w:r>
        <w:t>PolicyValidator module: validates signed intent against current policy commitment and execution mode.</w:t>
      </w:r>
    </w:p>
    <w:p>
      <w:pPr>
        <w:pStyle w:val="ListBullet"/>
      </w:pPr>
      <w:r>
        <w:t>SessionKey module: checks time-bounded delegated keys and their scope.</w:t>
      </w:r>
    </w:p>
    <w:p>
      <w:pPr>
        <w:pStyle w:val="ListBullet"/>
      </w:pPr>
      <w:r>
        <w:t>SpendingLimit module: enforces rolling limits and nonce domains.</w:t>
      </w:r>
    </w:p>
    <w:p>
      <w:pPr>
        <w:pStyle w:val="ListBullet"/>
      </w:pPr>
      <w:r>
        <w:t>CounterpartyGuard module: checks allowlists, deny lists, and sanctions/policy hooks.</w:t>
      </w:r>
    </w:p>
    <w:p>
      <w:pPr>
        <w:pStyle w:val="ListBullet"/>
      </w:pPr>
      <w:r>
        <w:t>Recovery module: permits controlled rotation by governance keys after time lock or quorum.</w:t>
      </w:r>
    </w:p>
    <w:p>
      <w:pPr>
        <w:pStyle w:val="Heading2"/>
      </w:pPr>
      <w:r>
        <w:t>A.7 Account opening flow</w:t>
      </w:r>
    </w:p>
    <w:p>
      <w:pPr>
        <w:pStyle w:val="ListBullet"/>
      </w:pPr>
      <w:r>
        <w:t>1. Owner completes KYC/KYB with a trusted issuer and receives or can request a KYC/KYB VC.</w:t>
      </w:r>
    </w:p>
    <w:p>
      <w:pPr>
        <w:pStyle w:val="ListBullet"/>
      </w:pPr>
      <w:r>
        <w:t>2. Platform creates Agent DID and Ownership VC linking agent to owner or institution.</w:t>
      </w:r>
    </w:p>
    <w:p>
      <w:pPr>
        <w:pStyle w:val="ListBullet"/>
      </w:pPr>
      <w:r>
        <w:t>3. Policy authority issues an Authority VC and stores a policy commitment in the PolicyRegistry.</w:t>
      </w:r>
    </w:p>
    <w:p>
      <w:pPr>
        <w:pStyle w:val="ListBullet"/>
      </w:pPr>
      <w:r>
        <w:t>4. AgentAccountFactory deploys an ERC-4337 smart account and binds it to the Agent DID.</w:t>
      </w:r>
    </w:p>
    <w:p>
      <w:pPr>
        <w:pStyle w:val="ListBullet"/>
      </w:pPr>
      <w:r>
        <w:t>5. Account Binding VC is issued; AgentRegistry status moves from pending to active.</w:t>
      </w:r>
    </w:p>
    <w:p>
      <w:pPr>
        <w:pStyle w:val="ListBullet"/>
      </w:pPr>
      <w:r>
        <w:t>6. Treasury funds the agent account or assigns a bounded budget partition.</w:t>
      </w:r>
    </w:p>
    <w:p>
      <w:pPr>
        <w:pStyle w:val="ListBullet"/>
      </w:pPr>
      <w:r>
        <w:t>7. Connectors and verifiers can now accept presentation of relevant credentials and route payment intents.</w:t>
      </w:r>
    </w:p>
    <w:p>
      <w:pPr>
        <w:pStyle w:val="Heading2"/>
      </w:pPr>
      <w:r>
        <w:t>A.8 Payment intent and execution design</w:t>
      </w:r>
    </w:p>
    <w:p>
      <w:pPr>
        <w:pStyle w:val="Heading3"/>
      </w:pPr>
      <w:r>
        <w:t>A.8.1 Suggested payment intent object fields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90" w:type="dxa"/>
              <w:start w:w="110" w:type="dxa"/>
              <w:bottom w:w="90" w:type="dxa"/>
              <w:end w:w="110" w:type="dxa"/>
            </w:tcMar>
            <w:shd w:fill="D9EAF7"/>
          </w:tcPr>
          <w:p>
            <w:pPr>
              <w:spacing w:before="40" w:after="40" w:line="264" w:lineRule="auto"/>
            </w:pPr>
            <w:r>
              <w:rPr>
                <w:b/>
              </w:rPr>
              <w:t>Field</w:t>
            </w:r>
          </w:p>
        </w:tc>
        <w:tc>
          <w:tcPr>
            <w:tcW w:type="dxa" w:w="2436"/>
            <w:vAlign w:val="center"/>
            <w:tcMar>
              <w:top w:w="90" w:type="dxa"/>
              <w:start w:w="110" w:type="dxa"/>
              <w:bottom w:w="90" w:type="dxa"/>
              <w:end w:w="110" w:type="dxa"/>
            </w:tcMar>
            <w:shd w:fill="D9EAF7"/>
          </w:tcPr>
          <w:p>
            <w:pPr>
              <w:spacing w:before="40" w:after="40" w:line="264" w:lineRule="auto"/>
            </w:pPr>
            <w:r>
              <w:rPr>
                <w:b/>
              </w:rPr>
              <w:t>Type</w:t>
            </w:r>
          </w:p>
        </w:tc>
        <w:tc>
          <w:tcPr>
            <w:tcW w:type="dxa" w:w="2436"/>
            <w:vAlign w:val="center"/>
            <w:tcMar>
              <w:top w:w="90" w:type="dxa"/>
              <w:start w:w="110" w:type="dxa"/>
              <w:bottom w:w="90" w:type="dxa"/>
              <w:end w:w="110" w:type="dxa"/>
            </w:tcMar>
            <w:shd w:fill="D9EAF7"/>
          </w:tcPr>
          <w:p>
            <w:pPr>
              <w:spacing w:before="40" w:after="40" w:line="264" w:lineRule="auto"/>
            </w:pPr>
            <w:r>
              <w:rPr>
                <w:b/>
              </w:rPr>
              <w:t>Description</w:t>
            </w:r>
          </w:p>
        </w:tc>
        <w:tc>
          <w:tcPr>
            <w:tcW w:type="dxa" w:w="2436"/>
            <w:vAlign w:val="center"/>
            <w:tcMar>
              <w:top w:w="90" w:type="dxa"/>
              <w:start w:w="110" w:type="dxa"/>
              <w:bottom w:w="90" w:type="dxa"/>
              <w:end w:w="110" w:type="dxa"/>
            </w:tcMar>
            <w:shd w:fill="D9EAF7"/>
          </w:tcPr>
          <w:p>
            <w:pPr>
              <w:spacing w:before="40" w:after="40" w:line="264" w:lineRule="auto"/>
            </w:pPr>
            <w:r>
              <w:rPr>
                <w:b/>
              </w:rPr>
              <w:t>Validation notes</w:t>
            </w:r>
          </w:p>
        </w:tc>
      </w:tr>
      <w:tr>
        <w:tc>
          <w:tcPr>
            <w:tcW w:type="dxa" w:w="2436"/>
            <w:vAlign w:val="center"/>
            <w:tcMar>
              <w:top w:w="90" w:type="dxa"/>
              <w:start w:w="110" w:type="dxa"/>
              <w:bottom w:w="90" w:type="dxa"/>
              <w:end w:w="110" w:type="dxa"/>
            </w:tcMar>
          </w:tcPr>
          <w:p>
            <w:pPr>
              <w:spacing w:before="40" w:after="40" w:line="264" w:lineRule="auto"/>
            </w:pPr>
            <w:r>
              <w:t>intentId</w:t>
            </w:r>
          </w:p>
        </w:tc>
        <w:tc>
          <w:tcPr>
            <w:tcW w:type="dxa" w:w="2436"/>
            <w:vAlign w:val="center"/>
            <w:tcMar>
              <w:top w:w="90" w:type="dxa"/>
              <w:start w:w="110" w:type="dxa"/>
              <w:bottom w:w="90" w:type="dxa"/>
              <w:end w:w="110" w:type="dxa"/>
            </w:tcMar>
          </w:tcPr>
          <w:p>
            <w:pPr>
              <w:spacing w:before="40" w:after="40" w:line="264" w:lineRule="auto"/>
            </w:pPr>
            <w:r>
              <w:t>bytes32 / UUID</w:t>
            </w:r>
          </w:p>
        </w:tc>
        <w:tc>
          <w:tcPr>
            <w:tcW w:type="dxa" w:w="2436"/>
            <w:vAlign w:val="center"/>
            <w:tcMar>
              <w:top w:w="90" w:type="dxa"/>
              <w:start w:w="110" w:type="dxa"/>
              <w:bottom w:w="90" w:type="dxa"/>
              <w:end w:w="110" w:type="dxa"/>
            </w:tcMar>
          </w:tcPr>
          <w:p>
            <w:pPr>
              <w:spacing w:before="40" w:after="40" w:line="264" w:lineRule="auto"/>
            </w:pPr>
            <w:r>
              <w:t>Unique payment request identifier</w:t>
            </w:r>
          </w:p>
        </w:tc>
        <w:tc>
          <w:tcPr>
            <w:tcW w:type="dxa" w:w="2436"/>
            <w:vAlign w:val="center"/>
            <w:tcMar>
              <w:top w:w="90" w:type="dxa"/>
              <w:start w:w="110" w:type="dxa"/>
              <w:bottom w:w="90" w:type="dxa"/>
              <w:end w:w="110" w:type="dxa"/>
            </w:tcMar>
          </w:tcPr>
          <w:p>
            <w:pPr>
              <w:spacing w:before="40" w:after="40" w:line="264" w:lineRule="auto"/>
            </w:pPr>
            <w:r>
              <w:t>Must be idempotent across retries</w:t>
            </w:r>
          </w:p>
        </w:tc>
      </w:tr>
      <w:tr>
        <w:tc>
          <w:tcPr>
            <w:tcW w:type="dxa" w:w="2436"/>
            <w:vAlign w:val="center"/>
            <w:tcMar>
              <w:top w:w="90" w:type="dxa"/>
              <w:start w:w="110" w:type="dxa"/>
              <w:bottom w:w="90" w:type="dxa"/>
              <w:end w:w="110" w:type="dxa"/>
            </w:tcMar>
          </w:tcPr>
          <w:p>
            <w:pPr>
              <w:spacing w:before="40" w:after="40" w:line="264" w:lineRule="auto"/>
            </w:pPr>
            <w:r>
              <w:t>payerAgentDid</w:t>
            </w:r>
          </w:p>
        </w:tc>
        <w:tc>
          <w:tcPr>
            <w:tcW w:type="dxa" w:w="2436"/>
            <w:vAlign w:val="center"/>
            <w:tcMar>
              <w:top w:w="90" w:type="dxa"/>
              <w:start w:w="110" w:type="dxa"/>
              <w:bottom w:w="90" w:type="dxa"/>
              <w:end w:w="110" w:type="dxa"/>
            </w:tcMar>
          </w:tcPr>
          <w:p>
            <w:pPr>
              <w:spacing w:before="40" w:after="40" w:line="264" w:lineRule="auto"/>
            </w:pPr>
            <w:r>
              <w:t>string</w:t>
            </w:r>
          </w:p>
        </w:tc>
        <w:tc>
          <w:tcPr>
            <w:tcW w:type="dxa" w:w="2436"/>
            <w:vAlign w:val="center"/>
            <w:tcMar>
              <w:top w:w="90" w:type="dxa"/>
              <w:start w:w="110" w:type="dxa"/>
              <w:bottom w:w="90" w:type="dxa"/>
              <w:end w:w="110" w:type="dxa"/>
            </w:tcMar>
          </w:tcPr>
          <w:p>
            <w:pPr>
              <w:spacing w:before="40" w:after="40" w:line="264" w:lineRule="auto"/>
            </w:pPr>
            <w:r>
              <w:t>Agent DID of paying agent</w:t>
            </w:r>
          </w:p>
        </w:tc>
        <w:tc>
          <w:tcPr>
            <w:tcW w:type="dxa" w:w="2436"/>
            <w:vAlign w:val="center"/>
            <w:tcMar>
              <w:top w:w="90" w:type="dxa"/>
              <w:start w:w="110" w:type="dxa"/>
              <w:bottom w:w="90" w:type="dxa"/>
              <w:end w:w="110" w:type="dxa"/>
            </w:tcMar>
          </w:tcPr>
          <w:p>
            <w:pPr>
              <w:spacing w:before="40" w:after="40" w:line="264" w:lineRule="auto"/>
            </w:pPr>
            <w:r>
              <w:t>Resolve and validate status before execution</w:t>
            </w:r>
          </w:p>
        </w:tc>
      </w:tr>
      <w:tr>
        <w:tc>
          <w:tcPr>
            <w:tcW w:type="dxa" w:w="2436"/>
            <w:vAlign w:val="center"/>
            <w:tcMar>
              <w:top w:w="90" w:type="dxa"/>
              <w:start w:w="110" w:type="dxa"/>
              <w:bottom w:w="90" w:type="dxa"/>
              <w:end w:w="110" w:type="dxa"/>
            </w:tcMar>
          </w:tcPr>
          <w:p>
            <w:pPr>
              <w:spacing w:before="40" w:after="40" w:line="264" w:lineRule="auto"/>
            </w:pPr>
            <w:r>
              <w:t>payerAccount</w:t>
            </w:r>
          </w:p>
        </w:tc>
        <w:tc>
          <w:tcPr>
            <w:tcW w:type="dxa" w:w="2436"/>
            <w:vAlign w:val="center"/>
            <w:tcMar>
              <w:top w:w="90" w:type="dxa"/>
              <w:start w:w="110" w:type="dxa"/>
              <w:bottom w:w="90" w:type="dxa"/>
              <w:end w:w="110" w:type="dxa"/>
            </w:tcMar>
          </w:tcPr>
          <w:p>
            <w:pPr>
              <w:spacing w:before="40" w:after="40" w:line="264" w:lineRule="auto"/>
            </w:pPr>
            <w:r>
              <w:t>address</w:t>
            </w:r>
          </w:p>
        </w:tc>
        <w:tc>
          <w:tcPr>
            <w:tcW w:type="dxa" w:w="2436"/>
            <w:vAlign w:val="center"/>
            <w:tcMar>
              <w:top w:w="90" w:type="dxa"/>
              <w:start w:w="110" w:type="dxa"/>
              <w:bottom w:w="90" w:type="dxa"/>
              <w:end w:w="110" w:type="dxa"/>
            </w:tcMar>
          </w:tcPr>
          <w:p>
            <w:pPr>
              <w:spacing w:before="40" w:after="40" w:line="264" w:lineRule="auto"/>
            </w:pPr>
            <w:r>
              <w:t>Bound smart account address</w:t>
            </w:r>
          </w:p>
        </w:tc>
        <w:tc>
          <w:tcPr>
            <w:tcW w:type="dxa" w:w="2436"/>
            <w:vAlign w:val="center"/>
            <w:tcMar>
              <w:top w:w="90" w:type="dxa"/>
              <w:start w:w="110" w:type="dxa"/>
              <w:bottom w:w="90" w:type="dxa"/>
              <w:end w:w="110" w:type="dxa"/>
            </w:tcMar>
          </w:tcPr>
          <w:p>
            <w:pPr>
              <w:spacing w:before="40" w:after="40" w:line="264" w:lineRule="auto"/>
            </w:pPr>
            <w:r>
              <w:t>Must match AgentRegistry binding</w:t>
            </w:r>
          </w:p>
        </w:tc>
      </w:tr>
      <w:tr>
        <w:tc>
          <w:tcPr>
            <w:tcW w:type="dxa" w:w="2436"/>
            <w:vAlign w:val="center"/>
            <w:tcMar>
              <w:top w:w="90" w:type="dxa"/>
              <w:start w:w="110" w:type="dxa"/>
              <w:bottom w:w="90" w:type="dxa"/>
              <w:end w:w="110" w:type="dxa"/>
            </w:tcMar>
          </w:tcPr>
          <w:p>
            <w:pPr>
              <w:spacing w:before="40" w:after="40" w:line="264" w:lineRule="auto"/>
            </w:pPr>
            <w:r>
              <w:t>payeeRef</w:t>
            </w:r>
          </w:p>
        </w:tc>
        <w:tc>
          <w:tcPr>
            <w:tcW w:type="dxa" w:w="2436"/>
            <w:vAlign w:val="center"/>
            <w:tcMar>
              <w:top w:w="90" w:type="dxa"/>
              <w:start w:w="110" w:type="dxa"/>
              <w:bottom w:w="90" w:type="dxa"/>
              <w:end w:w="110" w:type="dxa"/>
            </w:tcMar>
          </w:tcPr>
          <w:p>
            <w:pPr>
              <w:spacing w:before="40" w:after="40" w:line="264" w:lineRule="auto"/>
            </w:pPr>
            <w:r>
              <w:t>address or DID</w:t>
            </w:r>
          </w:p>
        </w:tc>
        <w:tc>
          <w:tcPr>
            <w:tcW w:type="dxa" w:w="2436"/>
            <w:vAlign w:val="center"/>
            <w:tcMar>
              <w:top w:w="90" w:type="dxa"/>
              <w:start w:w="110" w:type="dxa"/>
              <w:bottom w:w="90" w:type="dxa"/>
              <w:end w:w="110" w:type="dxa"/>
            </w:tcMar>
          </w:tcPr>
          <w:p>
            <w:pPr>
              <w:spacing w:before="40" w:after="40" w:line="264" w:lineRule="auto"/>
            </w:pPr>
            <w:r>
              <w:t>Counterparty address or DID</w:t>
            </w:r>
          </w:p>
        </w:tc>
        <w:tc>
          <w:tcPr>
            <w:tcW w:type="dxa" w:w="2436"/>
            <w:vAlign w:val="center"/>
            <w:tcMar>
              <w:top w:w="90" w:type="dxa"/>
              <w:start w:w="110" w:type="dxa"/>
              <w:bottom w:w="90" w:type="dxa"/>
              <w:end w:w="110" w:type="dxa"/>
            </w:tcMar>
          </w:tcPr>
          <w:p>
            <w:pPr>
              <w:spacing w:before="40" w:after="40" w:line="264" w:lineRule="auto"/>
            </w:pPr>
            <w:r>
              <w:t>DID form preferred where policy checks matter</w:t>
            </w:r>
          </w:p>
        </w:tc>
      </w:tr>
      <w:tr>
        <w:tc>
          <w:tcPr>
            <w:tcW w:type="dxa" w:w="2436"/>
            <w:vAlign w:val="center"/>
            <w:tcMar>
              <w:top w:w="90" w:type="dxa"/>
              <w:start w:w="110" w:type="dxa"/>
              <w:bottom w:w="90" w:type="dxa"/>
              <w:end w:w="110" w:type="dxa"/>
            </w:tcMar>
          </w:tcPr>
          <w:p>
            <w:pPr>
              <w:spacing w:before="40" w:after="40" w:line="264" w:lineRule="auto"/>
            </w:pPr>
            <w:r>
              <w:t>asset</w:t>
            </w:r>
          </w:p>
        </w:tc>
        <w:tc>
          <w:tcPr>
            <w:tcW w:type="dxa" w:w="2436"/>
            <w:vAlign w:val="center"/>
            <w:tcMar>
              <w:top w:w="90" w:type="dxa"/>
              <w:start w:w="110" w:type="dxa"/>
              <w:bottom w:w="90" w:type="dxa"/>
              <w:end w:w="110" w:type="dxa"/>
            </w:tcMar>
          </w:tcPr>
          <w:p>
            <w:pPr>
              <w:spacing w:before="40" w:after="40" w:line="264" w:lineRule="auto"/>
            </w:pPr>
            <w:r>
              <w:t>token identifier</w:t>
            </w:r>
          </w:p>
        </w:tc>
        <w:tc>
          <w:tcPr>
            <w:tcW w:type="dxa" w:w="2436"/>
            <w:vAlign w:val="center"/>
            <w:tcMar>
              <w:top w:w="90" w:type="dxa"/>
              <w:start w:w="110" w:type="dxa"/>
              <w:bottom w:w="90" w:type="dxa"/>
              <w:end w:w="110" w:type="dxa"/>
            </w:tcMar>
          </w:tcPr>
          <w:p>
            <w:pPr>
              <w:spacing w:before="40" w:after="40" w:line="264" w:lineRule="auto"/>
            </w:pPr>
            <w:r>
              <w:t>Token or settlement asset</w:t>
            </w:r>
          </w:p>
        </w:tc>
        <w:tc>
          <w:tcPr>
            <w:tcW w:type="dxa" w:w="2436"/>
            <w:vAlign w:val="center"/>
            <w:tcMar>
              <w:top w:w="90" w:type="dxa"/>
              <w:start w:w="110" w:type="dxa"/>
              <w:bottom w:w="90" w:type="dxa"/>
              <w:end w:w="110" w:type="dxa"/>
            </w:tcMar>
          </w:tcPr>
          <w:p>
            <w:pPr>
              <w:spacing w:before="40" w:after="40" w:line="264" w:lineRule="auto"/>
            </w:pPr>
            <w:r>
              <w:t>Must be allowed by policy</w:t>
            </w:r>
          </w:p>
        </w:tc>
      </w:tr>
      <w:tr>
        <w:tc>
          <w:tcPr>
            <w:tcW w:type="dxa" w:w="2436"/>
            <w:vAlign w:val="center"/>
            <w:tcMar>
              <w:top w:w="90" w:type="dxa"/>
              <w:start w:w="110" w:type="dxa"/>
              <w:bottom w:w="90" w:type="dxa"/>
              <w:end w:w="110" w:type="dxa"/>
            </w:tcMar>
          </w:tcPr>
          <w:p>
            <w:pPr>
              <w:spacing w:before="40" w:after="40" w:line="264" w:lineRule="auto"/>
            </w:pPr>
            <w:r>
              <w:t>amount</w:t>
            </w:r>
          </w:p>
        </w:tc>
        <w:tc>
          <w:tcPr>
            <w:tcW w:type="dxa" w:w="2436"/>
            <w:vAlign w:val="center"/>
            <w:tcMar>
              <w:top w:w="90" w:type="dxa"/>
              <w:start w:w="110" w:type="dxa"/>
              <w:bottom w:w="90" w:type="dxa"/>
              <w:end w:w="110" w:type="dxa"/>
            </w:tcMar>
          </w:tcPr>
          <w:p>
            <w:pPr>
              <w:spacing w:before="40" w:after="40" w:line="264" w:lineRule="auto"/>
            </w:pPr>
            <w:r>
              <w:t>decimal string / uint256</w:t>
            </w:r>
          </w:p>
        </w:tc>
        <w:tc>
          <w:tcPr>
            <w:tcW w:type="dxa" w:w="2436"/>
            <w:vAlign w:val="center"/>
            <w:tcMar>
              <w:top w:w="90" w:type="dxa"/>
              <w:start w:w="110" w:type="dxa"/>
              <w:bottom w:w="90" w:type="dxa"/>
              <w:end w:w="110" w:type="dxa"/>
            </w:tcMar>
          </w:tcPr>
          <w:p>
            <w:pPr>
              <w:spacing w:before="40" w:after="40" w:line="264" w:lineRule="auto"/>
            </w:pPr>
            <w:r>
              <w:t>Requested transfer amount</w:t>
            </w:r>
          </w:p>
        </w:tc>
        <w:tc>
          <w:tcPr>
            <w:tcW w:type="dxa" w:w="2436"/>
            <w:vAlign w:val="center"/>
            <w:tcMar>
              <w:top w:w="90" w:type="dxa"/>
              <w:start w:w="110" w:type="dxa"/>
              <w:bottom w:w="90" w:type="dxa"/>
              <w:end w:w="110" w:type="dxa"/>
            </w:tcMar>
          </w:tcPr>
          <w:p>
            <w:pPr>
              <w:spacing w:before="40" w:after="40" w:line="264" w:lineRule="auto"/>
            </w:pPr>
            <w:r>
              <w:t>Normalized before policy check</w:t>
            </w:r>
          </w:p>
        </w:tc>
      </w:tr>
      <w:tr>
        <w:tc>
          <w:tcPr>
            <w:tcW w:type="dxa" w:w="2436"/>
            <w:vAlign w:val="center"/>
            <w:tcMar>
              <w:top w:w="90" w:type="dxa"/>
              <w:start w:w="110" w:type="dxa"/>
              <w:bottom w:w="90" w:type="dxa"/>
              <w:end w:w="110" w:type="dxa"/>
            </w:tcMar>
          </w:tcPr>
          <w:p>
            <w:pPr>
              <w:spacing w:before="40" w:after="40" w:line="264" w:lineRule="auto"/>
            </w:pPr>
            <w:r>
              <w:t>purposeCode</w:t>
            </w:r>
          </w:p>
        </w:tc>
        <w:tc>
          <w:tcPr>
            <w:tcW w:type="dxa" w:w="2436"/>
            <w:vAlign w:val="center"/>
            <w:tcMar>
              <w:top w:w="90" w:type="dxa"/>
              <w:start w:w="110" w:type="dxa"/>
              <w:bottom w:w="90" w:type="dxa"/>
              <w:end w:w="110" w:type="dxa"/>
            </w:tcMar>
          </w:tcPr>
          <w:p>
            <w:pPr>
              <w:spacing w:before="40" w:after="40" w:line="264" w:lineRule="auto"/>
            </w:pPr>
            <w:r>
              <w:t>string enum</w:t>
            </w:r>
          </w:p>
        </w:tc>
        <w:tc>
          <w:tcPr>
            <w:tcW w:type="dxa" w:w="2436"/>
            <w:vAlign w:val="center"/>
            <w:tcMar>
              <w:top w:w="90" w:type="dxa"/>
              <w:start w:w="110" w:type="dxa"/>
              <w:bottom w:w="90" w:type="dxa"/>
              <w:end w:w="110" w:type="dxa"/>
            </w:tcMar>
          </w:tcPr>
          <w:p>
            <w:pPr>
              <w:spacing w:before="40" w:after="40" w:line="264" w:lineRule="auto"/>
            </w:pPr>
            <w:r>
              <w:t>Reason for payment</w:t>
            </w:r>
          </w:p>
        </w:tc>
        <w:tc>
          <w:tcPr>
            <w:tcW w:type="dxa" w:w="2436"/>
            <w:vAlign w:val="center"/>
            <w:tcMar>
              <w:top w:w="90" w:type="dxa"/>
              <w:start w:w="110" w:type="dxa"/>
              <w:bottom w:w="90" w:type="dxa"/>
              <w:end w:w="110" w:type="dxa"/>
            </w:tcMar>
          </w:tcPr>
          <w:p>
            <w:pPr>
              <w:spacing w:before="40" w:after="40" w:line="264" w:lineRule="auto"/>
            </w:pPr>
            <w:r>
              <w:t>Useful for reporting, policy, and dispute handling</w:t>
            </w:r>
          </w:p>
        </w:tc>
      </w:tr>
      <w:tr>
        <w:tc>
          <w:tcPr>
            <w:tcW w:type="dxa" w:w="2436"/>
            <w:vAlign w:val="center"/>
            <w:tcMar>
              <w:top w:w="90" w:type="dxa"/>
              <w:start w:w="110" w:type="dxa"/>
              <w:bottom w:w="90" w:type="dxa"/>
              <w:end w:w="110" w:type="dxa"/>
            </w:tcMar>
          </w:tcPr>
          <w:p>
            <w:pPr>
              <w:spacing w:before="40" w:after="40" w:line="264" w:lineRule="auto"/>
            </w:pPr>
            <w:r>
              <w:t>connector</w:t>
            </w:r>
          </w:p>
        </w:tc>
        <w:tc>
          <w:tcPr>
            <w:tcW w:type="dxa" w:w="2436"/>
            <w:vAlign w:val="center"/>
            <w:tcMar>
              <w:top w:w="90" w:type="dxa"/>
              <w:start w:w="110" w:type="dxa"/>
              <w:bottom w:w="90" w:type="dxa"/>
              <w:end w:w="110" w:type="dxa"/>
            </w:tcMar>
          </w:tcPr>
          <w:p>
            <w:pPr>
              <w:spacing w:before="40" w:after="40" w:line="264" w:lineRule="auto"/>
            </w:pPr>
            <w:r>
              <w:t>string enum</w:t>
            </w:r>
          </w:p>
        </w:tc>
        <w:tc>
          <w:tcPr>
            <w:tcW w:type="dxa" w:w="2436"/>
            <w:vAlign w:val="center"/>
            <w:tcMar>
              <w:top w:w="90" w:type="dxa"/>
              <w:start w:w="110" w:type="dxa"/>
              <w:bottom w:w="90" w:type="dxa"/>
              <w:end w:w="110" w:type="dxa"/>
            </w:tcMar>
          </w:tcPr>
          <w:p>
            <w:pPr>
              <w:spacing w:before="40" w:after="40" w:line="264" w:lineRule="auto"/>
            </w:pPr>
            <w:r>
              <w:t>onchain, bridge, exchange, card, local rail</w:t>
            </w:r>
          </w:p>
        </w:tc>
        <w:tc>
          <w:tcPr>
            <w:tcW w:type="dxa" w:w="2436"/>
            <w:vAlign w:val="center"/>
            <w:tcMar>
              <w:top w:w="90" w:type="dxa"/>
              <w:start w:w="110" w:type="dxa"/>
              <w:bottom w:w="90" w:type="dxa"/>
              <w:end w:w="110" w:type="dxa"/>
            </w:tcMar>
          </w:tcPr>
          <w:p>
            <w:pPr>
              <w:spacing w:before="40" w:after="40" w:line="264" w:lineRule="auto"/>
            </w:pPr>
            <w:r>
              <w:t>Connector-specific validators may apply</w:t>
            </w:r>
          </w:p>
        </w:tc>
      </w:tr>
      <w:tr>
        <w:tc>
          <w:tcPr>
            <w:tcW w:type="dxa" w:w="2436"/>
            <w:vAlign w:val="center"/>
            <w:tcMar>
              <w:top w:w="90" w:type="dxa"/>
              <w:start w:w="110" w:type="dxa"/>
              <w:bottom w:w="90" w:type="dxa"/>
              <w:end w:w="110" w:type="dxa"/>
            </w:tcMar>
          </w:tcPr>
          <w:p>
            <w:pPr>
              <w:spacing w:before="40" w:after="40" w:line="264" w:lineRule="auto"/>
            </w:pPr>
            <w:r>
              <w:t>executionMode</w:t>
            </w:r>
          </w:p>
        </w:tc>
        <w:tc>
          <w:tcPr>
            <w:tcW w:type="dxa" w:w="2436"/>
            <w:vAlign w:val="center"/>
            <w:tcMar>
              <w:top w:w="90" w:type="dxa"/>
              <w:start w:w="110" w:type="dxa"/>
              <w:bottom w:w="90" w:type="dxa"/>
              <w:end w:w="110" w:type="dxa"/>
            </w:tcMar>
          </w:tcPr>
          <w:p>
            <w:pPr>
              <w:spacing w:before="40" w:after="40" w:line="264" w:lineRule="auto"/>
            </w:pPr>
            <w:r>
              <w:t>enum</w:t>
            </w:r>
          </w:p>
        </w:tc>
        <w:tc>
          <w:tcPr>
            <w:tcW w:type="dxa" w:w="2436"/>
            <w:vAlign w:val="center"/>
            <w:tcMar>
              <w:top w:w="90" w:type="dxa"/>
              <w:start w:w="110" w:type="dxa"/>
              <w:bottom w:w="90" w:type="dxa"/>
              <w:end w:w="110" w:type="dxa"/>
            </w:tcMar>
          </w:tcPr>
          <w:p>
            <w:pPr>
              <w:spacing w:before="40" w:after="40" w:line="264" w:lineRule="auto"/>
            </w:pPr>
            <w:r>
              <w:t>human_confirmed, pre_authorized, autonomous</w:t>
            </w:r>
          </w:p>
        </w:tc>
        <w:tc>
          <w:tcPr>
            <w:tcW w:type="dxa" w:w="2436"/>
            <w:vAlign w:val="center"/>
            <w:tcMar>
              <w:top w:w="90" w:type="dxa"/>
              <w:start w:w="110" w:type="dxa"/>
              <w:bottom w:w="90" w:type="dxa"/>
              <w:end w:w="110" w:type="dxa"/>
            </w:tcMar>
          </w:tcPr>
          <w:p>
            <w:pPr>
              <w:spacing w:before="40" w:after="40" w:line="264" w:lineRule="auto"/>
            </w:pPr>
            <w:r>
              <w:t>Must not exceed authority VC scope</w:t>
            </w:r>
          </w:p>
        </w:tc>
      </w:tr>
      <w:tr>
        <w:tc>
          <w:tcPr>
            <w:tcW w:type="dxa" w:w="2436"/>
            <w:vAlign w:val="center"/>
            <w:tcMar>
              <w:top w:w="90" w:type="dxa"/>
              <w:start w:w="110" w:type="dxa"/>
              <w:bottom w:w="90" w:type="dxa"/>
              <w:end w:w="110" w:type="dxa"/>
            </w:tcMar>
          </w:tcPr>
          <w:p>
            <w:pPr>
              <w:spacing w:before="40" w:after="40" w:line="264" w:lineRule="auto"/>
            </w:pPr>
            <w:r>
              <w:t>credentialRefs</w:t>
            </w:r>
          </w:p>
        </w:tc>
        <w:tc>
          <w:tcPr>
            <w:tcW w:type="dxa" w:w="2436"/>
            <w:vAlign w:val="center"/>
            <w:tcMar>
              <w:top w:w="90" w:type="dxa"/>
              <w:start w:w="110" w:type="dxa"/>
              <w:bottom w:w="90" w:type="dxa"/>
              <w:end w:w="110" w:type="dxa"/>
            </w:tcMar>
          </w:tcPr>
          <w:p>
            <w:pPr>
              <w:spacing w:before="40" w:after="40" w:line="264" w:lineRule="auto"/>
            </w:pPr>
            <w:r>
              <w:t>array</w:t>
            </w:r>
          </w:p>
        </w:tc>
        <w:tc>
          <w:tcPr>
            <w:tcW w:type="dxa" w:w="2436"/>
            <w:vAlign w:val="center"/>
            <w:tcMar>
              <w:top w:w="90" w:type="dxa"/>
              <w:start w:w="110" w:type="dxa"/>
              <w:bottom w:w="90" w:type="dxa"/>
              <w:end w:w="110" w:type="dxa"/>
            </w:tcMar>
          </w:tcPr>
          <w:p>
            <w:pPr>
              <w:spacing w:before="40" w:after="40" w:line="264" w:lineRule="auto"/>
            </w:pPr>
            <w:r>
              <w:t>Presented VC references or hashes</w:t>
            </w:r>
          </w:p>
        </w:tc>
        <w:tc>
          <w:tcPr>
            <w:tcW w:type="dxa" w:w="2436"/>
            <w:vAlign w:val="center"/>
            <w:tcMar>
              <w:top w:w="90" w:type="dxa"/>
              <w:start w:w="110" w:type="dxa"/>
              <w:bottom w:w="90" w:type="dxa"/>
              <w:end w:w="110" w:type="dxa"/>
            </w:tcMar>
          </w:tcPr>
          <w:p>
            <w:pPr>
              <w:spacing w:before="40" w:after="40" w:line="264" w:lineRule="auto"/>
            </w:pPr>
            <w:r>
              <w:t>Verifier checks freshness and revocation</w:t>
            </w:r>
          </w:p>
        </w:tc>
      </w:tr>
      <w:tr>
        <w:tc>
          <w:tcPr>
            <w:tcW w:type="dxa" w:w="2436"/>
            <w:vAlign w:val="center"/>
            <w:tcMar>
              <w:top w:w="90" w:type="dxa"/>
              <w:start w:w="110" w:type="dxa"/>
              <w:bottom w:w="90" w:type="dxa"/>
              <w:end w:w="110" w:type="dxa"/>
            </w:tcMar>
          </w:tcPr>
          <w:p>
            <w:pPr>
              <w:spacing w:before="40" w:after="40" w:line="264" w:lineRule="auto"/>
            </w:pPr>
            <w:r>
              <w:t>expiry</w:t>
            </w:r>
          </w:p>
        </w:tc>
        <w:tc>
          <w:tcPr>
            <w:tcW w:type="dxa" w:w="2436"/>
            <w:vAlign w:val="center"/>
            <w:tcMar>
              <w:top w:w="90" w:type="dxa"/>
              <w:start w:w="110" w:type="dxa"/>
              <w:bottom w:w="90" w:type="dxa"/>
              <w:end w:w="110" w:type="dxa"/>
            </w:tcMar>
          </w:tcPr>
          <w:p>
            <w:pPr>
              <w:spacing w:before="40" w:after="40" w:line="264" w:lineRule="auto"/>
            </w:pPr>
            <w:r>
              <w:t>timestamp</w:t>
            </w:r>
          </w:p>
        </w:tc>
        <w:tc>
          <w:tcPr>
            <w:tcW w:type="dxa" w:w="2436"/>
            <w:vAlign w:val="center"/>
            <w:tcMar>
              <w:top w:w="90" w:type="dxa"/>
              <w:start w:w="110" w:type="dxa"/>
              <w:bottom w:w="90" w:type="dxa"/>
              <w:end w:w="110" w:type="dxa"/>
            </w:tcMar>
          </w:tcPr>
          <w:p>
            <w:pPr>
              <w:spacing w:before="40" w:after="40" w:line="264" w:lineRule="auto"/>
            </w:pPr>
            <w:r>
              <w:t>Intent expiry</w:t>
            </w:r>
          </w:p>
        </w:tc>
        <w:tc>
          <w:tcPr>
            <w:tcW w:type="dxa" w:w="2436"/>
            <w:vAlign w:val="center"/>
            <w:tcMar>
              <w:top w:w="90" w:type="dxa"/>
              <w:start w:w="110" w:type="dxa"/>
              <w:bottom w:w="90" w:type="dxa"/>
              <w:end w:w="110" w:type="dxa"/>
            </w:tcMar>
          </w:tcPr>
          <w:p>
            <w:pPr>
              <w:spacing w:before="40" w:after="40" w:line="264" w:lineRule="auto"/>
            </w:pPr>
            <w:r>
              <w:t>Expired intents hard fail</w:t>
            </w:r>
          </w:p>
        </w:tc>
      </w:tr>
      <w:tr>
        <w:tc>
          <w:tcPr>
            <w:tcW w:type="dxa" w:w="2436"/>
            <w:vAlign w:val="center"/>
            <w:tcMar>
              <w:top w:w="90" w:type="dxa"/>
              <w:start w:w="110" w:type="dxa"/>
              <w:bottom w:w="90" w:type="dxa"/>
              <w:end w:w="110" w:type="dxa"/>
            </w:tcMar>
          </w:tcPr>
          <w:p>
            <w:pPr>
              <w:spacing w:before="40" w:after="40" w:line="264" w:lineRule="auto"/>
            </w:pPr>
            <w:r>
              <w:t>metadataHash</w:t>
            </w:r>
          </w:p>
        </w:tc>
        <w:tc>
          <w:tcPr>
            <w:tcW w:type="dxa" w:w="2436"/>
            <w:vAlign w:val="center"/>
            <w:tcMar>
              <w:top w:w="90" w:type="dxa"/>
              <w:start w:w="110" w:type="dxa"/>
              <w:bottom w:w="90" w:type="dxa"/>
              <w:end w:w="110" w:type="dxa"/>
            </w:tcMar>
          </w:tcPr>
          <w:p>
            <w:pPr>
              <w:spacing w:before="40" w:after="40" w:line="264" w:lineRule="auto"/>
            </w:pPr>
            <w:r>
              <w:t>bytes32</w:t>
            </w:r>
          </w:p>
        </w:tc>
        <w:tc>
          <w:tcPr>
            <w:tcW w:type="dxa" w:w="2436"/>
            <w:vAlign w:val="center"/>
            <w:tcMar>
              <w:top w:w="90" w:type="dxa"/>
              <w:start w:w="110" w:type="dxa"/>
              <w:bottom w:w="90" w:type="dxa"/>
              <w:end w:w="110" w:type="dxa"/>
            </w:tcMar>
          </w:tcPr>
          <w:p>
            <w:pPr>
              <w:spacing w:before="40" w:after="40" w:line="264" w:lineRule="auto"/>
            </w:pPr>
            <w:r>
              <w:t>Hash of rich off-chain context</w:t>
            </w:r>
          </w:p>
        </w:tc>
        <w:tc>
          <w:tcPr>
            <w:tcW w:type="dxa" w:w="2436"/>
            <w:vAlign w:val="center"/>
            <w:tcMar>
              <w:top w:w="90" w:type="dxa"/>
              <w:start w:w="110" w:type="dxa"/>
              <w:bottom w:w="90" w:type="dxa"/>
              <w:end w:w="110" w:type="dxa"/>
            </w:tcMar>
          </w:tcPr>
          <w:p>
            <w:pPr>
              <w:spacing w:before="40" w:after="40" w:line="264" w:lineRule="auto"/>
            </w:pPr>
            <w:r>
              <w:t>Keeps chain data compact and private</w:t>
            </w:r>
          </w:p>
        </w:tc>
      </w:tr>
    </w:tbl>
    <w:p>
      <w:pPr>
        <w:pStyle w:val="Heading3"/>
      </w:pPr>
      <w:r>
        <w:t>A.8.2 Recommended execution states</w:t>
      </w:r>
    </w:p>
    <w:p>
      <w:pPr>
        <w:pStyle w:val="ListBullet"/>
      </w:pPr>
      <w:r>
        <w:t>draft</w:t>
      </w:r>
    </w:p>
    <w:p>
      <w:pPr>
        <w:pStyle w:val="ListBullet"/>
      </w:pPr>
      <w:r>
        <w:t>pending_verification</w:t>
      </w:r>
    </w:p>
    <w:p>
      <w:pPr>
        <w:pStyle w:val="ListBullet"/>
      </w:pPr>
      <w:r>
        <w:t>awaiting_human_approval</w:t>
      </w:r>
    </w:p>
    <w:p>
      <w:pPr>
        <w:pStyle w:val="ListBullet"/>
      </w:pPr>
      <w:r>
        <w:t>approved</w:t>
      </w:r>
    </w:p>
    <w:p>
      <w:pPr>
        <w:pStyle w:val="ListBullet"/>
      </w:pPr>
      <w:r>
        <w:t>executing</w:t>
      </w:r>
    </w:p>
    <w:p>
      <w:pPr>
        <w:pStyle w:val="ListBullet"/>
      </w:pPr>
      <w:r>
        <w:t>executed</w:t>
      </w:r>
    </w:p>
    <w:p>
      <w:pPr>
        <w:pStyle w:val="ListBullet"/>
      </w:pPr>
      <w:r>
        <w:t>failed</w:t>
      </w:r>
    </w:p>
    <w:p>
      <w:pPr>
        <w:pStyle w:val="ListBullet"/>
      </w:pPr>
      <w:r>
        <w:t>reverted</w:t>
      </w:r>
    </w:p>
    <w:p>
      <w:pPr>
        <w:pStyle w:val="ListBullet"/>
      </w:pPr>
      <w:r>
        <w:t>expired</w:t>
      </w:r>
    </w:p>
    <w:p>
      <w:pPr>
        <w:pStyle w:val="Heading3"/>
      </w:pPr>
      <w:r>
        <w:t>A.8.3 Payment execution sequence</w:t>
      </w:r>
    </w:p>
    <w:p>
      <w:pPr>
        <w:pStyle w:val="ListBullet"/>
      </w:pPr>
      <w:r>
        <w:t>1. Agent submits intent to the payment service with supporting credential references.</w:t>
      </w:r>
    </w:p>
    <w:p>
      <w:pPr>
        <w:pStyle w:val="ListBullet"/>
      </w:pPr>
      <w:r>
        <w:t>2. Verifier resolves DID, checks registry status, validates VCs and revocation state.</w:t>
      </w:r>
    </w:p>
    <w:p>
      <w:pPr>
        <w:pStyle w:val="ListBullet"/>
      </w:pPr>
      <w:r>
        <w:t>3. Policy engine computes decision: allow, hold for approval, or deny.</w:t>
      </w:r>
    </w:p>
    <w:p>
      <w:pPr>
        <w:pStyle w:val="ListBullet"/>
      </w:pPr>
      <w:r>
        <w:t>4. If needed, owner or approver signs an approval artifact bound to the same intent ID.</w:t>
      </w:r>
    </w:p>
    <w:p>
      <w:pPr>
        <w:pStyle w:val="ListBullet"/>
      </w:pPr>
      <w:r>
        <w:t>5. Smart account executes the transfer or connector call through ERC-4337 user operation or direct transaction.</w:t>
      </w:r>
    </w:p>
    <w:p>
      <w:pPr>
        <w:pStyle w:val="ListBullet"/>
      </w:pPr>
      <w:r>
        <w:t>6. Receipt hash and execution attestation are recorded on-chain; full logs and business context are stored off-chain.</w:t>
      </w:r>
    </w:p>
    <w:p>
      <w:pPr>
        <w:pStyle w:val="ListBullet"/>
      </w:pPr>
      <w:r>
        <w:t>7. Monitoring and limits are updated so future policy checks use fresh spend state.</w:t>
      </w:r>
    </w:p>
    <w:p>
      <w:pPr>
        <w:pStyle w:val="Heading2"/>
      </w:pPr>
      <w:r>
        <w:t>A.9 Connector model</w:t>
      </w:r>
    </w:p>
    <w:p>
      <w:pPr>
        <w:pStyle w:val="ListBullet"/>
      </w:pPr>
      <w:r>
        <w:t>On-chain token connector: direct stablecoin transfer or contract interaction.</w:t>
      </w:r>
    </w:p>
    <w:p>
      <w:pPr>
        <w:pStyle w:val="ListBullet"/>
      </w:pPr>
      <w:r>
        <w:t>Bridge connector: moves value between on-chain agent funds and fiat or off-chain balances after KYC checks.</w:t>
      </w:r>
    </w:p>
    <w:p>
      <w:pPr>
        <w:pStyle w:val="ListBullet"/>
      </w:pPr>
      <w:r>
        <w:t>Exchange connector: interacts with exchange subaccounts under additional venue credentials.</w:t>
      </w:r>
    </w:p>
    <w:p>
      <w:pPr>
        <w:pStyle w:val="ListBullet"/>
      </w:pPr>
      <w:r>
        <w:t>Card or local-rail connector: only after a stronger identity, policy, and audit model is available; treat as phase-two scope.</w:t>
      </w:r>
    </w:p>
    <w:p>
      <w:pPr>
        <w:pStyle w:val="ListBullet"/>
      </w:pPr>
      <w:r>
        <w:t>Each connector should expose the same minimal interface: quote, validate, execute, receipt, and reverse/reconcile where applicable.</w:t>
      </w:r>
    </w:p>
    <w:p>
      <w:pPr>
        <w:pStyle w:val="Heading2"/>
      </w:pPr>
      <w:r>
        <w:t>A.10 Security model</w:t>
      </w:r>
    </w:p>
    <w:p>
      <w:pPr>
        <w:pStyle w:val="ListBullet"/>
      </w:pPr>
      <w:r>
        <w:t>Threats to consider: stolen session key, forged credential presentation, policy bypass, replayed intent, malicious connector, compromised issuer, malicious owner, compromised paymaster, and spam intent flooding.</w:t>
      </w:r>
    </w:p>
    <w:p>
      <w:pPr>
        <w:pStyle w:val="ListBullet"/>
      </w:pPr>
      <w:r>
        <w:t>Every intent should be nonced and idempotent.</w:t>
      </w:r>
    </w:p>
    <w:p>
      <w:pPr>
        <w:pStyle w:val="ListBullet"/>
      </w:pPr>
      <w:r>
        <w:t>Policy checks should happen both preflight and at account validation time for high-value operations.</w:t>
      </w:r>
    </w:p>
    <w:p>
      <w:pPr>
        <w:pStyle w:val="ListBullet"/>
      </w:pPr>
      <w:r>
        <w:t>Use short-lived session keys with purpose-specific scopes for autonomous mode.</w:t>
      </w:r>
    </w:p>
    <w:p>
      <w:pPr>
        <w:pStyle w:val="ListBullet"/>
      </w:pPr>
      <w:r>
        <w:t>Freeze and revoke paths must be faster than ordinary execution paths.</w:t>
      </w:r>
    </w:p>
    <w:p>
      <w:pPr>
        <w:pStyle w:val="ListBullet"/>
      </w:pPr>
      <w:r>
        <w:t>Keep comprehensive signed logs so post-incident attribution is possible.</w:t>
      </w:r>
    </w:p>
    <w:p>
      <w:pPr>
        <w:pStyle w:val="Heading1"/>
      </w:pPr>
      <w:r>
        <w:t>Appendix B. Detailed implementation plan</w:t>
      </w:r>
    </w:p>
    <w:p>
      <w:r>
        <w:t>This appendix converts the architecture into an execution program with milestones, workstreams, deliverables, and decision gates.</w:t>
      </w:r>
    </w:p>
    <w:p>
      <w:pPr>
        <w:pStyle w:val="Heading2"/>
      </w:pPr>
      <w:r>
        <w:t>B.1 Workstreams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90" w:type="dxa"/>
              <w:start w:w="110" w:type="dxa"/>
              <w:bottom w:w="90" w:type="dxa"/>
              <w:end w:w="110" w:type="dxa"/>
            </w:tcMar>
            <w:shd w:fill="D9EAF7"/>
          </w:tcPr>
          <w:p>
            <w:pPr>
              <w:spacing w:before="40" w:after="40" w:line="264" w:lineRule="auto"/>
            </w:pPr>
            <w:r>
              <w:rPr>
                <w:b/>
              </w:rPr>
              <w:t>Workstream</w:t>
            </w:r>
          </w:p>
        </w:tc>
        <w:tc>
          <w:tcPr>
            <w:tcW w:type="dxa" w:w="2436"/>
            <w:vAlign w:val="center"/>
            <w:tcMar>
              <w:top w:w="90" w:type="dxa"/>
              <w:start w:w="110" w:type="dxa"/>
              <w:bottom w:w="90" w:type="dxa"/>
              <w:end w:w="110" w:type="dxa"/>
            </w:tcMar>
            <w:shd w:fill="D9EAF7"/>
          </w:tcPr>
          <w:p>
            <w:pPr>
              <w:spacing w:before="40" w:after="40" w:line="264" w:lineRule="auto"/>
            </w:pPr>
            <w:r>
              <w:rPr>
                <w:b/>
              </w:rPr>
              <w:t>Primary outputs</w:t>
            </w:r>
          </w:p>
        </w:tc>
        <w:tc>
          <w:tcPr>
            <w:tcW w:type="dxa" w:w="2436"/>
            <w:vAlign w:val="center"/>
            <w:tcMar>
              <w:top w:w="90" w:type="dxa"/>
              <w:start w:w="110" w:type="dxa"/>
              <w:bottom w:w="90" w:type="dxa"/>
              <w:end w:w="110" w:type="dxa"/>
            </w:tcMar>
            <w:shd w:fill="D9EAF7"/>
          </w:tcPr>
          <w:p>
            <w:pPr>
              <w:spacing w:before="40" w:after="40" w:line="264" w:lineRule="auto"/>
            </w:pPr>
            <w:r>
              <w:rPr>
                <w:b/>
              </w:rPr>
              <w:t>Dependencies</w:t>
            </w:r>
          </w:p>
        </w:tc>
        <w:tc>
          <w:tcPr>
            <w:tcW w:type="dxa" w:w="2436"/>
            <w:vAlign w:val="center"/>
            <w:tcMar>
              <w:top w:w="90" w:type="dxa"/>
              <w:start w:w="110" w:type="dxa"/>
              <w:bottom w:w="90" w:type="dxa"/>
              <w:end w:w="110" w:type="dxa"/>
            </w:tcMar>
            <w:shd w:fill="D9EAF7"/>
          </w:tcPr>
          <w:p>
            <w:pPr>
              <w:spacing w:before="40" w:after="40" w:line="264" w:lineRule="auto"/>
            </w:pPr>
            <w:r>
              <w:rPr>
                <w:b/>
              </w:rPr>
              <w:t>Lead profile</w:t>
            </w:r>
          </w:p>
        </w:tc>
      </w:tr>
      <w:tr>
        <w:tc>
          <w:tcPr>
            <w:tcW w:type="dxa" w:w="2436"/>
            <w:vAlign w:val="center"/>
            <w:tcMar>
              <w:top w:w="90" w:type="dxa"/>
              <w:start w:w="110" w:type="dxa"/>
              <w:bottom w:w="90" w:type="dxa"/>
              <w:end w:w="110" w:type="dxa"/>
            </w:tcMar>
          </w:tcPr>
          <w:p>
            <w:pPr>
              <w:spacing w:before="40" w:after="40" w:line="264" w:lineRule="auto"/>
            </w:pPr>
            <w:r>
              <w:t>Identity and DID</w:t>
            </w:r>
          </w:p>
        </w:tc>
        <w:tc>
          <w:tcPr>
            <w:tcW w:type="dxa" w:w="2436"/>
            <w:vAlign w:val="center"/>
            <w:tcMar>
              <w:top w:w="90" w:type="dxa"/>
              <w:start w:w="110" w:type="dxa"/>
              <w:bottom w:w="90" w:type="dxa"/>
              <w:end w:w="110" w:type="dxa"/>
            </w:tcMar>
          </w:tcPr>
          <w:p>
            <w:pPr>
              <w:spacing w:before="40" w:after="40" w:line="264" w:lineRule="auto"/>
            </w:pPr>
            <w:r>
              <w:t>DID method/profile, registries, issuer trust list, DID resolution service</w:t>
            </w:r>
          </w:p>
        </w:tc>
        <w:tc>
          <w:tcPr>
            <w:tcW w:type="dxa" w:w="2436"/>
            <w:vAlign w:val="center"/>
            <w:tcMar>
              <w:top w:w="90" w:type="dxa"/>
              <w:start w:w="110" w:type="dxa"/>
              <w:bottom w:w="90" w:type="dxa"/>
              <w:end w:w="110" w:type="dxa"/>
            </w:tcMar>
          </w:tcPr>
          <w:p>
            <w:pPr>
              <w:spacing w:before="40" w:after="40" w:line="264" w:lineRule="auto"/>
            </w:pPr>
            <w:r>
              <w:t>governance and trust model</w:t>
            </w:r>
          </w:p>
        </w:tc>
        <w:tc>
          <w:tcPr>
            <w:tcW w:type="dxa" w:w="2436"/>
            <w:vAlign w:val="center"/>
            <w:tcMar>
              <w:top w:w="90" w:type="dxa"/>
              <w:start w:w="110" w:type="dxa"/>
              <w:bottom w:w="90" w:type="dxa"/>
              <w:end w:w="110" w:type="dxa"/>
            </w:tcMar>
          </w:tcPr>
          <w:p>
            <w:pPr>
              <w:spacing w:before="40" w:after="40" w:line="264" w:lineRule="auto"/>
            </w:pPr>
            <w:r>
              <w:t>identity protocol engineer</w:t>
            </w:r>
          </w:p>
        </w:tc>
      </w:tr>
      <w:tr>
        <w:tc>
          <w:tcPr>
            <w:tcW w:type="dxa" w:w="2436"/>
            <w:vAlign w:val="center"/>
            <w:tcMar>
              <w:top w:w="90" w:type="dxa"/>
              <w:start w:w="110" w:type="dxa"/>
              <w:bottom w:w="90" w:type="dxa"/>
              <w:end w:w="110" w:type="dxa"/>
            </w:tcMar>
          </w:tcPr>
          <w:p>
            <w:pPr>
              <w:spacing w:before="40" w:after="40" w:line="264" w:lineRule="auto"/>
            </w:pPr>
            <w:r>
              <w:t>Credentials and policy</w:t>
            </w:r>
          </w:p>
        </w:tc>
        <w:tc>
          <w:tcPr>
            <w:tcW w:type="dxa" w:w="2436"/>
            <w:vAlign w:val="center"/>
            <w:tcMar>
              <w:top w:w="90" w:type="dxa"/>
              <w:start w:w="110" w:type="dxa"/>
              <w:bottom w:w="90" w:type="dxa"/>
              <w:end w:w="110" w:type="dxa"/>
            </w:tcMar>
          </w:tcPr>
          <w:p>
            <w:pPr>
              <w:spacing w:before="40" w:after="40" w:line="264" w:lineRule="auto"/>
            </w:pPr>
            <w:r>
              <w:t>VC schemas, issuance flows, status lists, policy language, decision engine</w:t>
            </w:r>
          </w:p>
        </w:tc>
        <w:tc>
          <w:tcPr>
            <w:tcW w:type="dxa" w:w="2436"/>
            <w:vAlign w:val="center"/>
            <w:tcMar>
              <w:top w:w="90" w:type="dxa"/>
              <w:start w:w="110" w:type="dxa"/>
              <w:bottom w:w="90" w:type="dxa"/>
              <w:end w:w="110" w:type="dxa"/>
            </w:tcMar>
          </w:tcPr>
          <w:p>
            <w:pPr>
              <w:spacing w:before="40" w:after="40" w:line="264" w:lineRule="auto"/>
            </w:pPr>
            <w:r>
              <w:t>identity and compliance partners</w:t>
            </w:r>
          </w:p>
        </w:tc>
        <w:tc>
          <w:tcPr>
            <w:tcW w:type="dxa" w:w="2436"/>
            <w:vAlign w:val="center"/>
            <w:tcMar>
              <w:top w:w="90" w:type="dxa"/>
              <w:start w:w="110" w:type="dxa"/>
              <w:bottom w:w="90" w:type="dxa"/>
              <w:end w:w="110" w:type="dxa"/>
            </w:tcMar>
          </w:tcPr>
          <w:p>
            <w:pPr>
              <w:spacing w:before="40" w:after="40" w:line="264" w:lineRule="auto"/>
            </w:pPr>
            <w:r>
              <w:t>applied cryptography / backend engineer</w:t>
            </w:r>
          </w:p>
        </w:tc>
      </w:tr>
      <w:tr>
        <w:tc>
          <w:tcPr>
            <w:tcW w:type="dxa" w:w="2436"/>
            <w:vAlign w:val="center"/>
            <w:tcMar>
              <w:top w:w="90" w:type="dxa"/>
              <w:start w:w="110" w:type="dxa"/>
              <w:bottom w:w="90" w:type="dxa"/>
              <w:end w:w="110" w:type="dxa"/>
            </w:tcMar>
          </w:tcPr>
          <w:p>
            <w:pPr>
              <w:spacing w:before="40" w:after="40" w:line="264" w:lineRule="auto"/>
            </w:pPr>
            <w:r>
              <w:t>Wallet and account opening</w:t>
            </w:r>
          </w:p>
        </w:tc>
        <w:tc>
          <w:tcPr>
            <w:tcW w:type="dxa" w:w="2436"/>
            <w:vAlign w:val="center"/>
            <w:tcMar>
              <w:top w:w="90" w:type="dxa"/>
              <w:start w:w="110" w:type="dxa"/>
              <w:bottom w:w="90" w:type="dxa"/>
              <w:end w:w="110" w:type="dxa"/>
            </w:tcMar>
          </w:tcPr>
          <w:p>
            <w:pPr>
              <w:spacing w:before="40" w:after="40" w:line="264" w:lineRule="auto"/>
            </w:pPr>
            <w:r>
              <w:t>ERC-4337 accounts, factory, recovery flow, budget partitions</w:t>
            </w:r>
          </w:p>
        </w:tc>
        <w:tc>
          <w:tcPr>
            <w:tcW w:type="dxa" w:w="2436"/>
            <w:vAlign w:val="center"/>
            <w:tcMar>
              <w:top w:w="90" w:type="dxa"/>
              <w:start w:w="110" w:type="dxa"/>
              <w:bottom w:w="90" w:type="dxa"/>
              <w:end w:w="110" w:type="dxa"/>
            </w:tcMar>
          </w:tcPr>
          <w:p>
            <w:pPr>
              <w:spacing w:before="40" w:after="40" w:line="264" w:lineRule="auto"/>
            </w:pPr>
            <w:r>
              <w:t>policy commitments and DID binding</w:t>
            </w:r>
          </w:p>
        </w:tc>
        <w:tc>
          <w:tcPr>
            <w:tcW w:type="dxa" w:w="2436"/>
            <w:vAlign w:val="center"/>
            <w:tcMar>
              <w:top w:w="90" w:type="dxa"/>
              <w:start w:w="110" w:type="dxa"/>
              <w:bottom w:w="90" w:type="dxa"/>
              <w:end w:w="110" w:type="dxa"/>
            </w:tcMar>
          </w:tcPr>
          <w:p>
            <w:pPr>
              <w:spacing w:before="40" w:after="40" w:line="264" w:lineRule="auto"/>
            </w:pPr>
            <w:r>
              <w:t>smart contract engineer</w:t>
            </w:r>
          </w:p>
        </w:tc>
      </w:tr>
      <w:tr>
        <w:tc>
          <w:tcPr>
            <w:tcW w:type="dxa" w:w="2436"/>
            <w:vAlign w:val="center"/>
            <w:tcMar>
              <w:top w:w="90" w:type="dxa"/>
              <w:start w:w="110" w:type="dxa"/>
              <w:bottom w:w="90" w:type="dxa"/>
              <w:end w:w="110" w:type="dxa"/>
            </w:tcMar>
          </w:tcPr>
          <w:p>
            <w:pPr>
              <w:spacing w:before="40" w:after="40" w:line="264" w:lineRule="auto"/>
            </w:pPr>
            <w:r>
              <w:t>Payments</w:t>
            </w:r>
          </w:p>
        </w:tc>
        <w:tc>
          <w:tcPr>
            <w:tcW w:type="dxa" w:w="2436"/>
            <w:vAlign w:val="center"/>
            <w:tcMar>
              <w:top w:w="90" w:type="dxa"/>
              <w:start w:w="110" w:type="dxa"/>
              <w:bottom w:w="90" w:type="dxa"/>
              <w:end w:w="110" w:type="dxa"/>
            </w:tcMar>
          </w:tcPr>
          <w:p>
            <w:pPr>
              <w:spacing w:before="40" w:after="40" w:line="264" w:lineRule="auto"/>
            </w:pPr>
            <w:r>
              <w:t>intent service, execution pipeline, receipt model, monitoring</w:t>
            </w:r>
          </w:p>
        </w:tc>
        <w:tc>
          <w:tcPr>
            <w:tcW w:type="dxa" w:w="2436"/>
            <w:vAlign w:val="center"/>
            <w:tcMar>
              <w:top w:w="90" w:type="dxa"/>
              <w:start w:w="110" w:type="dxa"/>
              <w:bottom w:w="90" w:type="dxa"/>
              <w:end w:w="110" w:type="dxa"/>
            </w:tcMar>
          </w:tcPr>
          <w:p>
            <w:pPr>
              <w:spacing w:before="40" w:after="40" w:line="264" w:lineRule="auto"/>
            </w:pPr>
            <w:r>
              <w:t>wallet and policy engine</w:t>
            </w:r>
          </w:p>
        </w:tc>
        <w:tc>
          <w:tcPr>
            <w:tcW w:type="dxa" w:w="2436"/>
            <w:vAlign w:val="center"/>
            <w:tcMar>
              <w:top w:w="90" w:type="dxa"/>
              <w:start w:w="110" w:type="dxa"/>
              <w:bottom w:w="90" w:type="dxa"/>
              <w:end w:w="110" w:type="dxa"/>
            </w:tcMar>
          </w:tcPr>
          <w:p>
            <w:pPr>
              <w:spacing w:before="40" w:after="40" w:line="264" w:lineRule="auto"/>
            </w:pPr>
            <w:r>
              <w:t>payments backend engineer</w:t>
            </w:r>
          </w:p>
        </w:tc>
      </w:tr>
      <w:tr>
        <w:tc>
          <w:tcPr>
            <w:tcW w:type="dxa" w:w="2436"/>
            <w:vAlign w:val="center"/>
            <w:tcMar>
              <w:top w:w="90" w:type="dxa"/>
              <w:start w:w="110" w:type="dxa"/>
              <w:bottom w:w="90" w:type="dxa"/>
              <w:end w:w="110" w:type="dxa"/>
            </w:tcMar>
          </w:tcPr>
          <w:p>
            <w:pPr>
              <w:spacing w:before="40" w:after="40" w:line="264" w:lineRule="auto"/>
            </w:pPr>
            <w:r>
              <w:t>Compliance and ops</w:t>
            </w:r>
          </w:p>
        </w:tc>
        <w:tc>
          <w:tcPr>
            <w:tcW w:type="dxa" w:w="2436"/>
            <w:vAlign w:val="center"/>
            <w:tcMar>
              <w:top w:w="90" w:type="dxa"/>
              <w:start w:w="110" w:type="dxa"/>
              <w:bottom w:w="90" w:type="dxa"/>
              <w:end w:w="110" w:type="dxa"/>
            </w:tcMar>
          </w:tcPr>
          <w:p>
            <w:pPr>
              <w:spacing w:before="40" w:after="40" w:line="264" w:lineRule="auto"/>
            </w:pPr>
            <w:r>
              <w:t>KYC/KYB process, audit logs, runbooks, emergency controls</w:t>
            </w:r>
          </w:p>
        </w:tc>
        <w:tc>
          <w:tcPr>
            <w:tcW w:type="dxa" w:w="2436"/>
            <w:vAlign w:val="center"/>
            <w:tcMar>
              <w:top w:w="90" w:type="dxa"/>
              <w:start w:w="110" w:type="dxa"/>
              <w:bottom w:w="90" w:type="dxa"/>
              <w:end w:w="110" w:type="dxa"/>
            </w:tcMar>
          </w:tcPr>
          <w:p>
            <w:pPr>
              <w:spacing w:before="40" w:after="40" w:line="264" w:lineRule="auto"/>
            </w:pPr>
            <w:r>
              <w:t>credential schemas and revocation</w:t>
            </w:r>
          </w:p>
        </w:tc>
        <w:tc>
          <w:tcPr>
            <w:tcW w:type="dxa" w:w="2436"/>
            <w:vAlign w:val="center"/>
            <w:tcMar>
              <w:top w:w="90" w:type="dxa"/>
              <w:start w:w="110" w:type="dxa"/>
              <w:bottom w:w="90" w:type="dxa"/>
              <w:end w:w="110" w:type="dxa"/>
            </w:tcMar>
          </w:tcPr>
          <w:p>
            <w:pPr>
              <w:spacing w:before="40" w:after="40" w:line="264" w:lineRule="auto"/>
            </w:pPr>
            <w:r>
              <w:t>compliance architect / security engineer</w:t>
            </w:r>
          </w:p>
        </w:tc>
      </w:tr>
    </w:tbl>
    <w:p>
      <w:pPr>
        <w:pStyle w:val="Heading2"/>
      </w:pPr>
      <w:r>
        <w:t>B.2 Twelve-week MVP plan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90" w:type="dxa"/>
              <w:start w:w="110" w:type="dxa"/>
              <w:bottom w:w="90" w:type="dxa"/>
              <w:end w:w="110" w:type="dxa"/>
            </w:tcMar>
            <w:shd w:fill="D9EAF7"/>
          </w:tcPr>
          <w:p>
            <w:pPr>
              <w:spacing w:before="40" w:after="40" w:line="264" w:lineRule="auto"/>
            </w:pPr>
            <w:r>
              <w:rPr>
                <w:b/>
              </w:rPr>
              <w:t>Weeks</w:t>
            </w:r>
          </w:p>
        </w:tc>
        <w:tc>
          <w:tcPr>
            <w:tcW w:type="dxa" w:w="2436"/>
            <w:vAlign w:val="center"/>
            <w:tcMar>
              <w:top w:w="90" w:type="dxa"/>
              <w:start w:w="110" w:type="dxa"/>
              <w:bottom w:w="90" w:type="dxa"/>
              <w:end w:w="110" w:type="dxa"/>
            </w:tcMar>
            <w:shd w:fill="D9EAF7"/>
          </w:tcPr>
          <w:p>
            <w:pPr>
              <w:spacing w:before="40" w:after="40" w:line="264" w:lineRule="auto"/>
            </w:pPr>
            <w:r>
              <w:rPr>
                <w:b/>
              </w:rPr>
              <w:t>Scope</w:t>
            </w:r>
          </w:p>
        </w:tc>
        <w:tc>
          <w:tcPr>
            <w:tcW w:type="dxa" w:w="2436"/>
            <w:vAlign w:val="center"/>
            <w:tcMar>
              <w:top w:w="90" w:type="dxa"/>
              <w:start w:w="110" w:type="dxa"/>
              <w:bottom w:w="90" w:type="dxa"/>
              <w:end w:w="110" w:type="dxa"/>
            </w:tcMar>
            <w:shd w:fill="D9EAF7"/>
          </w:tcPr>
          <w:p>
            <w:pPr>
              <w:spacing w:before="40" w:after="40" w:line="264" w:lineRule="auto"/>
            </w:pPr>
            <w:r>
              <w:rPr>
                <w:b/>
              </w:rPr>
              <w:t>Concrete deliverables</w:t>
            </w:r>
          </w:p>
        </w:tc>
        <w:tc>
          <w:tcPr>
            <w:tcW w:type="dxa" w:w="2436"/>
            <w:vAlign w:val="center"/>
            <w:tcMar>
              <w:top w:w="90" w:type="dxa"/>
              <w:start w:w="110" w:type="dxa"/>
              <w:bottom w:w="90" w:type="dxa"/>
              <w:end w:w="110" w:type="dxa"/>
            </w:tcMar>
            <w:shd w:fill="D9EAF7"/>
          </w:tcPr>
          <w:p>
            <w:pPr>
              <w:spacing w:before="40" w:after="40" w:line="264" w:lineRule="auto"/>
            </w:pPr>
            <w:r>
              <w:rPr>
                <w:b/>
              </w:rPr>
              <w:t>Exit criteria</w:t>
            </w:r>
          </w:p>
        </w:tc>
      </w:tr>
      <w:tr>
        <w:tc>
          <w:tcPr>
            <w:tcW w:type="dxa" w:w="2436"/>
            <w:vAlign w:val="center"/>
            <w:tcMar>
              <w:top w:w="90" w:type="dxa"/>
              <w:start w:w="110" w:type="dxa"/>
              <w:bottom w:w="90" w:type="dxa"/>
              <w:end w:w="110" w:type="dxa"/>
            </w:tcMar>
          </w:tcPr>
          <w:p>
            <w:pPr>
              <w:spacing w:before="40" w:after="40" w:line="264" w:lineRule="auto"/>
            </w:pPr>
            <w:r>
              <w:t>1-2</w:t>
            </w:r>
          </w:p>
        </w:tc>
        <w:tc>
          <w:tcPr>
            <w:tcW w:type="dxa" w:w="2436"/>
            <w:vAlign w:val="center"/>
            <w:tcMar>
              <w:top w:w="90" w:type="dxa"/>
              <w:start w:w="110" w:type="dxa"/>
              <w:bottom w:w="90" w:type="dxa"/>
              <w:end w:w="110" w:type="dxa"/>
            </w:tcMar>
          </w:tcPr>
          <w:p>
            <w:pPr>
              <w:spacing w:before="40" w:after="40" w:line="264" w:lineRule="auto"/>
            </w:pPr>
            <w:r>
              <w:t>Trust model and schemas</w:t>
            </w:r>
          </w:p>
        </w:tc>
        <w:tc>
          <w:tcPr>
            <w:tcW w:type="dxa" w:w="2436"/>
            <w:vAlign w:val="center"/>
            <w:tcMar>
              <w:top w:w="90" w:type="dxa"/>
              <w:start w:w="110" w:type="dxa"/>
              <w:bottom w:w="90" w:type="dxa"/>
              <w:end w:w="110" w:type="dxa"/>
            </w:tcMar>
          </w:tcPr>
          <w:p>
            <w:pPr>
              <w:spacing w:before="40" w:after="40" w:line="264" w:lineRule="auto"/>
            </w:pPr>
            <w:r>
              <w:t>Subject model, DID profile, three VC schemas, policy vocabulary, threat model v0</w:t>
            </w:r>
          </w:p>
        </w:tc>
        <w:tc>
          <w:tcPr>
            <w:tcW w:type="dxa" w:w="2436"/>
            <w:vAlign w:val="center"/>
            <w:tcMar>
              <w:top w:w="90" w:type="dxa"/>
              <w:start w:w="110" w:type="dxa"/>
              <w:bottom w:w="90" w:type="dxa"/>
              <w:end w:w="110" w:type="dxa"/>
            </w:tcMar>
          </w:tcPr>
          <w:p>
            <w:pPr>
              <w:spacing w:before="40" w:after="40" w:line="264" w:lineRule="auto"/>
            </w:pPr>
            <w:r>
              <w:t>Architecture approved; schemas frozen for MVP</w:t>
            </w:r>
          </w:p>
        </w:tc>
      </w:tr>
      <w:tr>
        <w:tc>
          <w:tcPr>
            <w:tcW w:type="dxa" w:w="2436"/>
            <w:vAlign w:val="center"/>
            <w:tcMar>
              <w:top w:w="90" w:type="dxa"/>
              <w:start w:w="110" w:type="dxa"/>
              <w:bottom w:w="90" w:type="dxa"/>
              <w:end w:w="110" w:type="dxa"/>
            </w:tcMar>
          </w:tcPr>
          <w:p>
            <w:pPr>
              <w:spacing w:before="40" w:after="40" w:line="264" w:lineRule="auto"/>
            </w:pPr>
            <w:r>
              <w:t>3-4</w:t>
            </w:r>
          </w:p>
        </w:tc>
        <w:tc>
          <w:tcPr>
            <w:tcW w:type="dxa" w:w="2436"/>
            <w:vAlign w:val="center"/>
            <w:tcMar>
              <w:top w:w="90" w:type="dxa"/>
              <w:start w:w="110" w:type="dxa"/>
              <w:bottom w:w="90" w:type="dxa"/>
              <w:end w:w="110" w:type="dxa"/>
            </w:tcMar>
          </w:tcPr>
          <w:p>
            <w:pPr>
              <w:spacing w:before="40" w:after="40" w:line="264" w:lineRule="auto"/>
            </w:pPr>
            <w:r>
              <w:t>Identity services</w:t>
            </w:r>
          </w:p>
        </w:tc>
        <w:tc>
          <w:tcPr>
            <w:tcW w:type="dxa" w:w="2436"/>
            <w:vAlign w:val="center"/>
            <w:tcMar>
              <w:top w:w="90" w:type="dxa"/>
              <w:start w:w="110" w:type="dxa"/>
              <w:bottom w:w="90" w:type="dxa"/>
              <w:end w:w="110" w:type="dxa"/>
            </w:tcMar>
          </w:tcPr>
          <w:p>
            <w:pPr>
              <w:spacing w:before="40" w:after="40" w:line="264" w:lineRule="auto"/>
            </w:pPr>
            <w:r>
              <w:t>DID creation service, DID resolution service, issuer registry, status-list design</w:t>
            </w:r>
          </w:p>
        </w:tc>
        <w:tc>
          <w:tcPr>
            <w:tcW w:type="dxa" w:w="2436"/>
            <w:vAlign w:val="center"/>
            <w:tcMar>
              <w:top w:w="90" w:type="dxa"/>
              <w:start w:w="110" w:type="dxa"/>
              <w:bottom w:w="90" w:type="dxa"/>
              <w:end w:w="110" w:type="dxa"/>
            </w:tcMar>
          </w:tcPr>
          <w:p>
            <w:pPr>
              <w:spacing w:before="40" w:after="40" w:line="264" w:lineRule="auto"/>
            </w:pPr>
            <w:r>
              <w:t>Agent DID and Owner DID can be created and resolved end-to-end</w:t>
            </w:r>
          </w:p>
        </w:tc>
      </w:tr>
      <w:tr>
        <w:tc>
          <w:tcPr>
            <w:tcW w:type="dxa" w:w="2436"/>
            <w:vAlign w:val="center"/>
            <w:tcMar>
              <w:top w:w="90" w:type="dxa"/>
              <w:start w:w="110" w:type="dxa"/>
              <w:bottom w:w="90" w:type="dxa"/>
              <w:end w:w="110" w:type="dxa"/>
            </w:tcMar>
          </w:tcPr>
          <w:p>
            <w:pPr>
              <w:spacing w:before="40" w:after="40" w:line="264" w:lineRule="auto"/>
            </w:pPr>
            <w:r>
              <w:t>5-6</w:t>
            </w:r>
          </w:p>
        </w:tc>
        <w:tc>
          <w:tcPr>
            <w:tcW w:type="dxa" w:w="2436"/>
            <w:vAlign w:val="center"/>
            <w:tcMar>
              <w:top w:w="90" w:type="dxa"/>
              <w:start w:w="110" w:type="dxa"/>
              <w:bottom w:w="90" w:type="dxa"/>
              <w:end w:w="110" w:type="dxa"/>
            </w:tcMar>
          </w:tcPr>
          <w:p>
            <w:pPr>
              <w:spacing w:before="40" w:after="40" w:line="264" w:lineRule="auto"/>
            </w:pPr>
            <w:r>
              <w:t>Credential issuance</w:t>
            </w:r>
          </w:p>
        </w:tc>
        <w:tc>
          <w:tcPr>
            <w:tcW w:type="dxa" w:w="2436"/>
            <w:vAlign w:val="center"/>
            <w:tcMar>
              <w:top w:w="90" w:type="dxa"/>
              <w:start w:w="110" w:type="dxa"/>
              <w:bottom w:w="90" w:type="dxa"/>
              <w:end w:w="110" w:type="dxa"/>
            </w:tcMar>
          </w:tcPr>
          <w:p>
            <w:pPr>
              <w:spacing w:before="40" w:after="40" w:line="264" w:lineRule="auto"/>
            </w:pPr>
            <w:r>
              <w:t>OpenID4VCI issuance prototype, VC signing, status checks, presentation verifier</w:t>
            </w:r>
          </w:p>
        </w:tc>
        <w:tc>
          <w:tcPr>
            <w:tcW w:type="dxa" w:w="2436"/>
            <w:vAlign w:val="center"/>
            <w:tcMar>
              <w:top w:w="90" w:type="dxa"/>
              <w:start w:w="110" w:type="dxa"/>
              <w:bottom w:w="90" w:type="dxa"/>
              <w:end w:w="110" w:type="dxa"/>
            </w:tcMar>
          </w:tcPr>
          <w:p>
            <w:pPr>
              <w:spacing w:before="40" w:after="40" w:line="264" w:lineRule="auto"/>
            </w:pPr>
            <w:r>
              <w:t>Ownership VC and Authority VC can be issued and validated</w:t>
            </w:r>
          </w:p>
        </w:tc>
      </w:tr>
      <w:tr>
        <w:tc>
          <w:tcPr>
            <w:tcW w:type="dxa" w:w="2436"/>
            <w:vAlign w:val="center"/>
            <w:tcMar>
              <w:top w:w="90" w:type="dxa"/>
              <w:start w:w="110" w:type="dxa"/>
              <w:bottom w:w="90" w:type="dxa"/>
              <w:end w:w="110" w:type="dxa"/>
            </w:tcMar>
          </w:tcPr>
          <w:p>
            <w:pPr>
              <w:spacing w:before="40" w:after="40" w:line="264" w:lineRule="auto"/>
            </w:pPr>
            <w:r>
              <w:t>7-8</w:t>
            </w:r>
          </w:p>
        </w:tc>
        <w:tc>
          <w:tcPr>
            <w:tcW w:type="dxa" w:w="2436"/>
            <w:vAlign w:val="center"/>
            <w:tcMar>
              <w:top w:w="90" w:type="dxa"/>
              <w:start w:w="110" w:type="dxa"/>
              <w:bottom w:w="90" w:type="dxa"/>
              <w:end w:w="110" w:type="dxa"/>
            </w:tcMar>
          </w:tcPr>
          <w:p>
            <w:pPr>
              <w:spacing w:before="40" w:after="40" w:line="264" w:lineRule="auto"/>
            </w:pPr>
            <w:r>
              <w:t>Wallet and binding</w:t>
            </w:r>
          </w:p>
        </w:tc>
        <w:tc>
          <w:tcPr>
            <w:tcW w:type="dxa" w:w="2436"/>
            <w:vAlign w:val="center"/>
            <w:tcMar>
              <w:top w:w="90" w:type="dxa"/>
              <w:start w:w="110" w:type="dxa"/>
              <w:bottom w:w="90" w:type="dxa"/>
              <w:end w:w="110" w:type="dxa"/>
            </w:tcMar>
          </w:tcPr>
          <w:p>
            <w:pPr>
              <w:spacing w:before="40" w:after="40" w:line="264" w:lineRule="auto"/>
            </w:pPr>
            <w:r>
              <w:t>ERC-4337 account factory, AgentRegistry binding, recovery path, budget config</w:t>
            </w:r>
          </w:p>
        </w:tc>
        <w:tc>
          <w:tcPr>
            <w:tcW w:type="dxa" w:w="2436"/>
            <w:vAlign w:val="center"/>
            <w:tcMar>
              <w:top w:w="90" w:type="dxa"/>
              <w:start w:w="110" w:type="dxa"/>
              <w:bottom w:w="90" w:type="dxa"/>
              <w:end w:w="110" w:type="dxa"/>
            </w:tcMar>
          </w:tcPr>
          <w:p>
            <w:pPr>
              <w:spacing w:before="40" w:after="40" w:line="264" w:lineRule="auto"/>
            </w:pPr>
            <w:r>
              <w:t>Bound account can be created for a verified agent</w:t>
            </w:r>
          </w:p>
        </w:tc>
      </w:tr>
      <w:tr>
        <w:tc>
          <w:tcPr>
            <w:tcW w:type="dxa" w:w="2436"/>
            <w:vAlign w:val="center"/>
            <w:tcMar>
              <w:top w:w="90" w:type="dxa"/>
              <w:start w:w="110" w:type="dxa"/>
              <w:bottom w:w="90" w:type="dxa"/>
              <w:end w:w="110" w:type="dxa"/>
            </w:tcMar>
          </w:tcPr>
          <w:p>
            <w:pPr>
              <w:spacing w:before="40" w:after="40" w:line="264" w:lineRule="auto"/>
            </w:pPr>
            <w:r>
              <w:t>9-10</w:t>
            </w:r>
          </w:p>
        </w:tc>
        <w:tc>
          <w:tcPr>
            <w:tcW w:type="dxa" w:w="2436"/>
            <w:vAlign w:val="center"/>
            <w:tcMar>
              <w:top w:w="90" w:type="dxa"/>
              <w:start w:w="110" w:type="dxa"/>
              <w:bottom w:w="90" w:type="dxa"/>
              <w:end w:w="110" w:type="dxa"/>
            </w:tcMar>
          </w:tcPr>
          <w:p>
            <w:pPr>
              <w:spacing w:before="40" w:after="40" w:line="264" w:lineRule="auto"/>
            </w:pPr>
            <w:r>
              <w:t>Payment intents</w:t>
            </w:r>
          </w:p>
        </w:tc>
        <w:tc>
          <w:tcPr>
            <w:tcW w:type="dxa" w:w="2436"/>
            <w:vAlign w:val="center"/>
            <w:tcMar>
              <w:top w:w="90" w:type="dxa"/>
              <w:start w:w="110" w:type="dxa"/>
              <w:bottom w:w="90" w:type="dxa"/>
              <w:end w:w="110" w:type="dxa"/>
            </w:tcMar>
          </w:tcPr>
          <w:p>
            <w:pPr>
              <w:spacing w:before="40" w:after="40" w:line="264" w:lineRule="auto"/>
            </w:pPr>
            <w:r>
              <w:t>Intent schema, verification pipeline, policy engine MVP, human approval flow</w:t>
            </w:r>
          </w:p>
        </w:tc>
        <w:tc>
          <w:tcPr>
            <w:tcW w:type="dxa" w:w="2436"/>
            <w:vAlign w:val="center"/>
            <w:tcMar>
              <w:top w:w="90" w:type="dxa"/>
              <w:start w:w="110" w:type="dxa"/>
              <w:bottom w:w="90" w:type="dxa"/>
              <w:end w:w="110" w:type="dxa"/>
            </w:tcMar>
          </w:tcPr>
          <w:p>
            <w:pPr>
              <w:spacing w:before="40" w:after="40" w:line="264" w:lineRule="auto"/>
            </w:pPr>
            <w:r>
              <w:t>Human-confirmed and pre-authorized payments succeed in sandbox</w:t>
            </w:r>
          </w:p>
        </w:tc>
      </w:tr>
      <w:tr>
        <w:tc>
          <w:tcPr>
            <w:tcW w:type="dxa" w:w="2436"/>
            <w:vAlign w:val="center"/>
            <w:tcMar>
              <w:top w:w="90" w:type="dxa"/>
              <w:start w:w="110" w:type="dxa"/>
              <w:bottom w:w="90" w:type="dxa"/>
              <w:end w:w="110" w:type="dxa"/>
            </w:tcMar>
          </w:tcPr>
          <w:p>
            <w:pPr>
              <w:spacing w:before="40" w:after="40" w:line="264" w:lineRule="auto"/>
            </w:pPr>
            <w:r>
              <w:t>11-12</w:t>
            </w:r>
          </w:p>
        </w:tc>
        <w:tc>
          <w:tcPr>
            <w:tcW w:type="dxa" w:w="2436"/>
            <w:vAlign w:val="center"/>
            <w:tcMar>
              <w:top w:w="90" w:type="dxa"/>
              <w:start w:w="110" w:type="dxa"/>
              <w:bottom w:w="90" w:type="dxa"/>
              <w:end w:w="110" w:type="dxa"/>
            </w:tcMar>
          </w:tcPr>
          <w:p>
            <w:pPr>
              <w:spacing w:before="40" w:after="40" w:line="264" w:lineRule="auto"/>
            </w:pPr>
            <w:r>
              <w:t>Hardening and audit</w:t>
            </w:r>
          </w:p>
        </w:tc>
        <w:tc>
          <w:tcPr>
            <w:tcW w:type="dxa" w:w="2436"/>
            <w:vAlign w:val="center"/>
            <w:tcMar>
              <w:top w:w="90" w:type="dxa"/>
              <w:start w:w="110" w:type="dxa"/>
              <w:bottom w:w="90" w:type="dxa"/>
              <w:end w:w="110" w:type="dxa"/>
            </w:tcMar>
          </w:tcPr>
          <w:p>
            <w:pPr>
              <w:spacing w:before="40" w:after="40" w:line="264" w:lineRule="auto"/>
            </w:pPr>
            <w:r>
              <w:t>Receipt registry, freeze/revoke, observability, incident runbook, demo script</w:t>
            </w:r>
          </w:p>
        </w:tc>
        <w:tc>
          <w:tcPr>
            <w:tcW w:type="dxa" w:w="2436"/>
            <w:vAlign w:val="center"/>
            <w:tcMar>
              <w:top w:w="90" w:type="dxa"/>
              <w:start w:w="110" w:type="dxa"/>
              <w:bottom w:w="90" w:type="dxa"/>
              <w:end w:w="110" w:type="dxa"/>
            </w:tcMar>
          </w:tcPr>
          <w:p>
            <w:pPr>
              <w:spacing w:before="40" w:after="40" w:line="264" w:lineRule="auto"/>
            </w:pPr>
            <w:r>
              <w:t>Demo shows create -&gt; credential -&gt; account -&gt; intent -&gt; execute -&gt; audit trail</w:t>
            </w:r>
          </w:p>
        </w:tc>
      </w:tr>
    </w:tbl>
    <w:p>
      <w:pPr>
        <w:pStyle w:val="Heading2"/>
      </w:pPr>
      <w:r>
        <w:t>B.3 Six-month production roadmap</w:t>
      </w:r>
    </w:p>
    <w:p>
      <w:pPr>
        <w:pStyle w:val="ListBullet"/>
      </w:pPr>
      <w:r>
        <w:t>Month 1-2: ship sandbox MVP with a single stablecoin on a single EVM L2 and one KYC/KYB issuer path.</w:t>
      </w:r>
    </w:p>
    <w:p>
      <w:pPr>
        <w:pStyle w:val="ListBullet"/>
      </w:pPr>
      <w:r>
        <w:t>Month 3: add production-grade revocation, monitoring, paymaster controls, and enterprise treasury partitions.</w:t>
      </w:r>
    </w:p>
    <w:p>
      <w:pPr>
        <w:pStyle w:val="ListBullet"/>
      </w:pPr>
      <w:r>
        <w:t>Month 4: add connector framework and one regulated bridge or exchange integration.</w:t>
      </w:r>
    </w:p>
    <w:p>
      <w:pPr>
        <w:pStyle w:val="ListBullet"/>
      </w:pPr>
      <w:r>
        <w:t>Month 5: add autonomous mode with session-key restrictions and stronger approval thresholds.</w:t>
      </w:r>
    </w:p>
    <w:p>
      <w:pPr>
        <w:pStyle w:val="ListBullet"/>
      </w:pPr>
      <w:r>
        <w:t>Month 6: begin partner pilots for agent-native account opening and bounded payment automation.</w:t>
      </w:r>
    </w:p>
    <w:p>
      <w:pPr>
        <w:pStyle w:val="Heading2"/>
      </w:pPr>
      <w:r>
        <w:t>B.4 Team and capability plan</w:t>
      </w:r>
    </w:p>
    <w:p>
      <w:pPr>
        <w:pStyle w:val="ListBullet"/>
      </w:pPr>
      <w:r>
        <w:t>Core protocol/identity engineer: DID profile, VC semantics, trust registry, verification logic.</w:t>
      </w:r>
    </w:p>
    <w:p>
      <w:pPr>
        <w:pStyle w:val="ListBullet"/>
      </w:pPr>
      <w:r>
        <w:t>Smart contract engineer: ERC-4337 account modules, registries, receipt contracts, pause/recovery paths.</w:t>
      </w:r>
    </w:p>
    <w:p>
      <w:pPr>
        <w:pStyle w:val="ListBullet"/>
      </w:pPr>
      <w:r>
        <w:t>Backend/platform engineer: issuance APIs, intent service, policy engine, observability, partner connectors.</w:t>
      </w:r>
    </w:p>
    <w:p>
      <w:pPr>
        <w:pStyle w:val="ListBullet"/>
      </w:pPr>
      <w:r>
        <w:t>Security engineer: threat modeling, key management, secure signing, runtime monitoring, incident response.</w:t>
      </w:r>
    </w:p>
    <w:p>
      <w:pPr>
        <w:pStyle w:val="ListBullet"/>
      </w:pPr>
      <w:r>
        <w:t>Compliance architect: KYC/KYB mapping, policy taxonomy, audit/export requirements, partner onboarding.</w:t>
      </w:r>
    </w:p>
    <w:p>
      <w:pPr>
        <w:pStyle w:val="Heading2"/>
      </w:pPr>
      <w:r>
        <w:t>B.5 Product decisions to lock before coding</w:t>
      </w:r>
    </w:p>
    <w:p>
      <w:pPr>
        <w:pStyle w:val="ListBullet"/>
      </w:pPr>
      <w:r>
        <w:t>Which DID profile is v1: did:web only, hybrid did:web plus chain anchor, or a bespoke did:agent method?</w:t>
      </w:r>
    </w:p>
    <w:p>
      <w:pPr>
        <w:pStyle w:val="ListBullet"/>
      </w:pPr>
      <w:r>
        <w:t>Which credential formats are mandatory in v1: JSON-LD VC, JWT VC, or SD-JWT VC?</w:t>
      </w:r>
    </w:p>
    <w:p>
      <w:pPr>
        <w:pStyle w:val="ListBullet"/>
      </w:pPr>
      <w:r>
        <w:t>Which chain and wallet stack is the reference environment for production pilots?</w:t>
      </w:r>
    </w:p>
    <w:p>
      <w:pPr>
        <w:pStyle w:val="ListBullet"/>
      </w:pPr>
      <w:r>
        <w:t>Which autonomy modes are supported in v1: human-confirmed and pre-authorized only, or limited autonomous?</w:t>
      </w:r>
    </w:p>
    <w:p>
      <w:pPr>
        <w:pStyle w:val="ListBullet"/>
      </w:pPr>
      <w:r>
        <w:t>What is the default settlement asset and what connectors are in scope for phase one?</w:t>
      </w:r>
    </w:p>
    <w:p>
      <w:pPr>
        <w:pStyle w:val="ListBullet"/>
      </w:pPr>
      <w:r>
        <w:t>Which revocation path is authoritative during outages: off-chain status list, on-chain anchor, or both?</w:t>
      </w:r>
    </w:p>
    <w:p>
      <w:pPr>
        <w:pStyle w:val="Heading2"/>
      </w:pPr>
      <w:r>
        <w:t>B.6 Success metrics</w:t>
      </w:r>
    </w:p>
    <w:p>
      <w:pPr>
        <w:pStyle w:val="ListBullet"/>
      </w:pPr>
      <w:r>
        <w:t>Time to create and activate a verified agent account.</w:t>
      </w:r>
    </w:p>
    <w:p>
      <w:pPr>
        <w:pStyle w:val="ListBullet"/>
      </w:pPr>
      <w:r>
        <w:t>Credential issuance success rate and verification latency.</w:t>
      </w:r>
    </w:p>
    <w:p>
      <w:pPr>
        <w:pStyle w:val="ListBullet"/>
      </w:pPr>
      <w:r>
        <w:t>Payment intent approval latency by execution mode.</w:t>
      </w:r>
    </w:p>
    <w:p>
      <w:pPr>
        <w:pStyle w:val="ListBullet"/>
      </w:pPr>
      <w:r>
        <w:t>Revocation propagation time from issuer action to effective denial.</w:t>
      </w:r>
    </w:p>
    <w:p>
      <w:pPr>
        <w:pStyle w:val="ListBullet"/>
      </w:pPr>
      <w:r>
        <w:t>Rate of false-allow and false-deny policy outcomes.</w:t>
      </w:r>
    </w:p>
    <w:p>
      <w:pPr>
        <w:pStyle w:val="ListBullet"/>
      </w:pPr>
      <w:r>
        <w:t>Number of incidents where freeze/recovery path worked within target SLA.</w:t>
      </w:r>
    </w:p>
    <w:p>
      <w:pPr>
        <w:pStyle w:val="Heading2"/>
      </w:pPr>
      <w:r>
        <w:t>B.7 Recommended first pilot</w:t>
      </w:r>
    </w:p>
    <w:p>
      <w:pPr>
        <w:pStyle w:val="ListBullet"/>
      </w:pPr>
      <w:r>
        <w:t>Use case: a treasury-owned software agent can pay approved service agents in USDC for bounded API or workflow execution.</w:t>
      </w:r>
    </w:p>
    <w:p>
      <w:pPr>
        <w:pStyle w:val="ListBullet"/>
      </w:pPr>
      <w:r>
        <w:t>Why this is ideal: low-value, high-frequency, digitally verifiable, limited counterparties, and no need to solve full autonomous trading on day one.</w:t>
      </w:r>
    </w:p>
    <w:p>
      <w:pPr>
        <w:pStyle w:val="ListBullet"/>
      </w:pPr>
      <w:r>
        <w:t>Pilot scope: one owner, one platform issuer, one EVM L2, one stablecoin, one or two approved counterparties, one KYC/KYB issuer, and one dashboard for approvals and freeze/recovery.</w:t>
      </w:r>
    </w:p>
    <w:p>
      <w:r>
        <w:br w:type="page"/>
      </w:r>
    </w:p>
    <w:p>
      <w:pPr>
        <w:pStyle w:val="Heading1"/>
        <w:keepNext/>
      </w:pPr>
      <w:r>
        <w:t>Appendix C. System architecture and component diagrams</w:t>
      </w:r>
    </w:p>
    <w:p>
      <w:r>
        <w:t>This appendix adds concrete component boundaries, data flows, and deployment guidance so engineering, product, compliance, and security teams can align on a single implementation model.</w:t>
      </w:r>
    </w:p>
    <w:p>
      <w:pPr>
        <w:pStyle w:val="Heading2"/>
        <w:keepNext/>
      </w:pPr>
      <w:r>
        <w:t>C.1 Layered reference architecture</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Clients                                        |</w:t>
      </w:r>
    </w:p>
    <w:p>
      <w:pPr>
        <w:spacing w:before="0" w:after="0"/>
        <w:ind w:left="360" w:right="360"/>
      </w:pPr>
      <w:r>
        <w:rPr>
          <w:rFonts w:ascii="Courier New" w:hAnsi="Courier New" w:eastAsia="Courier New"/>
          <w:sz w:val="18"/>
        </w:rPr>
        <w:t>|   Owner dashboard | Compliance console | Treasury console | Verifier/partner UI    |</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v</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API / Gateway Layer                                  |</w:t>
      </w:r>
    </w:p>
    <w:p>
      <w:pPr>
        <w:spacing w:before="0" w:after="0"/>
        <w:ind w:left="360" w:right="360"/>
      </w:pPr>
      <w:r>
        <w:rPr>
          <w:rFonts w:ascii="Courier New" w:hAnsi="Courier New" w:eastAsia="Courier New"/>
          <w:sz w:val="18"/>
        </w:rPr>
        <w:t>|  AuthN/AuthZ | Rate limits | Request signing | Audit correlation | Tenant routing   |</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                         |                        |</w:t>
      </w:r>
    </w:p>
    <w:p>
      <w:pPr>
        <w:spacing w:before="0" w:after="0"/>
        <w:ind w:left="360" w:right="360"/>
      </w:pPr>
      <w:r>
        <w:rPr>
          <w:rFonts w:ascii="Courier New" w:hAnsi="Courier New" w:eastAsia="Courier New"/>
          <w:sz w:val="18"/>
        </w:rPr>
        <w:t xml:space="preserve">                v                         v                        v</w:t>
      </w:r>
    </w:p>
    <w:p>
      <w:pPr>
        <w:spacing w:before="0" w:after="0"/>
        <w:ind w:left="360" w:right="360"/>
      </w:pPr>
      <w:r>
        <w:rPr>
          <w:rFonts w:ascii="Courier New" w:hAnsi="Courier New" w:eastAsia="Courier New"/>
          <w:sz w:val="18"/>
        </w:rPr>
        <w:t>+---------------------------+ +----------------------------+ +----------------------+</w:t>
      </w:r>
    </w:p>
    <w:p>
      <w:pPr>
        <w:spacing w:before="0" w:after="0"/>
        <w:ind w:left="360" w:right="360"/>
      </w:pPr>
      <w:r>
        <w:rPr>
          <w:rFonts w:ascii="Courier New" w:hAnsi="Courier New" w:eastAsia="Courier New"/>
          <w:sz w:val="18"/>
        </w:rPr>
        <w:t>| Identity &amp; Credential     | | Policy / Decision Layer    | | Payment / Account    |</w:t>
      </w:r>
    </w:p>
    <w:p>
      <w:pPr>
        <w:spacing w:before="0" w:after="0"/>
        <w:ind w:left="360" w:right="360"/>
      </w:pPr>
      <w:r>
        <w:rPr>
          <w:rFonts w:ascii="Courier New" w:hAnsi="Courier New" w:eastAsia="Courier New"/>
          <w:sz w:val="18"/>
        </w:rPr>
        <w:t>| Services                  | |                            | | Services             |</w:t>
      </w:r>
    </w:p>
    <w:p>
      <w:pPr>
        <w:spacing w:before="0" w:after="0"/>
        <w:ind w:left="360" w:right="360"/>
      </w:pPr>
      <w:r>
        <w:rPr>
          <w:rFonts w:ascii="Courier New" w:hAnsi="Courier New" w:eastAsia="Courier New"/>
          <w:sz w:val="18"/>
        </w:rPr>
        <w:t>| - DID registry            | | - Policy compiler          | | - Account factory    |</w:t>
      </w:r>
    </w:p>
    <w:p>
      <w:pPr>
        <w:spacing w:before="0" w:after="0"/>
        <w:ind w:left="360" w:right="360"/>
      </w:pPr>
      <w:r>
        <w:rPr>
          <w:rFonts w:ascii="Courier New" w:hAnsi="Courier New" w:eastAsia="Courier New"/>
          <w:sz w:val="18"/>
        </w:rPr>
        <w:t>| - DID resolver            | | - Rule engine              | | - Intent service     |</w:t>
      </w:r>
    </w:p>
    <w:p>
      <w:pPr>
        <w:spacing w:before="0" w:after="0"/>
        <w:ind w:left="360" w:right="360"/>
      </w:pPr>
      <w:r>
        <w:rPr>
          <w:rFonts w:ascii="Courier New" w:hAnsi="Courier New" w:eastAsia="Courier New"/>
          <w:sz w:val="18"/>
        </w:rPr>
        <w:t>| - VC issuance             | | - Spend state tracker      | | - Execution router   |</w:t>
      </w:r>
    </w:p>
    <w:p>
      <w:pPr>
        <w:spacing w:before="0" w:after="0"/>
        <w:ind w:left="360" w:right="360"/>
      </w:pPr>
      <w:r>
        <w:rPr>
          <w:rFonts w:ascii="Courier New" w:hAnsi="Courier New" w:eastAsia="Courier New"/>
          <w:sz w:val="18"/>
        </w:rPr>
        <w:t>| - VC presentation verify  | | - Approval workflow        | | - Connector manager  |</w:t>
      </w:r>
    </w:p>
    <w:p>
      <w:pPr>
        <w:spacing w:before="0" w:after="0"/>
        <w:ind w:left="360" w:right="360"/>
      </w:pPr>
      <w:r>
        <w:rPr>
          <w:rFonts w:ascii="Courier New" w:hAnsi="Courier New" w:eastAsia="Courier New"/>
          <w:sz w:val="18"/>
        </w:rPr>
        <w:t>| - Revocation/status       | | - Risk scoring hooks       | | - Receipt service    |</w:t>
      </w:r>
    </w:p>
    <w:p>
      <w:pPr>
        <w:spacing w:before="0" w:after="0"/>
        <w:ind w:left="360" w:right="360"/>
      </w:pPr>
      <w:r>
        <w:rPr>
          <w:rFonts w:ascii="Courier New" w:hAnsi="Courier New" w:eastAsia="Courier New"/>
          <w:sz w:val="18"/>
        </w:rPr>
        <w:t>+---------------------------+ +----------------------------+ +----------------------+</w:t>
      </w:r>
    </w:p>
    <w:p>
      <w:pPr>
        <w:spacing w:before="0" w:after="0"/>
        <w:ind w:left="360" w:right="360"/>
      </w:pPr>
      <w:r>
        <w:rPr>
          <w:rFonts w:ascii="Courier New" w:hAnsi="Courier New" w:eastAsia="Courier New"/>
          <w:sz w:val="18"/>
        </w:rPr>
        <w:t xml:space="preserve">                |                         |                        |</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v</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Chain / Smart Account / Registry Layer                      |</w:t>
      </w:r>
    </w:p>
    <w:p>
      <w:pPr>
        <w:spacing w:before="0" w:after="0"/>
        <w:ind w:left="360" w:right="360"/>
      </w:pPr>
      <w:r>
        <w:rPr>
          <w:rFonts w:ascii="Courier New" w:hAnsi="Courier New" w:eastAsia="Courier New"/>
          <w:sz w:val="18"/>
        </w:rPr>
        <w:t>| AgentRegistry | PolicyRegistry | ReceiptRegistry | AgentAccountFactory | Paymaster  |</w:t>
      </w:r>
    </w:p>
    <w:p>
      <w:pPr>
        <w:spacing w:before="0" w:after="0"/>
        <w:ind w:left="360" w:right="360"/>
      </w:pPr>
      <w:r>
        <w:rPr>
          <w:rFonts w:ascii="Courier New" w:hAnsi="Courier New" w:eastAsia="Courier New"/>
          <w:sz w:val="18"/>
        </w:rPr>
        <w:t>| Session keys | Spending limits | Account recovery | Connector adapters | Event logs |</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                         |                        |</w:t>
      </w:r>
    </w:p>
    <w:p>
      <w:pPr>
        <w:spacing w:before="0" w:after="0"/>
        <w:ind w:left="360" w:right="360"/>
      </w:pPr>
      <w:r>
        <w:rPr>
          <w:rFonts w:ascii="Courier New" w:hAnsi="Courier New" w:eastAsia="Courier New"/>
          <w:sz w:val="18"/>
        </w:rPr>
        <w:t xml:space="preserve">                v                         v                        v</w:t>
      </w:r>
    </w:p>
    <w:p>
      <w:pPr>
        <w:spacing w:before="0" w:after="0"/>
        <w:ind w:left="360" w:right="360"/>
      </w:pPr>
      <w:r>
        <w:rPr>
          <w:rFonts w:ascii="Courier New" w:hAnsi="Courier New" w:eastAsia="Courier New"/>
          <w:sz w:val="18"/>
        </w:rPr>
        <w:t>+---------------------------+ +----------------------------+ +----------------------+</w:t>
      </w:r>
    </w:p>
    <w:p>
      <w:pPr>
        <w:spacing w:before="0" w:after="0"/>
        <w:ind w:left="360" w:right="360"/>
      </w:pPr>
      <w:r>
        <w:rPr>
          <w:rFonts w:ascii="Courier New" w:hAnsi="Courier New" w:eastAsia="Courier New"/>
          <w:sz w:val="18"/>
        </w:rPr>
        <w:t>| KYC / KYB issuer          | | Exchange / bridge / bank   | | Observability &amp;      |</w:t>
      </w:r>
    </w:p>
    <w:p>
      <w:pPr>
        <w:spacing w:before="0" w:after="0"/>
        <w:ind w:left="360" w:right="360"/>
      </w:pPr>
      <w:r>
        <w:rPr>
          <w:rFonts w:ascii="Courier New" w:hAnsi="Courier New" w:eastAsia="Courier New"/>
          <w:sz w:val="18"/>
        </w:rPr>
        <w:t>| credential provider       | | or payment-rail connectors | | security operations  |</w:t>
      </w:r>
    </w:p>
    <w:p>
      <w:pPr>
        <w:spacing w:before="0" w:after="0"/>
        <w:ind w:left="360" w:right="360"/>
      </w:pPr>
      <w:r>
        <w:rPr>
          <w:rFonts w:ascii="Courier New" w:hAnsi="Courier New" w:eastAsia="Courier New"/>
          <w:sz w:val="18"/>
        </w:rPr>
        <w:t>|                           | |                            | |                      |</w:t>
      </w:r>
    </w:p>
    <w:p>
      <w:pPr>
        <w:spacing w:before="0" w:after="0"/>
        <w:ind w:left="360" w:right="360"/>
      </w:pPr>
      <w:r>
        <w:rPr>
          <w:rFonts w:ascii="Courier New" w:hAnsi="Courier New" w:eastAsia="Courier New"/>
          <w:sz w:val="18"/>
        </w:rPr>
        <w:t>+---------------------------+ +----------------------------+ +----------------------+</w:t>
      </w:r>
    </w:p>
    <w:p>
      <w:r>
        <w:t>Implementation note: treat the identity services, policy services, and payment services as separate deployable domains even if a single team ships them initially. This keeps trust boundaries explicit and allows later substitution of issuers, policy authorities, or payment connectors without rewriting the whole stack.</w:t>
      </w:r>
    </w:p>
    <w:p>
      <w:pPr>
        <w:pStyle w:val="Heading2"/>
        <w:keepNext/>
      </w:pPr>
      <w:r>
        <w:t>C.2 Core component responsibilities</w:t>
      </w:r>
    </w:p>
    <w:tbl>
      <w:tblPr>
        <w:tblStyle w:val="TableGrid"/>
        <w:tblW w:type="auto" w:w="0"/>
        <w:tblLook w:firstColumn="1" w:firstRow="1" w:lastColumn="0" w:lastRow="0" w:noHBand="0" w:noVBand="1" w:val="04A0"/>
      </w:tblPr>
      <w:tblGrid>
        <w:gridCol w:w="4873"/>
        <w:gridCol w:w="4873"/>
      </w:tblGrid>
      <w:tr>
        <w:tc>
          <w:tcPr>
            <w:tcW w:type="dxa" w:w="4873"/>
          </w:tcPr>
          <w:p>
            <w:r>
              <w:t>Component</w:t>
            </w:r>
          </w:p>
        </w:tc>
        <w:tc>
          <w:tcPr>
            <w:tcW w:type="dxa" w:w="4873"/>
          </w:tcPr>
          <w:p>
            <w:r>
              <w:t>Primary responsibility</w:t>
            </w:r>
          </w:p>
        </w:tc>
      </w:tr>
      <w:tr>
        <w:tc>
          <w:tcPr>
            <w:tcW w:type="dxa" w:w="4873"/>
          </w:tcPr>
          <w:p>
            <w:r>
              <w:t>AgentRegistry</w:t>
            </w:r>
          </w:p>
        </w:tc>
        <w:tc>
          <w:tcPr>
            <w:tcW w:type="dxa" w:w="4873"/>
          </w:tcPr>
          <w:p>
            <w:r>
              <w:t>Canonical registry for agent DID metadata, lifecycle state, wallet binding pointers, and suspension/freeze status.</w:t>
            </w:r>
          </w:p>
        </w:tc>
      </w:tr>
      <w:tr>
        <w:tc>
          <w:tcPr>
            <w:tcW w:type="dxa" w:w="4873"/>
          </w:tcPr>
          <w:p>
            <w:r>
              <w:t>Resolver Service</w:t>
            </w:r>
          </w:p>
        </w:tc>
        <w:tc>
          <w:tcPr>
            <w:tcW w:type="dxa" w:w="4873"/>
          </w:tcPr>
          <w:p>
            <w:r>
              <w:t>Resolves DID -&gt; DID Document, retrieves revocation state, and normalizes controller + verification relationships.</w:t>
            </w:r>
          </w:p>
        </w:tc>
      </w:tr>
      <w:tr>
        <w:tc>
          <w:tcPr>
            <w:tcW w:type="dxa" w:w="4873"/>
          </w:tcPr>
          <w:p>
            <w:r>
              <w:t>Credential Service</w:t>
            </w:r>
          </w:p>
        </w:tc>
        <w:tc>
          <w:tcPr>
            <w:tcW w:type="dxa" w:w="4873"/>
          </w:tcPr>
          <w:p>
            <w:r>
              <w:t>Issues Ownership VC, KYC/KYB VC, Authority VC, Account Binding VC; stores issuance metadata and status list references.</w:t>
            </w:r>
          </w:p>
        </w:tc>
      </w:tr>
      <w:tr>
        <w:tc>
          <w:tcPr>
            <w:tcW w:type="dxa" w:w="4873"/>
          </w:tcPr>
          <w:p>
            <w:r>
              <w:t>Policy Engine</w:t>
            </w:r>
          </w:p>
        </w:tc>
        <w:tc>
          <w:tcPr>
            <w:tcW w:type="dxa" w:w="4873"/>
          </w:tcPr>
          <w:p>
            <w:r>
              <w:t>Evaluates payment intent against current credentials, policy commitment, connector constraints, and spend history.</w:t>
            </w:r>
          </w:p>
        </w:tc>
      </w:tr>
      <w:tr>
        <w:tc>
          <w:tcPr>
            <w:tcW w:type="dxa" w:w="4873"/>
          </w:tcPr>
          <w:p>
            <w:r>
              <w:t>Intent Service</w:t>
            </w:r>
          </w:p>
        </w:tc>
        <w:tc>
          <w:tcPr>
            <w:tcW w:type="dxa" w:w="4873"/>
          </w:tcPr>
          <w:p>
            <w:r>
              <w:t>Creates canonical payment intent IDs, idempotency keys, intent hashes, and approval challenges.</w:t>
            </w:r>
          </w:p>
        </w:tc>
      </w:tr>
      <w:tr>
        <w:tc>
          <w:tcPr>
            <w:tcW w:type="dxa" w:w="4873"/>
          </w:tcPr>
          <w:p>
            <w:r>
              <w:t>AgentAccountFactory</w:t>
            </w:r>
          </w:p>
        </w:tc>
        <w:tc>
          <w:tcPr>
            <w:tcW w:type="dxa" w:w="4873"/>
          </w:tcPr>
          <w:p>
            <w:r>
              <w:t>Deploys or registers ERC-4337 smart accounts and attaches policy/account modules.</w:t>
            </w:r>
          </w:p>
        </w:tc>
      </w:tr>
      <w:tr>
        <w:tc>
          <w:tcPr>
            <w:tcW w:type="dxa" w:w="4873"/>
          </w:tcPr>
          <w:p>
            <w:r>
              <w:t>Connector Manager</w:t>
            </w:r>
          </w:p>
        </w:tc>
        <w:tc>
          <w:tcPr>
            <w:tcW w:type="dxa" w:w="4873"/>
          </w:tcPr>
          <w:p>
            <w:r>
              <w:t>Normalizes quote/validate/execute/reconcile across on-chain token, exchange, and fiat bridge connectors.</w:t>
            </w:r>
          </w:p>
        </w:tc>
      </w:tr>
      <w:tr>
        <w:tc>
          <w:tcPr>
            <w:tcW w:type="dxa" w:w="4873"/>
          </w:tcPr>
          <w:p>
            <w:r>
              <w:t>Receipt Service</w:t>
            </w:r>
          </w:p>
        </w:tc>
        <w:tc>
          <w:tcPr>
            <w:tcW w:type="dxa" w:w="4873"/>
          </w:tcPr>
          <w:p>
            <w:r>
              <w:t>Produces machine-readable receipts, signed attestations, and on-chain receipt commitments.</w:t>
            </w:r>
          </w:p>
        </w:tc>
      </w:tr>
      <w:tr>
        <w:tc>
          <w:tcPr>
            <w:tcW w:type="dxa" w:w="4873"/>
          </w:tcPr>
          <w:p>
            <w:r>
              <w:t>Risk Monitor</w:t>
            </w:r>
          </w:p>
        </w:tc>
        <w:tc>
          <w:tcPr>
            <w:tcW w:type="dxa" w:w="4873"/>
          </w:tcPr>
          <w:p>
            <w:r>
              <w:t>Consumes events and alerts on anomalies: rapid spend bursts, repeated denials, connector failures, or policy bypass attempts.</w:t>
            </w:r>
          </w:p>
        </w:tc>
      </w:tr>
    </w:tbl>
    <w:p>
      <w:pPr>
        <w:pStyle w:val="Heading2"/>
        <w:keepNext/>
      </w:pPr>
      <w:r>
        <w:t>C.3 Trust boundaries</w:t>
      </w:r>
    </w:p>
    <w:p>
      <w:pPr>
        <w:pStyle w:val="ListBullet"/>
      </w:pPr>
      <w:r>
        <w:t>Issuer boundary: credential issuers are trusted only for the specific claim types they sign. A KYC issuer should not automatically be trusted as a policy authority.</w:t>
      </w:r>
    </w:p>
    <w:p>
      <w:pPr>
        <w:pStyle w:val="ListBullet"/>
      </w:pPr>
      <w:r>
        <w:t>Execution boundary: payment execution services may prepare and route actions, but final execution authority should remain with the smart account validation layer and its policies.</w:t>
      </w:r>
    </w:p>
    <w:p>
      <w:pPr>
        <w:pStyle w:val="ListBullet"/>
      </w:pPr>
      <w:r>
        <w:t>Observation boundary: analytics and monitoring systems can ingest event streams and redacted logs, but should not hold the authority to mutate account state.</w:t>
      </w:r>
    </w:p>
    <w:p>
      <w:pPr>
        <w:pStyle w:val="ListBullet"/>
      </w:pPr>
      <w:r>
        <w:t>Recovery boundary: freeze, revoke, and rotate operations must use a separate control path from ordinary transaction submission.</w:t>
      </w:r>
    </w:p>
    <w:p>
      <w:r>
        <w:br w:type="page"/>
      </w:r>
    </w:p>
    <w:p>
      <w:pPr>
        <w:pStyle w:val="Heading1"/>
        <w:keepNext/>
      </w:pPr>
      <w:r>
        <w:t>Appendix D. Sequence diagrams</w:t>
      </w:r>
    </w:p>
    <w:p>
      <w:r>
        <w:t>These text diagrams are intentionally implementation-oriented. They can later be converted into Mermaid, PlantUML, or BPMN with minimal changes.</w:t>
      </w:r>
    </w:p>
    <w:p>
      <w:pPr>
        <w:pStyle w:val="Heading2"/>
        <w:keepNext/>
      </w:pPr>
      <w:r>
        <w:t>D.1 Agent onboarding and account activation</w:t>
      </w:r>
    </w:p>
    <w:p>
      <w:pPr>
        <w:spacing w:before="0" w:after="0"/>
        <w:ind w:left="360" w:right="360"/>
      </w:pPr>
      <w:r>
        <w:rPr>
          <w:rFonts w:ascii="Courier New" w:hAnsi="Courier New" w:eastAsia="Courier New"/>
          <w:sz w:val="18"/>
        </w:rPr>
        <w:t>Owner / Institution -&gt; KYC Issuer: complete KYC/KYB workflow</w:t>
      </w:r>
    </w:p>
    <w:p>
      <w:pPr>
        <w:spacing w:before="0" w:after="0"/>
        <w:ind w:left="360" w:right="360"/>
      </w:pPr>
      <w:r>
        <w:rPr>
          <w:rFonts w:ascii="Courier New" w:hAnsi="Courier New" w:eastAsia="Courier New"/>
          <w:sz w:val="18"/>
        </w:rPr>
        <w:t>KYC Issuer -&gt; Owner Wallet: issue KYC/KYB VC</w:t>
      </w:r>
    </w:p>
    <w:p>
      <w:pPr>
        <w:spacing w:before="0" w:after="0"/>
        <w:ind w:left="360" w:right="360"/>
      </w:pPr>
      <w:r>
        <w:rPr>
          <w:rFonts w:ascii="Courier New" w:hAnsi="Courier New" w:eastAsia="Courier New"/>
          <w:sz w:val="18"/>
        </w:rPr>
        <w:t>Platform -&gt; Agent Registry: create Agent DID (pending)</w:t>
      </w:r>
    </w:p>
    <w:p>
      <w:pPr>
        <w:spacing w:before="0" w:after="0"/>
        <w:ind w:left="360" w:right="360"/>
      </w:pPr>
      <w:r>
        <w:rPr>
          <w:rFonts w:ascii="Courier New" w:hAnsi="Courier New" w:eastAsia="Courier New"/>
          <w:sz w:val="18"/>
        </w:rPr>
        <w:t>Owner / Policy Authority -&gt; Credential Service: request Ownership VC + Authority VC</w:t>
      </w:r>
    </w:p>
    <w:p>
      <w:pPr>
        <w:spacing w:before="0" w:after="0"/>
        <w:ind w:left="360" w:right="360"/>
      </w:pPr>
      <w:r>
        <w:rPr>
          <w:rFonts w:ascii="Courier New" w:hAnsi="Courier New" w:eastAsia="Courier New"/>
          <w:sz w:val="18"/>
        </w:rPr>
        <w:t>Credential Service -&gt; Agent Registry: store VC status refs + policy commitment pointers</w:t>
      </w:r>
    </w:p>
    <w:p>
      <w:pPr>
        <w:spacing w:before="0" w:after="0"/>
        <w:ind w:left="360" w:right="360"/>
      </w:pPr>
      <w:r>
        <w:rPr>
          <w:rFonts w:ascii="Courier New" w:hAnsi="Courier New" w:eastAsia="Courier New"/>
          <w:sz w:val="18"/>
        </w:rPr>
        <w:t>Platform -&gt; AgentAccountFactory: deploy ERC-4337 smart account</w:t>
      </w:r>
    </w:p>
    <w:p>
      <w:pPr>
        <w:spacing w:before="0" w:after="0"/>
        <w:ind w:left="360" w:right="360"/>
      </w:pPr>
      <w:r>
        <w:rPr>
          <w:rFonts w:ascii="Courier New" w:hAnsi="Courier New" w:eastAsia="Courier New"/>
          <w:sz w:val="18"/>
        </w:rPr>
        <w:t>Factory -&gt; Agent Registry: bind account to Agent DID</w:t>
      </w:r>
    </w:p>
    <w:p>
      <w:pPr>
        <w:spacing w:before="0" w:after="0"/>
        <w:ind w:left="360" w:right="360"/>
      </w:pPr>
      <w:r>
        <w:rPr>
          <w:rFonts w:ascii="Courier New" w:hAnsi="Courier New" w:eastAsia="Courier New"/>
          <w:sz w:val="18"/>
        </w:rPr>
        <w:t>Credential Service -&gt; Owner / Agent Wallet: issue Account Binding VC</w:t>
      </w:r>
    </w:p>
    <w:p>
      <w:pPr>
        <w:spacing w:before="0" w:after="0"/>
        <w:ind w:left="360" w:right="360"/>
      </w:pPr>
      <w:r>
        <w:rPr>
          <w:rFonts w:ascii="Courier New" w:hAnsi="Courier New" w:eastAsia="Courier New"/>
          <w:sz w:val="18"/>
        </w:rPr>
        <w:t>Agent Registry -&gt; Platform: status = active</w:t>
      </w:r>
    </w:p>
    <w:p>
      <w:pPr>
        <w:pStyle w:val="Heading2"/>
        <w:keepNext/>
      </w:pPr>
      <w:r>
        <w:t>D.2 Human-confirmed payment</w:t>
      </w:r>
    </w:p>
    <w:p>
      <w:pPr>
        <w:spacing w:before="0" w:after="0"/>
        <w:ind w:left="360" w:right="360"/>
      </w:pPr>
      <w:r>
        <w:rPr>
          <w:rFonts w:ascii="Courier New" w:hAnsi="Courier New" w:eastAsia="Courier New"/>
          <w:sz w:val="18"/>
        </w:rPr>
        <w:t>Agent -&gt; Intent Service: create payment intent</w:t>
      </w:r>
    </w:p>
    <w:p>
      <w:pPr>
        <w:spacing w:before="0" w:after="0"/>
        <w:ind w:left="360" w:right="360"/>
      </w:pPr>
      <w:r>
        <w:rPr>
          <w:rFonts w:ascii="Courier New" w:hAnsi="Courier New" w:eastAsia="Courier New"/>
          <w:sz w:val="18"/>
        </w:rPr>
        <w:t>Intent Service -&gt; Policy Engine: evaluate intent</w:t>
      </w:r>
    </w:p>
    <w:p>
      <w:pPr>
        <w:spacing w:before="0" w:after="0"/>
        <w:ind w:left="360" w:right="360"/>
      </w:pPr>
      <w:r>
        <w:rPr>
          <w:rFonts w:ascii="Courier New" w:hAnsi="Courier New" w:eastAsia="Courier New"/>
          <w:sz w:val="18"/>
        </w:rPr>
        <w:t>Policy Engine -&gt; Credential / Resolver: verify DID + VC + revocation</w:t>
      </w:r>
    </w:p>
    <w:p>
      <w:pPr>
        <w:spacing w:before="0" w:after="0"/>
        <w:ind w:left="360" w:right="360"/>
      </w:pPr>
      <w:r>
        <w:rPr>
          <w:rFonts w:ascii="Courier New" w:hAnsi="Courier New" w:eastAsia="Courier New"/>
          <w:sz w:val="18"/>
        </w:rPr>
        <w:t>Policy Engine -&gt; Intent Service: decision = approval required</w:t>
      </w:r>
    </w:p>
    <w:p>
      <w:pPr>
        <w:spacing w:before="0" w:after="0"/>
        <w:ind w:left="360" w:right="360"/>
      </w:pPr>
      <w:r>
        <w:rPr>
          <w:rFonts w:ascii="Courier New" w:hAnsi="Courier New" w:eastAsia="Courier New"/>
          <w:sz w:val="18"/>
        </w:rPr>
        <w:t>Intent Service -&gt; Owner App: approval challenge</w:t>
      </w:r>
    </w:p>
    <w:p>
      <w:pPr>
        <w:spacing w:before="0" w:after="0"/>
        <w:ind w:left="360" w:right="360"/>
      </w:pPr>
      <w:r>
        <w:rPr>
          <w:rFonts w:ascii="Courier New" w:hAnsi="Courier New" w:eastAsia="Courier New"/>
          <w:sz w:val="18"/>
        </w:rPr>
        <w:t>Owner App -&gt; Intent Service: signed approval artifact</w:t>
      </w:r>
    </w:p>
    <w:p>
      <w:pPr>
        <w:spacing w:before="0" w:after="0"/>
        <w:ind w:left="360" w:right="360"/>
      </w:pPr>
      <w:r>
        <w:rPr>
          <w:rFonts w:ascii="Courier New" w:hAnsi="Courier New" w:eastAsia="Courier New"/>
          <w:sz w:val="18"/>
        </w:rPr>
        <w:t>Intent Service -&gt; Smart Account / Bundler: submit user operation</w:t>
      </w:r>
    </w:p>
    <w:p>
      <w:pPr>
        <w:spacing w:before="0" w:after="0"/>
        <w:ind w:left="360" w:right="360"/>
      </w:pPr>
      <w:r>
        <w:rPr>
          <w:rFonts w:ascii="Courier New" w:hAnsi="Courier New" w:eastAsia="Courier New"/>
          <w:sz w:val="18"/>
        </w:rPr>
        <w:t>Smart Account -&gt; Connector / Token: execute payment</w:t>
      </w:r>
    </w:p>
    <w:p>
      <w:pPr>
        <w:spacing w:before="0" w:after="0"/>
        <w:ind w:left="360" w:right="360"/>
      </w:pPr>
      <w:r>
        <w:rPr>
          <w:rFonts w:ascii="Courier New" w:hAnsi="Courier New" w:eastAsia="Courier New"/>
          <w:sz w:val="18"/>
        </w:rPr>
        <w:t>Receipt Service -&gt; Chain + Off-chain logs: store receipt hash + signed receipt</w:t>
      </w:r>
    </w:p>
    <w:p>
      <w:pPr>
        <w:pStyle w:val="Heading2"/>
        <w:keepNext/>
      </w:pPr>
      <w:r>
        <w:t>D.3 Pre-authorized autonomous payment</w:t>
      </w:r>
    </w:p>
    <w:p>
      <w:pPr>
        <w:spacing w:before="0" w:after="0"/>
        <w:ind w:left="360" w:right="360"/>
      </w:pPr>
      <w:r>
        <w:rPr>
          <w:rFonts w:ascii="Courier New" w:hAnsi="Courier New" w:eastAsia="Courier New"/>
          <w:sz w:val="18"/>
        </w:rPr>
        <w:t>Agent -&gt; Intent Service: create payment intent with session key proof</w:t>
      </w:r>
    </w:p>
    <w:p>
      <w:pPr>
        <w:spacing w:before="0" w:after="0"/>
        <w:ind w:left="360" w:right="360"/>
      </w:pPr>
      <w:r>
        <w:rPr>
          <w:rFonts w:ascii="Courier New" w:hAnsi="Courier New" w:eastAsia="Courier New"/>
          <w:sz w:val="18"/>
        </w:rPr>
        <w:t>Intent Service -&gt; Policy Engine: evaluate against bounded policy</w:t>
      </w:r>
    </w:p>
    <w:p>
      <w:pPr>
        <w:spacing w:before="0" w:after="0"/>
        <w:ind w:left="360" w:right="360"/>
      </w:pPr>
      <w:r>
        <w:rPr>
          <w:rFonts w:ascii="Courier New" w:hAnsi="Courier New" w:eastAsia="Courier New"/>
          <w:sz w:val="18"/>
        </w:rPr>
        <w:t>Policy Engine -&gt; Spend State: check rolling limit and counterparty rules</w:t>
      </w:r>
    </w:p>
    <w:p>
      <w:pPr>
        <w:spacing w:before="0" w:after="0"/>
        <w:ind w:left="360" w:right="360"/>
      </w:pPr>
      <w:r>
        <w:rPr>
          <w:rFonts w:ascii="Courier New" w:hAnsi="Courier New" w:eastAsia="Courier New"/>
          <w:sz w:val="18"/>
        </w:rPr>
        <w:t>Policy Engine -&gt; Smart Account / Bundler: allow execution</w:t>
      </w:r>
    </w:p>
    <w:p>
      <w:pPr>
        <w:spacing w:before="0" w:after="0"/>
        <w:ind w:left="360" w:right="360"/>
      </w:pPr>
      <w:r>
        <w:rPr>
          <w:rFonts w:ascii="Courier New" w:hAnsi="Courier New" w:eastAsia="Courier New"/>
          <w:sz w:val="18"/>
        </w:rPr>
        <w:t>Smart Account -&gt; Connector / Token: execute</w:t>
      </w:r>
    </w:p>
    <w:p>
      <w:pPr>
        <w:spacing w:before="0" w:after="0"/>
        <w:ind w:left="360" w:right="360"/>
      </w:pPr>
      <w:r>
        <w:rPr>
          <w:rFonts w:ascii="Courier New" w:hAnsi="Courier New" w:eastAsia="Courier New"/>
          <w:sz w:val="18"/>
        </w:rPr>
        <w:t>Receipt Service -&gt; Monitoring: emit success/failure and update spend state</w:t>
      </w:r>
    </w:p>
    <w:p>
      <w:pPr>
        <w:pStyle w:val="Heading2"/>
        <w:keepNext/>
      </w:pPr>
      <w:r>
        <w:t>D.4 Revocation and emergency freeze</w:t>
      </w:r>
    </w:p>
    <w:p>
      <w:pPr>
        <w:spacing w:before="0" w:after="0"/>
        <w:ind w:left="360" w:right="360"/>
      </w:pPr>
      <w:r>
        <w:rPr>
          <w:rFonts w:ascii="Courier New" w:hAnsi="Courier New" w:eastAsia="Courier New"/>
          <w:sz w:val="18"/>
        </w:rPr>
        <w:t>Issuer / Governance -&gt; Revocation Service: revoke VC or freeze agent</w:t>
      </w:r>
    </w:p>
    <w:p>
      <w:pPr>
        <w:spacing w:before="0" w:after="0"/>
        <w:ind w:left="360" w:right="360"/>
      </w:pPr>
      <w:r>
        <w:rPr>
          <w:rFonts w:ascii="Courier New" w:hAnsi="Courier New" w:eastAsia="Courier New"/>
          <w:sz w:val="18"/>
        </w:rPr>
        <w:t>Revocation Service -&gt; Status List / Chain anchor: publish new revocation state</w:t>
      </w:r>
    </w:p>
    <w:p>
      <w:pPr>
        <w:spacing w:before="0" w:after="0"/>
        <w:ind w:left="360" w:right="360"/>
      </w:pPr>
      <w:r>
        <w:rPr>
          <w:rFonts w:ascii="Courier New" w:hAnsi="Courier New" w:eastAsia="Courier New"/>
          <w:sz w:val="18"/>
        </w:rPr>
        <w:t>Risk Monitor -&gt; Policy Engine / Registry: mark agent high-risk or frozen</w:t>
      </w:r>
    </w:p>
    <w:p>
      <w:pPr>
        <w:spacing w:before="0" w:after="0"/>
        <w:ind w:left="360" w:right="360"/>
      </w:pPr>
      <w:r>
        <w:rPr>
          <w:rFonts w:ascii="Courier New" w:hAnsi="Courier New" w:eastAsia="Courier New"/>
          <w:sz w:val="18"/>
        </w:rPr>
        <w:t>Any new intent -&gt; Policy Engine: fetch latest state and deny execution</w:t>
      </w:r>
    </w:p>
    <w:p>
      <w:pPr>
        <w:spacing w:before="0" w:after="0"/>
        <w:ind w:left="360" w:right="360"/>
      </w:pPr>
      <w:r>
        <w:rPr>
          <w:rFonts w:ascii="Courier New" w:hAnsi="Courier New" w:eastAsia="Courier New"/>
          <w:sz w:val="18"/>
        </w:rPr>
        <w:t>Recovery Authority -&gt; Agent Registry / Account Module: rotate keys or unfreeze after review</w:t>
      </w:r>
    </w:p>
    <w:p>
      <w:r>
        <w:br w:type="page"/>
      </w:r>
    </w:p>
    <w:p>
      <w:pPr>
        <w:pStyle w:val="Heading1"/>
        <w:keepNext/>
      </w:pPr>
      <w:r>
        <w:t>Appendix E. Smart contract interface draft</w:t>
      </w:r>
    </w:p>
    <w:p>
      <w:r>
        <w:t>The interfaces below are intentionally minimal. They define module boundaries rather than the final production ABI. The goal is to keep identity, policy, and receipt concerns separate so implementations can evolve independently.</w:t>
      </w:r>
    </w:p>
    <w:p>
      <w:pPr>
        <w:spacing w:before="0" w:after="0"/>
        <w:ind w:left="360" w:right="360"/>
      </w:pPr>
      <w:r>
        <w:rPr>
          <w:rFonts w:ascii="Courier New" w:hAnsi="Courier New" w:eastAsia="Courier New"/>
          <w:sz w:val="18"/>
        </w:rPr>
        <w:t>interface IAgentRegistry {</w:t>
      </w:r>
    </w:p>
    <w:p>
      <w:pPr>
        <w:spacing w:before="0" w:after="0"/>
        <w:ind w:left="360" w:right="360"/>
      </w:pPr>
      <w:r>
        <w:rPr>
          <w:rFonts w:ascii="Courier New" w:hAnsi="Courier New" w:eastAsia="Courier New"/>
          <w:sz w:val="18"/>
        </w:rPr>
        <w:t xml:space="preserve">    struct AgentRecord {</w:t>
      </w:r>
    </w:p>
    <w:p>
      <w:pPr>
        <w:spacing w:before="0" w:after="0"/>
        <w:ind w:left="360" w:right="360"/>
      </w:pPr>
      <w:r>
        <w:rPr>
          <w:rFonts w:ascii="Courier New" w:hAnsi="Courier New" w:eastAsia="Courier New"/>
          <w:sz w:val="18"/>
        </w:rPr>
        <w:t xml:space="preserve">        string agentDid;</w:t>
      </w:r>
    </w:p>
    <w:p>
      <w:pPr>
        <w:spacing w:before="0" w:after="0"/>
        <w:ind w:left="360" w:right="360"/>
      </w:pPr>
      <w:r>
        <w:rPr>
          <w:rFonts w:ascii="Courier New" w:hAnsi="Courier New" w:eastAsia="Courier New"/>
          <w:sz w:val="18"/>
        </w:rPr>
        <w:t xml:space="preserve">        address smartAccount;</w:t>
      </w:r>
    </w:p>
    <w:p>
      <w:pPr>
        <w:spacing w:before="0" w:after="0"/>
        <w:ind w:left="360" w:right="360"/>
      </w:pPr>
      <w:r>
        <w:rPr>
          <w:rFonts w:ascii="Courier New" w:hAnsi="Courier New" w:eastAsia="Courier New"/>
          <w:sz w:val="18"/>
        </w:rPr>
        <w:t xml:space="preserve">        bytes32 currentPolicyHash;</w:t>
      </w:r>
    </w:p>
    <w:p>
      <w:pPr>
        <w:spacing w:before="0" w:after="0"/>
        <w:ind w:left="360" w:right="360"/>
      </w:pPr>
      <w:r>
        <w:rPr>
          <w:rFonts w:ascii="Courier New" w:hAnsi="Courier New" w:eastAsia="Courier New"/>
          <w:sz w:val="18"/>
        </w:rPr>
        <w:t xml:space="preserve">        bytes32 accountBindingVcHash;</w:t>
      </w:r>
    </w:p>
    <w:p>
      <w:pPr>
        <w:spacing w:before="0" w:after="0"/>
        <w:ind w:left="360" w:right="360"/>
      </w:pPr>
      <w:r>
        <w:rPr>
          <w:rFonts w:ascii="Courier New" w:hAnsi="Courier New" w:eastAsia="Courier New"/>
          <w:sz w:val="18"/>
        </w:rPr>
        <w:t xml:space="preserve">        uint8 status; // 0 pending, 1 active, 2 suspended, 3 frozen, 4 revoked</w:t>
      </w:r>
    </w:p>
    <w:p>
      <w:pPr>
        <w:spacing w:before="0" w:after="0"/>
        <w:ind w:left="360" w:right="360"/>
      </w:pPr>
      <w:r>
        <w:rPr>
          <w:rFonts w:ascii="Courier New" w:hAnsi="Courier New" w:eastAsia="Courier New"/>
          <w:sz w:val="18"/>
        </w:rPr>
        <w:t xml:space="preserve">        uint64 updatedAt;</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 xml:space="preserve">    event AgentRegistered(bytes32 indexed agentId, string agentDid, address indexed account);</w:t>
      </w:r>
    </w:p>
    <w:p>
      <w:pPr>
        <w:spacing w:before="0" w:after="0"/>
        <w:ind w:left="360" w:right="360"/>
      </w:pPr>
      <w:r>
        <w:rPr>
          <w:rFonts w:ascii="Courier New" w:hAnsi="Courier New" w:eastAsia="Courier New"/>
          <w:sz w:val="18"/>
        </w:rPr>
        <w:t xml:space="preserve">    event AgentStatusChanged(bytes32 indexed agentId, uint8 oldStatus, uint8 newStatus);</w:t>
      </w:r>
    </w:p>
    <w:p>
      <w:pPr>
        <w:spacing w:before="0" w:after="0"/>
        <w:ind w:left="360" w:right="360"/>
      </w:pPr>
      <w:r>
        <w:rPr>
          <w:rFonts w:ascii="Courier New" w:hAnsi="Courier New" w:eastAsia="Courier New"/>
          <w:sz w:val="18"/>
        </w:rPr>
        <w:t xml:space="preserve">    event AgentPolicyUpdated(bytes32 indexed agentId, bytes32 oldPolicyHash, bytes32 newPolicyHash);</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 xml:space="preserve">    function registerAgent(bytes32 agentId, string calldata agentDid, address smartAccount) external;</w:t>
      </w:r>
    </w:p>
    <w:p>
      <w:pPr>
        <w:spacing w:before="0" w:after="0"/>
        <w:ind w:left="360" w:right="360"/>
      </w:pPr>
      <w:r>
        <w:rPr>
          <w:rFonts w:ascii="Courier New" w:hAnsi="Courier New" w:eastAsia="Courier New"/>
          <w:sz w:val="18"/>
        </w:rPr>
        <w:t xml:space="preserve">    function bindAccount(bytes32 agentId, address smartAccount, bytes32 accountBindingVcHash) external;</w:t>
      </w:r>
    </w:p>
    <w:p>
      <w:pPr>
        <w:spacing w:before="0" w:after="0"/>
        <w:ind w:left="360" w:right="360"/>
      </w:pPr>
      <w:r>
        <w:rPr>
          <w:rFonts w:ascii="Courier New" w:hAnsi="Courier New" w:eastAsia="Courier New"/>
          <w:sz w:val="18"/>
        </w:rPr>
        <w:t xml:space="preserve">    function setPolicy(bytes32 agentId, bytes32 policyHash) external;</w:t>
      </w:r>
    </w:p>
    <w:p>
      <w:pPr>
        <w:spacing w:before="0" w:after="0"/>
        <w:ind w:left="360" w:right="360"/>
      </w:pPr>
      <w:r>
        <w:rPr>
          <w:rFonts w:ascii="Courier New" w:hAnsi="Courier New" w:eastAsia="Courier New"/>
          <w:sz w:val="18"/>
        </w:rPr>
        <w:t xml:space="preserve">    function setStatus(bytes32 agentId, uint8 newStatus) external;</w:t>
      </w:r>
    </w:p>
    <w:p>
      <w:pPr>
        <w:spacing w:before="0" w:after="0"/>
        <w:ind w:left="360" w:right="360"/>
      </w:pPr>
      <w:r>
        <w:rPr>
          <w:rFonts w:ascii="Courier New" w:hAnsi="Courier New" w:eastAsia="Courier New"/>
          <w:sz w:val="18"/>
        </w:rPr>
        <w:t xml:space="preserve">    function getAgent(bytes32 agentId) external view returns (AgentRecord memory);</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interface IPolicyRegistry {</w:t>
      </w:r>
    </w:p>
    <w:p>
      <w:pPr>
        <w:spacing w:before="0" w:after="0"/>
        <w:ind w:left="360" w:right="360"/>
      </w:pPr>
      <w:r>
        <w:rPr>
          <w:rFonts w:ascii="Courier New" w:hAnsi="Courier New" w:eastAsia="Courier New"/>
          <w:sz w:val="18"/>
        </w:rPr>
        <w:t xml:space="preserve">    event PolicyCommitted(bytes32 indexed policyHash, bytes metadataHash, uint64 effectiveFrom, uint64 expiresAt);</w:t>
      </w:r>
    </w:p>
    <w:p>
      <w:pPr>
        <w:spacing w:before="0" w:after="0"/>
        <w:ind w:left="360" w:right="360"/>
      </w:pPr>
      <w:r>
        <w:rPr>
          <w:rFonts w:ascii="Courier New" w:hAnsi="Courier New" w:eastAsia="Courier New"/>
          <w:sz w:val="18"/>
        </w:rPr>
        <w:t xml:space="preserve">    event PolicyRevoked(bytes32 indexed policyHash, bytes32 reasonHash);</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 xml:space="preserve">    function commitPolicy(bytes32 policyHash, bytes calldata metadataHash, uint64 effectiveFrom, uint64 expiresAt) external;</w:t>
      </w:r>
    </w:p>
    <w:p>
      <w:pPr>
        <w:spacing w:before="0" w:after="0"/>
        <w:ind w:left="360" w:right="360"/>
      </w:pPr>
      <w:r>
        <w:rPr>
          <w:rFonts w:ascii="Courier New" w:hAnsi="Courier New" w:eastAsia="Courier New"/>
          <w:sz w:val="18"/>
        </w:rPr>
        <w:t xml:space="preserve">    function revokePolicy(bytes32 policyHash, bytes32 reasonHash) external;</w:t>
      </w:r>
    </w:p>
    <w:p>
      <w:pPr>
        <w:spacing w:before="0" w:after="0"/>
        <w:ind w:left="360" w:right="360"/>
      </w:pPr>
      <w:r>
        <w:rPr>
          <w:rFonts w:ascii="Courier New" w:hAnsi="Courier New" w:eastAsia="Courier New"/>
          <w:sz w:val="18"/>
        </w:rPr>
        <w:t xml:space="preserve">    function isActive(bytes32 policyHash) external view returns (bool);</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interface IReceiptRegistry {</w:t>
      </w:r>
    </w:p>
    <w:p>
      <w:pPr>
        <w:spacing w:before="0" w:after="0"/>
        <w:ind w:left="360" w:right="360"/>
      </w:pPr>
      <w:r>
        <w:rPr>
          <w:rFonts w:ascii="Courier New" w:hAnsi="Courier New" w:eastAsia="Courier New"/>
          <w:sz w:val="18"/>
        </w:rPr>
        <w:t xml:space="preserve">    event ReceiptCommitted(bytes32 indexed intentId, bytes32 indexed receiptHash, address indexed executor, uint64 timestamp);</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 xml:space="preserve">    function commitReceipt(bytes32 intentId, bytes32 receiptHash) external;</w:t>
      </w:r>
    </w:p>
    <w:p>
      <w:pPr>
        <w:spacing w:before="0" w:after="0"/>
        <w:ind w:left="360" w:right="360"/>
      </w:pPr>
      <w:r>
        <w:rPr>
          <w:rFonts w:ascii="Courier New" w:hAnsi="Courier New" w:eastAsia="Courier New"/>
          <w:sz w:val="18"/>
        </w:rPr>
        <w:t xml:space="preserve">    function receiptOf(bytes32 intentId) external view returns (bytes32);</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interface IIntentExecutor {</w:t>
      </w:r>
    </w:p>
    <w:p>
      <w:pPr>
        <w:spacing w:before="0" w:after="0"/>
        <w:ind w:left="360" w:right="360"/>
      </w:pPr>
      <w:r>
        <w:rPr>
          <w:rFonts w:ascii="Courier New" w:hAnsi="Courier New" w:eastAsia="Courier New"/>
          <w:sz w:val="18"/>
        </w:rPr>
        <w:t xml:space="preserve">    struct PaymentIntent {</w:t>
      </w:r>
    </w:p>
    <w:p>
      <w:pPr>
        <w:spacing w:before="0" w:after="0"/>
        <w:ind w:left="360" w:right="360"/>
      </w:pPr>
      <w:r>
        <w:rPr>
          <w:rFonts w:ascii="Courier New" w:hAnsi="Courier New" w:eastAsia="Courier New"/>
          <w:sz w:val="18"/>
        </w:rPr>
        <w:t xml:space="preserve">        bytes32 intentId;</w:t>
      </w:r>
    </w:p>
    <w:p>
      <w:pPr>
        <w:spacing w:before="0" w:after="0"/>
        <w:ind w:left="360" w:right="360"/>
      </w:pPr>
      <w:r>
        <w:rPr>
          <w:rFonts w:ascii="Courier New" w:hAnsi="Courier New" w:eastAsia="Courier New"/>
          <w:sz w:val="18"/>
        </w:rPr>
        <w:t xml:space="preserve">        bytes32 agentId;</w:t>
      </w:r>
    </w:p>
    <w:p>
      <w:pPr>
        <w:spacing w:before="0" w:after="0"/>
        <w:ind w:left="360" w:right="360"/>
      </w:pPr>
      <w:r>
        <w:rPr>
          <w:rFonts w:ascii="Courier New" w:hAnsi="Courier New" w:eastAsia="Courier New"/>
          <w:sz w:val="18"/>
        </w:rPr>
        <w:t xml:space="preserve">        address payerAccount;</w:t>
      </w:r>
    </w:p>
    <w:p>
      <w:pPr>
        <w:spacing w:before="0" w:after="0"/>
        <w:ind w:left="360" w:right="360"/>
      </w:pPr>
      <w:r>
        <w:rPr>
          <w:rFonts w:ascii="Courier New" w:hAnsi="Courier New" w:eastAsia="Courier New"/>
          <w:sz w:val="18"/>
        </w:rPr>
        <w:t xml:space="preserve">        address payee;</w:t>
      </w:r>
    </w:p>
    <w:p>
      <w:pPr>
        <w:spacing w:before="0" w:after="0"/>
        <w:ind w:left="360" w:right="360"/>
      </w:pPr>
      <w:r>
        <w:rPr>
          <w:rFonts w:ascii="Courier New" w:hAnsi="Courier New" w:eastAsia="Courier New"/>
          <w:sz w:val="18"/>
        </w:rPr>
        <w:t xml:space="preserve">        address asset;</w:t>
      </w:r>
    </w:p>
    <w:p>
      <w:pPr>
        <w:spacing w:before="0" w:after="0"/>
        <w:ind w:left="360" w:right="360"/>
      </w:pPr>
      <w:r>
        <w:rPr>
          <w:rFonts w:ascii="Courier New" w:hAnsi="Courier New" w:eastAsia="Courier New"/>
          <w:sz w:val="18"/>
        </w:rPr>
        <w:t xml:space="preserve">        uint256 amount;</w:t>
      </w:r>
    </w:p>
    <w:p>
      <w:pPr>
        <w:spacing w:before="0" w:after="0"/>
        <w:ind w:left="360" w:right="360"/>
      </w:pPr>
      <w:r>
        <w:rPr>
          <w:rFonts w:ascii="Courier New" w:hAnsi="Courier New" w:eastAsia="Courier New"/>
          <w:sz w:val="18"/>
        </w:rPr>
        <w:t xml:space="preserve">        bytes32 policyHash;</w:t>
      </w:r>
    </w:p>
    <w:p>
      <w:pPr>
        <w:spacing w:before="0" w:after="0"/>
        <w:ind w:left="360" w:right="360"/>
      </w:pPr>
      <w:r>
        <w:rPr>
          <w:rFonts w:ascii="Courier New" w:hAnsi="Courier New" w:eastAsia="Courier New"/>
          <w:sz w:val="18"/>
        </w:rPr>
        <w:t xml:space="preserve">        bytes32 purposeHash;</w:t>
      </w:r>
    </w:p>
    <w:p>
      <w:pPr>
        <w:spacing w:before="0" w:after="0"/>
        <w:ind w:left="360" w:right="360"/>
      </w:pPr>
      <w:r>
        <w:rPr>
          <w:rFonts w:ascii="Courier New" w:hAnsi="Courier New" w:eastAsia="Courier New"/>
          <w:sz w:val="18"/>
        </w:rPr>
        <w:t xml:space="preserve">        uint64 deadline;</w:t>
      </w:r>
    </w:p>
    <w:p>
      <w:pPr>
        <w:spacing w:before="0" w:after="0"/>
        <w:ind w:left="360" w:right="360"/>
      </w:pPr>
      <w:r>
        <w:rPr>
          <w:rFonts w:ascii="Courier New" w:hAnsi="Courier New" w:eastAsia="Courier New"/>
          <w:sz w:val="18"/>
        </w:rPr>
        <w:t xml:space="preserve">        uint8 executionMode; // 0 human_confirmed, 1 pre_authorized, 2 autonomous</w:t>
      </w:r>
    </w:p>
    <w:p>
      <w:pPr>
        <w:spacing w:before="0" w:after="0"/>
        <w:ind w:left="360" w:right="360"/>
      </w:pPr>
      <w:r>
        <w:rPr>
          <w:rFonts w:ascii="Courier New" w:hAnsi="Courier New" w:eastAsia="Courier New"/>
          <w:sz w:val="18"/>
        </w:rPr>
        <w:t xml:space="preserve">        uint256 nonce;</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 xml:space="preserve">    event IntentValidated(bytes32 indexed intentId, bytes32 indexed agentId, uint8 decision);</w:t>
      </w:r>
    </w:p>
    <w:p>
      <w:pPr>
        <w:spacing w:before="0" w:after="0"/>
        <w:ind w:left="360" w:right="360"/>
      </w:pPr>
      <w:r>
        <w:rPr>
          <w:rFonts w:ascii="Courier New" w:hAnsi="Courier New" w:eastAsia="Courier New"/>
          <w:sz w:val="18"/>
        </w:rPr>
        <w:t xml:space="preserve">    event IntentExecuted(bytes32 indexed intentId, address connector, bytes32 receiptHash);</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 xml:space="preserve">    function validateIntent(PaymentIntent calldata intent, bytes calldata authBundle) external view returns (bool ok, uint8 decision, bytes32 reasonHash);</w:t>
      </w:r>
    </w:p>
    <w:p>
      <w:pPr>
        <w:spacing w:before="0" w:after="0"/>
        <w:ind w:left="360" w:right="360"/>
      </w:pPr>
      <w:r>
        <w:rPr>
          <w:rFonts w:ascii="Courier New" w:hAnsi="Courier New" w:eastAsia="Courier New"/>
          <w:sz w:val="18"/>
        </w:rPr>
        <w:t xml:space="preserve">    function executeIntent(PaymentIntent calldata intent, bytes calldata authBundle, bytes calldata connectorData) external returns (bytes32 receiptHash);</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interface IConnector {</w:t>
      </w:r>
    </w:p>
    <w:p>
      <w:pPr>
        <w:spacing w:before="0" w:after="0"/>
        <w:ind w:left="360" w:right="360"/>
      </w:pPr>
      <w:r>
        <w:rPr>
          <w:rFonts w:ascii="Courier New" w:hAnsi="Courier New" w:eastAsia="Courier New"/>
          <w:sz w:val="18"/>
        </w:rPr>
        <w:t xml:space="preserve">    function quote(bytes calldata request) external view returns (bytes memory response);</w:t>
      </w:r>
    </w:p>
    <w:p>
      <w:pPr>
        <w:spacing w:before="0" w:after="0"/>
        <w:ind w:left="360" w:right="360"/>
      </w:pPr>
      <w:r>
        <w:rPr>
          <w:rFonts w:ascii="Courier New" w:hAnsi="Courier New" w:eastAsia="Courier New"/>
          <w:sz w:val="18"/>
        </w:rPr>
        <w:t xml:space="preserve">    function validate(bytes calldata request) external view returns (bool ok, bytes32 reasonHash);</w:t>
      </w:r>
    </w:p>
    <w:p>
      <w:pPr>
        <w:spacing w:before="0" w:after="0"/>
        <w:ind w:left="360" w:right="360"/>
      </w:pPr>
      <w:r>
        <w:rPr>
          <w:rFonts w:ascii="Courier New" w:hAnsi="Courier New" w:eastAsia="Courier New"/>
          <w:sz w:val="18"/>
        </w:rPr>
        <w:t xml:space="preserve">    function execute(bytes calldata request) external returns (bytes32 connectorReceiptHash);</w:t>
      </w:r>
    </w:p>
    <w:p>
      <w:pPr>
        <w:spacing w:before="0" w:after="0"/>
        <w:ind w:left="360" w:right="360"/>
      </w:pPr>
      <w:r>
        <w:rPr>
          <w:rFonts w:ascii="Courier New" w:hAnsi="Courier New" w:eastAsia="Courier New"/>
          <w:sz w:val="18"/>
        </w:rPr>
        <w:t xml:space="preserve">    function reconcile(bytes32 connectorReceiptHash) external view returns (bytes memory reconciliationData);</w:t>
      </w:r>
    </w:p>
    <w:p>
      <w:pPr>
        <w:spacing w:before="0" w:after="0"/>
        <w:ind w:left="360" w:right="360"/>
      </w:pPr>
      <w:r>
        <w:rPr>
          <w:rFonts w:ascii="Courier New" w:hAnsi="Courier New" w:eastAsia="Courier New"/>
          <w:sz w:val="18"/>
        </w:rPr>
        <w:t>}</w:t>
      </w:r>
    </w:p>
    <w:p>
      <w:pPr>
        <w:pStyle w:val="Heading2"/>
      </w:pPr>
      <w:r>
        <w:t>E.1 Contract design notes</w:t>
      </w:r>
    </w:p>
    <w:p>
      <w:pPr>
        <w:pStyle w:val="ListBullet"/>
      </w:pPr>
      <w:r>
        <w:t>Keep registries thin. Store hashes and status on-chain; store large policy payloads, receipt payloads, and credential details off-chain with signed references.</w:t>
      </w:r>
    </w:p>
    <w:p>
      <w:pPr>
        <w:pStyle w:val="ListBullet"/>
      </w:pPr>
      <w:r>
        <w:t>Split validation from execution. High-value flows should be re-validated at execution time, not only at API preflight time.</w:t>
      </w:r>
    </w:p>
    <w:p>
      <w:pPr>
        <w:pStyle w:val="ListBullet"/>
      </w:pPr>
      <w:r>
        <w:t>Prefer module isolation. Spend limits, session keys, and recovery logic should be replaceable modules on top of a base smart account.</w:t>
      </w:r>
    </w:p>
    <w:p>
      <w:pPr>
        <w:pStyle w:val="ListBullet"/>
      </w:pPr>
      <w:r>
        <w:t>Use explicit status enums and event logs. Compliance and incident response teams need deterministic audit trails.</w:t>
      </w:r>
    </w:p>
    <w:p>
      <w:r>
        <w:br w:type="page"/>
      </w:r>
    </w:p>
    <w:p>
      <w:pPr>
        <w:pStyle w:val="Heading1"/>
      </w:pPr>
      <w:r>
        <w:t>Appendix F. API schemas and service contracts</w:t>
      </w:r>
    </w:p>
    <w:p>
      <w:r>
        <w:t>The API layer should expose a stable machine-readable contract even if connector logic changes underneath. Below are suggested request/response shapes for the v1 platform.</w:t>
      </w:r>
    </w:p>
    <w:p>
      <w:pPr>
        <w:pStyle w:val="Heading2"/>
        <w:keepNext/>
      </w:pPr>
      <w:r>
        <w:t>F.1 Create Agent DID</w:t>
      </w:r>
    </w:p>
    <w:p>
      <w:pPr>
        <w:spacing w:before="0" w:after="0"/>
        <w:ind w:left="360" w:right="360"/>
      </w:pPr>
      <w:r>
        <w:rPr>
          <w:rFonts w:ascii="Courier New" w:hAnsi="Courier New" w:eastAsia="Courier New"/>
          <w:sz w:val="18"/>
        </w:rPr>
        <w:t>POST /v1/agents</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"ownerDid": "did:web:org.example:treasury",</w:t>
      </w:r>
    </w:p>
    <w:p>
      <w:pPr>
        <w:spacing w:before="0" w:after="0"/>
        <w:ind w:left="360" w:right="360"/>
      </w:pPr>
      <w:r>
        <w:rPr>
          <w:rFonts w:ascii="Courier New" w:hAnsi="Courier New" w:eastAsia="Courier New"/>
          <w:sz w:val="18"/>
        </w:rPr>
        <w:t xml:space="preserve">  "agentType": "payment-agent",</w:t>
      </w:r>
    </w:p>
    <w:p>
      <w:pPr>
        <w:spacing w:before="0" w:after="0"/>
        <w:ind w:left="360" w:right="360"/>
      </w:pPr>
      <w:r>
        <w:rPr>
          <w:rFonts w:ascii="Courier New" w:hAnsi="Courier New" w:eastAsia="Courier New"/>
          <w:sz w:val="18"/>
        </w:rPr>
        <w:t xml:space="preserve">  "displayName": "treasury-usdc-agent-01",</w:t>
      </w:r>
    </w:p>
    <w:p>
      <w:pPr>
        <w:spacing w:before="0" w:after="0"/>
        <w:ind w:left="360" w:right="360"/>
      </w:pPr>
      <w:r>
        <w:rPr>
          <w:rFonts w:ascii="Courier New" w:hAnsi="Courier New" w:eastAsia="Courier New"/>
          <w:sz w:val="18"/>
        </w:rPr>
        <w:t xml:space="preserve">  "controller": {"type": "service", "keyRef": "kms://tenant/keys/123"},</w:t>
      </w:r>
    </w:p>
    <w:p>
      <w:pPr>
        <w:spacing w:before="0" w:after="0"/>
        <w:ind w:left="360" w:right="360"/>
      </w:pPr>
      <w:r>
        <w:rPr>
          <w:rFonts w:ascii="Courier New" w:hAnsi="Courier New" w:eastAsia="Courier New"/>
          <w:sz w:val="18"/>
        </w:rPr>
        <w:t xml:space="preserve">  "metadata": {"environment": "sandbox", "region": "us"}</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201 Created</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"agentId": "agt_01J...",</w:t>
      </w:r>
    </w:p>
    <w:p>
      <w:pPr>
        <w:spacing w:before="0" w:after="0"/>
        <w:ind w:left="360" w:right="360"/>
      </w:pPr>
      <w:r>
        <w:rPr>
          <w:rFonts w:ascii="Courier New" w:hAnsi="Courier New" w:eastAsia="Courier New"/>
          <w:sz w:val="18"/>
        </w:rPr>
        <w:t xml:space="preserve">  "agentDid": "did:agent:base:agt_01J...",</w:t>
      </w:r>
    </w:p>
    <w:p>
      <w:pPr>
        <w:spacing w:before="0" w:after="0"/>
        <w:ind w:left="360" w:right="360"/>
      </w:pPr>
      <w:r>
        <w:rPr>
          <w:rFonts w:ascii="Courier New" w:hAnsi="Courier New" w:eastAsia="Courier New"/>
          <w:sz w:val="18"/>
        </w:rPr>
        <w:t xml:space="preserve">  "status": "pending"</w:t>
      </w:r>
    </w:p>
    <w:p>
      <w:pPr>
        <w:spacing w:before="0" w:after="0"/>
        <w:ind w:left="360" w:right="360"/>
      </w:pPr>
      <w:r>
        <w:rPr>
          <w:rFonts w:ascii="Courier New" w:hAnsi="Courier New" w:eastAsia="Courier New"/>
          <w:sz w:val="18"/>
        </w:rPr>
        <w:t>}</w:t>
      </w:r>
    </w:p>
    <w:p>
      <w:pPr>
        <w:pStyle w:val="Heading2"/>
        <w:keepNext/>
      </w:pPr>
      <w:r>
        <w:t>F.2 Issue / attach credentials</w:t>
      </w:r>
    </w:p>
    <w:p>
      <w:pPr>
        <w:spacing w:before="0" w:after="0"/>
        <w:ind w:left="360" w:right="360"/>
      </w:pPr>
      <w:r>
        <w:rPr>
          <w:rFonts w:ascii="Courier New" w:hAnsi="Courier New" w:eastAsia="Courier New"/>
          <w:sz w:val="18"/>
        </w:rPr>
        <w:t>POST /v1/credentials/authority</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"agentDid": "did:agent:base:agt_01J...",</w:t>
      </w:r>
    </w:p>
    <w:p>
      <w:pPr>
        <w:spacing w:before="0" w:after="0"/>
        <w:ind w:left="360" w:right="360"/>
      </w:pPr>
      <w:r>
        <w:rPr>
          <w:rFonts w:ascii="Courier New" w:hAnsi="Courier New" w:eastAsia="Courier New"/>
          <w:sz w:val="18"/>
        </w:rPr>
        <w:t xml:space="preserve">  "issuerDid": "did:web:issuer.example",</w:t>
      </w:r>
    </w:p>
    <w:p>
      <w:pPr>
        <w:spacing w:before="0" w:after="0"/>
        <w:ind w:left="360" w:right="360"/>
      </w:pPr>
      <w:r>
        <w:rPr>
          <w:rFonts w:ascii="Courier New" w:hAnsi="Courier New" w:eastAsia="Courier New"/>
          <w:sz w:val="18"/>
        </w:rPr>
        <w:t xml:space="preserve">  "grants": {</w:t>
      </w:r>
    </w:p>
    <w:p>
      <w:pPr>
        <w:spacing w:before="0" w:after="0"/>
        <w:ind w:left="360" w:right="360"/>
      </w:pPr>
      <w:r>
        <w:rPr>
          <w:rFonts w:ascii="Courier New" w:hAnsi="Courier New" w:eastAsia="Courier New"/>
          <w:sz w:val="18"/>
        </w:rPr>
        <w:t xml:space="preserve">    "assets": ["USDC"],</w:t>
      </w:r>
    </w:p>
    <w:p>
      <w:pPr>
        <w:spacing w:before="0" w:after="0"/>
        <w:ind w:left="360" w:right="360"/>
      </w:pPr>
      <w:r>
        <w:rPr>
          <w:rFonts w:ascii="Courier New" w:hAnsi="Courier New" w:eastAsia="Courier New"/>
          <w:sz w:val="18"/>
        </w:rPr>
        <w:t xml:space="preserve">    "maxPerTxn": "100000000",</w:t>
      </w:r>
    </w:p>
    <w:p>
      <w:pPr>
        <w:spacing w:before="0" w:after="0"/>
        <w:ind w:left="360" w:right="360"/>
      </w:pPr>
      <w:r>
        <w:rPr>
          <w:rFonts w:ascii="Courier New" w:hAnsi="Courier New" w:eastAsia="Courier New"/>
          <w:sz w:val="18"/>
        </w:rPr>
        <w:t xml:space="preserve">    "dailyLimit": "500000000",</w:t>
      </w:r>
    </w:p>
    <w:p>
      <w:pPr>
        <w:spacing w:before="0" w:after="0"/>
        <w:ind w:left="360" w:right="360"/>
      </w:pPr>
      <w:r>
        <w:rPr>
          <w:rFonts w:ascii="Courier New" w:hAnsi="Courier New" w:eastAsia="Courier New"/>
          <w:sz w:val="18"/>
        </w:rPr>
        <w:t xml:space="preserve">    "counterpartyMode": "allowlist",</w:t>
      </w:r>
    </w:p>
    <w:p>
      <w:pPr>
        <w:spacing w:before="0" w:after="0"/>
        <w:ind w:left="360" w:right="360"/>
      </w:pPr>
      <w:r>
        <w:rPr>
          <w:rFonts w:ascii="Courier New" w:hAnsi="Courier New" w:eastAsia="Courier New"/>
          <w:sz w:val="18"/>
        </w:rPr>
        <w:t xml:space="preserve">    "allowlistedRecipients": ["0xabc...", "did:web:svc.example:billing-agent"],</w:t>
      </w:r>
    </w:p>
    <w:p>
      <w:pPr>
        <w:spacing w:before="0" w:after="0"/>
        <w:ind w:left="360" w:right="360"/>
      </w:pPr>
      <w:r>
        <w:rPr>
          <w:rFonts w:ascii="Courier New" w:hAnsi="Courier New" w:eastAsia="Courier New"/>
          <w:sz w:val="18"/>
        </w:rPr>
        <w:t xml:space="preserve">    "executionModes": ["human_confirmed", "pre_authorized"]</w:t>
      </w:r>
    </w:p>
    <w:p>
      <w:pPr>
        <w:spacing w:before="0" w:after="0"/>
        <w:ind w:left="360" w:right="360"/>
      </w:pPr>
      <w:r>
        <w:rPr>
          <w:rFonts w:ascii="Courier New" w:hAnsi="Courier New" w:eastAsia="Courier New"/>
          <w:sz w:val="18"/>
        </w:rPr>
        <w:t xml:space="preserve">  },</w:t>
      </w:r>
    </w:p>
    <w:p>
      <w:pPr>
        <w:spacing w:before="0" w:after="0"/>
        <w:ind w:left="360" w:right="360"/>
      </w:pPr>
      <w:r>
        <w:rPr>
          <w:rFonts w:ascii="Courier New" w:hAnsi="Courier New" w:eastAsia="Courier New"/>
          <w:sz w:val="18"/>
        </w:rPr>
        <w:t xml:space="preserve">  "validUntil": "2027-12-31T00:00:00Z"</w:t>
      </w:r>
    </w:p>
    <w:p>
      <w:pPr>
        <w:spacing w:before="0" w:after="0"/>
        <w:ind w:left="360" w:right="360"/>
      </w:pPr>
      <w:r>
        <w:rPr>
          <w:rFonts w:ascii="Courier New" w:hAnsi="Courier New" w:eastAsia="Courier New"/>
          <w:sz w:val="18"/>
        </w:rPr>
        <w:t>}</w:t>
      </w:r>
    </w:p>
    <w:p>
      <w:pPr>
        <w:pStyle w:val="Heading2"/>
        <w:keepNext/>
      </w:pPr>
      <w:r>
        <w:t>F.3 Open agent account</w:t>
      </w:r>
    </w:p>
    <w:p>
      <w:pPr>
        <w:spacing w:before="0" w:after="0"/>
        <w:ind w:left="360" w:right="360"/>
      </w:pPr>
      <w:r>
        <w:rPr>
          <w:rFonts w:ascii="Courier New" w:hAnsi="Courier New" w:eastAsia="Courier New"/>
          <w:sz w:val="18"/>
        </w:rPr>
        <w:t>POST /v1/accounts</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"agentDid": "did:agent:base:agt_01J...",</w:t>
      </w:r>
    </w:p>
    <w:p>
      <w:pPr>
        <w:spacing w:before="0" w:after="0"/>
        <w:ind w:left="360" w:right="360"/>
      </w:pPr>
      <w:r>
        <w:rPr>
          <w:rFonts w:ascii="Courier New" w:hAnsi="Courier New" w:eastAsia="Courier New"/>
          <w:sz w:val="18"/>
        </w:rPr>
        <w:t xml:space="preserve">  "chain": "base-mainnet",</w:t>
      </w:r>
    </w:p>
    <w:p>
      <w:pPr>
        <w:spacing w:before="0" w:after="0"/>
        <w:ind w:left="360" w:right="360"/>
      </w:pPr>
      <w:r>
        <w:rPr>
          <w:rFonts w:ascii="Courier New" w:hAnsi="Courier New" w:eastAsia="Courier New"/>
          <w:sz w:val="18"/>
        </w:rPr>
        <w:t xml:space="preserve">  "accountTemplate": "erc4337-v1",</w:t>
      </w:r>
    </w:p>
    <w:p>
      <w:pPr>
        <w:spacing w:before="0" w:after="0"/>
        <w:ind w:left="360" w:right="360"/>
      </w:pPr>
      <w:r>
        <w:rPr>
          <w:rFonts w:ascii="Courier New" w:hAnsi="Courier New" w:eastAsia="Courier New"/>
          <w:sz w:val="18"/>
        </w:rPr>
        <w:t xml:space="preserve">  "policyHash": "0x...",</w:t>
      </w:r>
    </w:p>
    <w:p>
      <w:pPr>
        <w:spacing w:before="0" w:after="0"/>
        <w:ind w:left="360" w:right="360"/>
      </w:pPr>
      <w:r>
        <w:rPr>
          <w:rFonts w:ascii="Courier New" w:hAnsi="Courier New" w:eastAsia="Courier New"/>
          <w:sz w:val="18"/>
        </w:rPr>
        <w:t xml:space="preserve">  "initialBudget": {"asset": "USDC", "amount": "1000000000"}</w:t>
      </w:r>
    </w:p>
    <w:p>
      <w:pPr>
        <w:spacing w:before="0" w:after="0"/>
        <w:ind w:left="360" w:right="360"/>
      </w:pPr>
      <w:r>
        <w:rPr>
          <w:rFonts w:ascii="Courier New" w:hAnsi="Courier New" w:eastAsia="Courier New"/>
          <w:sz w:val="18"/>
        </w:rPr>
        <w:t>}</w:t>
      </w:r>
    </w:p>
    <w:p>
      <w:pPr>
        <w:pStyle w:val="Heading2"/>
        <w:keepNext/>
      </w:pPr>
      <w:r>
        <w:t>F.4 Create payment intent</w:t>
      </w:r>
    </w:p>
    <w:p>
      <w:pPr>
        <w:spacing w:before="0" w:after="0"/>
        <w:ind w:left="360" w:right="360"/>
      </w:pPr>
      <w:r>
        <w:rPr>
          <w:rFonts w:ascii="Courier New" w:hAnsi="Courier New" w:eastAsia="Courier New"/>
          <w:sz w:val="18"/>
        </w:rPr>
        <w:t>POST /v1/payment-intents</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"agentDid": "did:agent:base:agt_01J...",</w:t>
      </w:r>
    </w:p>
    <w:p>
      <w:pPr>
        <w:spacing w:before="0" w:after="0"/>
        <w:ind w:left="360" w:right="360"/>
      </w:pPr>
      <w:r>
        <w:rPr>
          <w:rFonts w:ascii="Courier New" w:hAnsi="Courier New" w:eastAsia="Courier New"/>
          <w:sz w:val="18"/>
        </w:rPr>
        <w:t xml:space="preserve">  "payee": {"type": "address", "value": "0xdef..."},</w:t>
      </w:r>
    </w:p>
    <w:p>
      <w:pPr>
        <w:spacing w:before="0" w:after="0"/>
        <w:ind w:left="360" w:right="360"/>
      </w:pPr>
      <w:r>
        <w:rPr>
          <w:rFonts w:ascii="Courier New" w:hAnsi="Courier New" w:eastAsia="Courier New"/>
          <w:sz w:val="18"/>
        </w:rPr>
        <w:t xml:space="preserve">  "asset": "USDC",</w:t>
      </w:r>
    </w:p>
    <w:p>
      <w:pPr>
        <w:spacing w:before="0" w:after="0"/>
        <w:ind w:left="360" w:right="360"/>
      </w:pPr>
      <w:r>
        <w:rPr>
          <w:rFonts w:ascii="Courier New" w:hAnsi="Courier New" w:eastAsia="Courier New"/>
          <w:sz w:val="18"/>
        </w:rPr>
        <w:t xml:space="preserve">  "amount": "2500000",</w:t>
      </w:r>
    </w:p>
    <w:p>
      <w:pPr>
        <w:spacing w:before="0" w:after="0"/>
        <w:ind w:left="360" w:right="360"/>
      </w:pPr>
      <w:r>
        <w:rPr>
          <w:rFonts w:ascii="Courier New" w:hAnsi="Courier New" w:eastAsia="Courier New"/>
          <w:sz w:val="18"/>
        </w:rPr>
        <w:t xml:space="preserve">  "purpose": "api_usage_invoice_2026_03",</w:t>
      </w:r>
    </w:p>
    <w:p>
      <w:pPr>
        <w:spacing w:before="0" w:after="0"/>
        <w:ind w:left="360" w:right="360"/>
      </w:pPr>
      <w:r>
        <w:rPr>
          <w:rFonts w:ascii="Courier New" w:hAnsi="Courier New" w:eastAsia="Courier New"/>
          <w:sz w:val="18"/>
        </w:rPr>
        <w:t xml:space="preserve">  "executionMode": "pre_authorized",</w:t>
      </w:r>
    </w:p>
    <w:p>
      <w:pPr>
        <w:spacing w:before="0" w:after="0"/>
        <w:ind w:left="360" w:right="360"/>
      </w:pPr>
      <w:r>
        <w:rPr>
          <w:rFonts w:ascii="Courier New" w:hAnsi="Courier New" w:eastAsia="Courier New"/>
          <w:sz w:val="18"/>
        </w:rPr>
        <w:t xml:space="preserve">  "connector": "onchain_token",</w:t>
      </w:r>
    </w:p>
    <w:p>
      <w:pPr>
        <w:spacing w:before="0" w:after="0"/>
        <w:ind w:left="360" w:right="360"/>
      </w:pPr>
      <w:r>
        <w:rPr>
          <w:rFonts w:ascii="Courier New" w:hAnsi="Courier New" w:eastAsia="Courier New"/>
          <w:sz w:val="18"/>
        </w:rPr>
        <w:t xml:space="preserve">  "idempotencyKey": "pi-2026-03-16-001"</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r>
    </w:p>
    <w:p>
      <w:pPr>
        <w:spacing w:before="0" w:after="0"/>
        <w:ind w:left="360" w:right="360"/>
      </w:pPr>
      <w:r>
        <w:rPr>
          <w:rFonts w:ascii="Courier New" w:hAnsi="Courier New" w:eastAsia="Courier New"/>
          <w:sz w:val="18"/>
        </w:rPr>
        <w:t>201 Created</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"intentId": "pi_01J...",</w:t>
      </w:r>
    </w:p>
    <w:p>
      <w:pPr>
        <w:spacing w:before="0" w:after="0"/>
        <w:ind w:left="360" w:right="360"/>
      </w:pPr>
      <w:r>
        <w:rPr>
          <w:rFonts w:ascii="Courier New" w:hAnsi="Courier New" w:eastAsia="Courier New"/>
          <w:sz w:val="18"/>
        </w:rPr>
        <w:t xml:space="preserve">  "status": "pending_verification",</w:t>
      </w:r>
    </w:p>
    <w:p>
      <w:pPr>
        <w:spacing w:before="0" w:after="0"/>
        <w:ind w:left="360" w:right="360"/>
      </w:pPr>
      <w:r>
        <w:rPr>
          <w:rFonts w:ascii="Courier New" w:hAnsi="Courier New" w:eastAsia="Courier New"/>
          <w:sz w:val="18"/>
        </w:rPr>
        <w:t xml:space="preserve">  "policyDecision": "allow",</w:t>
      </w:r>
    </w:p>
    <w:p>
      <w:pPr>
        <w:spacing w:before="0" w:after="0"/>
        <w:ind w:left="360" w:right="360"/>
      </w:pPr>
      <w:r>
        <w:rPr>
          <w:rFonts w:ascii="Courier New" w:hAnsi="Courier New" w:eastAsia="Courier New"/>
          <w:sz w:val="18"/>
        </w:rPr>
        <w:t xml:space="preserve">  "expiresAt": "2026-03-16T12:00:00Z"</w:t>
      </w:r>
    </w:p>
    <w:p>
      <w:pPr>
        <w:spacing w:before="0" w:after="0"/>
        <w:ind w:left="360" w:right="360"/>
      </w:pPr>
      <w:r>
        <w:rPr>
          <w:rFonts w:ascii="Courier New" w:hAnsi="Courier New" w:eastAsia="Courier New"/>
          <w:sz w:val="18"/>
        </w:rPr>
        <w:t>}</w:t>
      </w:r>
    </w:p>
    <w:p>
      <w:pPr>
        <w:pStyle w:val="Heading2"/>
        <w:keepNext/>
      </w:pPr>
      <w:r>
        <w:t>F.5 Approve intent</w:t>
      </w:r>
    </w:p>
    <w:p>
      <w:pPr>
        <w:spacing w:before="0" w:after="0"/>
        <w:ind w:left="360" w:right="360"/>
      </w:pPr>
      <w:r>
        <w:rPr>
          <w:rFonts w:ascii="Courier New" w:hAnsi="Courier New" w:eastAsia="Courier New"/>
          <w:sz w:val="18"/>
        </w:rPr>
        <w:t>POST /v1/payment-intents/{intentId}/approve</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"approverDid": "did:web:org.example:treasury",</w:t>
      </w:r>
    </w:p>
    <w:p>
      <w:pPr>
        <w:spacing w:before="0" w:after="0"/>
        <w:ind w:left="360" w:right="360"/>
      </w:pPr>
      <w:r>
        <w:rPr>
          <w:rFonts w:ascii="Courier New" w:hAnsi="Courier New" w:eastAsia="Courier New"/>
          <w:sz w:val="18"/>
        </w:rPr>
        <w:t xml:space="preserve">  "approvalSignature": "0x...",</w:t>
      </w:r>
    </w:p>
    <w:p>
      <w:pPr>
        <w:spacing w:before="0" w:after="0"/>
        <w:ind w:left="360" w:right="360"/>
      </w:pPr>
      <w:r>
        <w:rPr>
          <w:rFonts w:ascii="Courier New" w:hAnsi="Courier New" w:eastAsia="Courier New"/>
          <w:sz w:val="18"/>
        </w:rPr>
        <w:t xml:space="preserve">  "note": "Approved under monthly budget"</w:t>
      </w:r>
    </w:p>
    <w:p>
      <w:pPr>
        <w:spacing w:before="0" w:after="0"/>
        <w:ind w:left="360" w:right="360"/>
      </w:pPr>
      <w:r>
        <w:rPr>
          <w:rFonts w:ascii="Courier New" w:hAnsi="Courier New" w:eastAsia="Courier New"/>
          <w:sz w:val="18"/>
        </w:rPr>
        <w:t>}</w:t>
      </w:r>
    </w:p>
    <w:p>
      <w:pPr>
        <w:pStyle w:val="Heading2"/>
        <w:keepNext/>
      </w:pPr>
      <w:r>
        <w:t>F.6 Query receipt</w:t>
      </w:r>
    </w:p>
    <w:p>
      <w:pPr>
        <w:spacing w:before="0" w:after="0"/>
        <w:ind w:left="360" w:right="360"/>
      </w:pPr>
      <w:r>
        <w:rPr>
          <w:rFonts w:ascii="Courier New" w:hAnsi="Courier New" w:eastAsia="Courier New"/>
          <w:sz w:val="18"/>
        </w:rPr>
        <w:t>GET /v1/payment-intents/{intentId}/receipt</w:t>
      </w:r>
    </w:p>
    <w:p>
      <w:pPr>
        <w:spacing w:before="0" w:after="0"/>
        <w:ind w:left="360" w:right="360"/>
      </w:pPr>
      <w:r>
        <w:rPr>
          <w:rFonts w:ascii="Courier New" w:hAnsi="Courier New" w:eastAsia="Courier New"/>
          <w:sz w:val="18"/>
        </w:rPr>
        <w:t>200 OK</w:t>
      </w:r>
    </w:p>
    <w:p>
      <w:pPr>
        <w:spacing w:before="0" w:after="0"/>
        <w:ind w:left="360" w:right="360"/>
      </w:pPr>
      <w:r>
        <w:rPr>
          <w:rFonts w:ascii="Courier New" w:hAnsi="Courier New" w:eastAsia="Courier New"/>
          <w:sz w:val="18"/>
        </w:rPr>
        <w:t>{</w:t>
      </w:r>
    </w:p>
    <w:p>
      <w:pPr>
        <w:spacing w:before="0" w:after="0"/>
        <w:ind w:left="360" w:right="360"/>
      </w:pPr>
      <w:r>
        <w:rPr>
          <w:rFonts w:ascii="Courier New" w:hAnsi="Courier New" w:eastAsia="Courier New"/>
          <w:sz w:val="18"/>
        </w:rPr>
        <w:t xml:space="preserve">  "intentId": "pi_01J...",</w:t>
      </w:r>
    </w:p>
    <w:p>
      <w:pPr>
        <w:spacing w:before="0" w:after="0"/>
        <w:ind w:left="360" w:right="360"/>
      </w:pPr>
      <w:r>
        <w:rPr>
          <w:rFonts w:ascii="Courier New" w:hAnsi="Courier New" w:eastAsia="Courier New"/>
          <w:sz w:val="18"/>
        </w:rPr>
        <w:t xml:space="preserve">  "status": "executed",</w:t>
      </w:r>
    </w:p>
    <w:p>
      <w:pPr>
        <w:spacing w:before="0" w:after="0"/>
        <w:ind w:left="360" w:right="360"/>
      </w:pPr>
      <w:r>
        <w:rPr>
          <w:rFonts w:ascii="Courier New" w:hAnsi="Courier New" w:eastAsia="Courier New"/>
          <w:sz w:val="18"/>
        </w:rPr>
        <w:t xml:space="preserve">  "txHash": "0x...",</w:t>
      </w:r>
    </w:p>
    <w:p>
      <w:pPr>
        <w:spacing w:before="0" w:after="0"/>
        <w:ind w:left="360" w:right="360"/>
      </w:pPr>
      <w:r>
        <w:rPr>
          <w:rFonts w:ascii="Courier New" w:hAnsi="Courier New" w:eastAsia="Courier New"/>
          <w:sz w:val="18"/>
        </w:rPr>
        <w:t xml:space="preserve">  "receiptHash": "0x...",</w:t>
      </w:r>
    </w:p>
    <w:p>
      <w:pPr>
        <w:spacing w:before="0" w:after="0"/>
        <w:ind w:left="360" w:right="360"/>
      </w:pPr>
      <w:r>
        <w:rPr>
          <w:rFonts w:ascii="Courier New" w:hAnsi="Courier New" w:eastAsia="Courier New"/>
          <w:sz w:val="18"/>
        </w:rPr>
        <w:t xml:space="preserve">  "connector": "onchain_token",</w:t>
      </w:r>
    </w:p>
    <w:p>
      <w:pPr>
        <w:spacing w:before="0" w:after="0"/>
        <w:ind w:left="360" w:right="360"/>
      </w:pPr>
      <w:r>
        <w:rPr>
          <w:rFonts w:ascii="Courier New" w:hAnsi="Courier New" w:eastAsia="Courier New"/>
          <w:sz w:val="18"/>
        </w:rPr>
        <w:t xml:space="preserve">  "executedAt": "2026-03-16T11:21:45Z"</w:t>
      </w:r>
    </w:p>
    <w:p>
      <w:pPr>
        <w:spacing w:before="0" w:after="0"/>
        <w:ind w:left="360" w:right="360"/>
      </w:pPr>
      <w:r>
        <w:rPr>
          <w:rFonts w:ascii="Courier New" w:hAnsi="Courier New" w:eastAsia="Courier New"/>
          <w:sz w:val="18"/>
        </w:rPr>
        <w:t>}</w:t>
      </w:r>
    </w:p>
    <w:p>
      <w:pPr>
        <w:pStyle w:val="Heading2"/>
      </w:pPr>
      <w:r>
        <w:t>F.7 Event contract</w:t>
      </w:r>
    </w:p>
    <w:p>
      <w:pPr>
        <w:spacing w:before="0" w:after="0"/>
        <w:ind w:left="360" w:right="360"/>
      </w:pPr>
      <w:r>
        <w:rPr>
          <w:rFonts w:ascii="Courier New" w:hAnsi="Courier New" w:eastAsia="Courier New"/>
          <w:sz w:val="18"/>
        </w:rPr>
        <w:t>agent.created</w:t>
      </w:r>
    </w:p>
    <w:p>
      <w:pPr>
        <w:spacing w:before="0" w:after="0"/>
        <w:ind w:left="360" w:right="360"/>
      </w:pPr>
      <w:r>
        <w:rPr>
          <w:rFonts w:ascii="Courier New" w:hAnsi="Courier New" w:eastAsia="Courier New"/>
          <w:sz w:val="18"/>
        </w:rPr>
        <w:t>agent.status.changed</w:t>
      </w:r>
    </w:p>
    <w:p>
      <w:pPr>
        <w:spacing w:before="0" w:after="0"/>
        <w:ind w:left="360" w:right="360"/>
      </w:pPr>
      <w:r>
        <w:rPr>
          <w:rFonts w:ascii="Courier New" w:hAnsi="Courier New" w:eastAsia="Courier New"/>
          <w:sz w:val="18"/>
        </w:rPr>
        <w:t>credential.issued</w:t>
      </w:r>
    </w:p>
    <w:p>
      <w:pPr>
        <w:spacing w:before="0" w:after="0"/>
        <w:ind w:left="360" w:right="360"/>
      </w:pPr>
      <w:r>
        <w:rPr>
          <w:rFonts w:ascii="Courier New" w:hAnsi="Courier New" w:eastAsia="Courier New"/>
          <w:sz w:val="18"/>
        </w:rPr>
        <w:t>credential.revoked</w:t>
      </w:r>
    </w:p>
    <w:p>
      <w:pPr>
        <w:spacing w:before="0" w:after="0"/>
        <w:ind w:left="360" w:right="360"/>
      </w:pPr>
      <w:r>
        <w:rPr>
          <w:rFonts w:ascii="Courier New" w:hAnsi="Courier New" w:eastAsia="Courier New"/>
          <w:sz w:val="18"/>
        </w:rPr>
        <w:t>account.created</w:t>
      </w:r>
    </w:p>
    <w:p>
      <w:pPr>
        <w:spacing w:before="0" w:after="0"/>
        <w:ind w:left="360" w:right="360"/>
      </w:pPr>
      <w:r>
        <w:rPr>
          <w:rFonts w:ascii="Courier New" w:hAnsi="Courier New" w:eastAsia="Courier New"/>
          <w:sz w:val="18"/>
        </w:rPr>
        <w:t>payment_intent.created</w:t>
      </w:r>
    </w:p>
    <w:p>
      <w:pPr>
        <w:spacing w:before="0" w:after="0"/>
        <w:ind w:left="360" w:right="360"/>
      </w:pPr>
      <w:r>
        <w:rPr>
          <w:rFonts w:ascii="Courier New" w:hAnsi="Courier New" w:eastAsia="Courier New"/>
          <w:sz w:val="18"/>
        </w:rPr>
        <w:t>payment_intent.decisioned</w:t>
      </w:r>
    </w:p>
    <w:p>
      <w:pPr>
        <w:spacing w:before="0" w:after="0"/>
        <w:ind w:left="360" w:right="360"/>
      </w:pPr>
      <w:r>
        <w:rPr>
          <w:rFonts w:ascii="Courier New" w:hAnsi="Courier New" w:eastAsia="Courier New"/>
          <w:sz w:val="18"/>
        </w:rPr>
        <w:t>payment_intent.approved</w:t>
      </w:r>
    </w:p>
    <w:p>
      <w:pPr>
        <w:spacing w:before="0" w:after="0"/>
        <w:ind w:left="360" w:right="360"/>
      </w:pPr>
      <w:r>
        <w:rPr>
          <w:rFonts w:ascii="Courier New" w:hAnsi="Courier New" w:eastAsia="Courier New"/>
          <w:sz w:val="18"/>
        </w:rPr>
        <w:t>payment_intent.executed</w:t>
      </w:r>
    </w:p>
    <w:p>
      <w:pPr>
        <w:spacing w:before="0" w:after="0"/>
        <w:ind w:left="360" w:right="360"/>
      </w:pPr>
      <w:r>
        <w:rPr>
          <w:rFonts w:ascii="Courier New" w:hAnsi="Courier New" w:eastAsia="Courier New"/>
          <w:sz w:val="18"/>
        </w:rPr>
        <w:t>payment_intent.failed</w:t>
      </w:r>
    </w:p>
    <w:p>
      <w:pPr>
        <w:spacing w:before="0" w:after="0"/>
        <w:ind w:left="360" w:right="360"/>
      </w:pPr>
      <w:r>
        <w:rPr>
          <w:rFonts w:ascii="Courier New" w:hAnsi="Courier New" w:eastAsia="Courier New"/>
          <w:sz w:val="18"/>
        </w:rPr>
        <w:t>receipt.committed</w:t>
      </w:r>
    </w:p>
    <w:p>
      <w:pPr>
        <w:spacing w:before="0" w:after="0"/>
        <w:ind w:left="360" w:right="360"/>
      </w:pPr>
      <w:r>
        <w:rPr>
          <w:rFonts w:ascii="Courier New" w:hAnsi="Courier New" w:eastAsia="Courier New"/>
          <w:sz w:val="18"/>
        </w:rPr>
        <w:t>risk.alert.raised</w:t>
      </w:r>
    </w:p>
    <w:p>
      <w:r>
        <w:br w:type="page"/>
      </w:r>
    </w:p>
    <w:p>
      <w:pPr>
        <w:pStyle w:val="Heading1"/>
      </w:pPr>
      <w:r>
        <w:t>Appendix G. Risk matrix and control plan</w:t>
      </w:r>
    </w:p>
    <w:p>
      <w:r>
        <w:t>This matrix is deliberately practical. It should be used as the baseline for security review, compliance sign-off, and pilot gating.</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Risk</w:t>
            </w:r>
          </w:p>
        </w:tc>
        <w:tc>
          <w:tcPr>
            <w:tcW w:type="dxa" w:w="2436"/>
          </w:tcPr>
          <w:p>
            <w:r>
              <w:t>Likelihood</w:t>
            </w:r>
          </w:p>
        </w:tc>
        <w:tc>
          <w:tcPr>
            <w:tcW w:type="dxa" w:w="2436"/>
          </w:tcPr>
          <w:p>
            <w:r>
              <w:t>Impact</w:t>
            </w:r>
          </w:p>
        </w:tc>
        <w:tc>
          <w:tcPr>
            <w:tcW w:type="dxa" w:w="2436"/>
          </w:tcPr>
          <w:p>
            <w:r>
              <w:t>Primary controls</w:t>
            </w:r>
          </w:p>
        </w:tc>
      </w:tr>
      <w:tr>
        <w:tc>
          <w:tcPr>
            <w:tcW w:type="dxa" w:w="2436"/>
          </w:tcPr>
          <w:p>
            <w:r>
              <w:t>Credential forgery or misuse</w:t>
            </w:r>
          </w:p>
        </w:tc>
        <w:tc>
          <w:tcPr>
            <w:tcW w:type="dxa" w:w="2436"/>
          </w:tcPr>
          <w:p>
            <w:r>
              <w:t>Medium</w:t>
            </w:r>
          </w:p>
        </w:tc>
        <w:tc>
          <w:tcPr>
            <w:tcW w:type="dxa" w:w="2436"/>
          </w:tcPr>
          <w:p>
            <w:r>
              <w:t>High</w:t>
            </w:r>
          </w:p>
        </w:tc>
        <w:tc>
          <w:tcPr>
            <w:tcW w:type="dxa" w:w="2436"/>
          </w:tcPr>
          <w:p>
            <w:r>
              <w:t>Use issuer allowlists, signed credential verification, revocation checks, and short validity windows.</w:t>
            </w:r>
          </w:p>
        </w:tc>
      </w:tr>
      <w:tr>
        <w:tc>
          <w:tcPr>
            <w:tcW w:type="dxa" w:w="2436"/>
          </w:tcPr>
          <w:p>
            <w:r>
              <w:t>Stolen session key</w:t>
            </w:r>
          </w:p>
        </w:tc>
        <w:tc>
          <w:tcPr>
            <w:tcW w:type="dxa" w:w="2436"/>
          </w:tcPr>
          <w:p>
            <w:r>
              <w:t>Medium</w:t>
            </w:r>
          </w:p>
        </w:tc>
        <w:tc>
          <w:tcPr>
            <w:tcW w:type="dxa" w:w="2436"/>
          </w:tcPr>
          <w:p>
            <w:r>
              <w:t>High</w:t>
            </w:r>
          </w:p>
        </w:tc>
        <w:tc>
          <w:tcPr>
            <w:tcW w:type="dxa" w:w="2436"/>
          </w:tcPr>
          <w:p>
            <w:r>
              <w:t>Short-lived session keys, scope-bound grants, device/service attestation, rapid freeze path.</w:t>
            </w:r>
          </w:p>
        </w:tc>
      </w:tr>
      <w:tr>
        <w:tc>
          <w:tcPr>
            <w:tcW w:type="dxa" w:w="2436"/>
          </w:tcPr>
          <w:p>
            <w:r>
              <w:t>Policy bypass via connector edge case</w:t>
            </w:r>
          </w:p>
        </w:tc>
        <w:tc>
          <w:tcPr>
            <w:tcW w:type="dxa" w:w="2436"/>
          </w:tcPr>
          <w:p>
            <w:r>
              <w:t>Low to Medium</w:t>
            </w:r>
          </w:p>
        </w:tc>
        <w:tc>
          <w:tcPr>
            <w:tcW w:type="dxa" w:w="2436"/>
          </w:tcPr>
          <w:p>
            <w:r>
              <w:t>High</w:t>
            </w:r>
          </w:p>
        </w:tc>
        <w:tc>
          <w:tcPr>
            <w:tcW w:type="dxa" w:w="2436"/>
          </w:tcPr>
          <w:p>
            <w:r>
              <w:t>Re-validate at execution time, connector-specific policy adapters, invariant tests.</w:t>
            </w:r>
          </w:p>
        </w:tc>
      </w:tr>
      <w:tr>
        <w:tc>
          <w:tcPr>
            <w:tcW w:type="dxa" w:w="2436"/>
          </w:tcPr>
          <w:p>
            <w:r>
              <w:t>Replay of payment intent</w:t>
            </w:r>
          </w:p>
        </w:tc>
        <w:tc>
          <w:tcPr>
            <w:tcW w:type="dxa" w:w="2436"/>
          </w:tcPr>
          <w:p>
            <w:r>
              <w:t>Medium</w:t>
            </w:r>
          </w:p>
        </w:tc>
        <w:tc>
          <w:tcPr>
            <w:tcW w:type="dxa" w:w="2436"/>
          </w:tcPr>
          <w:p>
            <w:r>
              <w:t>Medium</w:t>
            </w:r>
          </w:p>
        </w:tc>
        <w:tc>
          <w:tcPr>
            <w:tcW w:type="dxa" w:w="2436"/>
          </w:tcPr>
          <w:p>
            <w:r>
              <w:t>Intent nonce domains, idempotency keys, deadlines, and duplicate receipt rejection.</w:t>
            </w:r>
          </w:p>
        </w:tc>
      </w:tr>
      <w:tr>
        <w:tc>
          <w:tcPr>
            <w:tcW w:type="dxa" w:w="2436"/>
          </w:tcPr>
          <w:p>
            <w:r>
              <w:t>Compromised issuer or policy authority</w:t>
            </w:r>
          </w:p>
        </w:tc>
        <w:tc>
          <w:tcPr>
            <w:tcW w:type="dxa" w:w="2436"/>
          </w:tcPr>
          <w:p>
            <w:r>
              <w:t>Low</w:t>
            </w:r>
          </w:p>
        </w:tc>
        <w:tc>
          <w:tcPr>
            <w:tcW w:type="dxa" w:w="2436"/>
          </w:tcPr>
          <w:p>
            <w:r>
              <w:t>Critical</w:t>
            </w:r>
          </w:p>
        </w:tc>
        <w:tc>
          <w:tcPr>
            <w:tcW w:type="dxa" w:w="2436"/>
          </w:tcPr>
          <w:p>
            <w:r>
              <w:t>Separate issuer roles, quorum controls, emergency trust-list updates, audit and rollback process.</w:t>
            </w:r>
          </w:p>
        </w:tc>
      </w:tr>
      <w:tr>
        <w:tc>
          <w:tcPr>
            <w:tcW w:type="dxa" w:w="2436"/>
          </w:tcPr>
          <w:p>
            <w:r>
              <w:t>Incorrect KYC mapping to wrong owner or agent</w:t>
            </w:r>
          </w:p>
        </w:tc>
        <w:tc>
          <w:tcPr>
            <w:tcW w:type="dxa" w:w="2436"/>
          </w:tcPr>
          <w:p>
            <w:r>
              <w:t>Low to Medium</w:t>
            </w:r>
          </w:p>
        </w:tc>
        <w:tc>
          <w:tcPr>
            <w:tcW w:type="dxa" w:w="2436"/>
          </w:tcPr>
          <w:p>
            <w:r>
              <w:t>High</w:t>
            </w:r>
          </w:p>
        </w:tc>
        <w:tc>
          <w:tcPr>
            <w:tcW w:type="dxa" w:w="2436"/>
          </w:tcPr>
          <w:p>
            <w:r>
              <w:t>Ownership VC review, issuer metadata checks, dual confirmation during activation.</w:t>
            </w:r>
          </w:p>
        </w:tc>
      </w:tr>
      <w:tr>
        <w:tc>
          <w:tcPr>
            <w:tcW w:type="dxa" w:w="2436"/>
          </w:tcPr>
          <w:p>
            <w:r>
              <w:t>On-chain/off-chain state divergence</w:t>
            </w:r>
          </w:p>
        </w:tc>
        <w:tc>
          <w:tcPr>
            <w:tcW w:type="dxa" w:w="2436"/>
          </w:tcPr>
          <w:p>
            <w:r>
              <w:t>Medium</w:t>
            </w:r>
          </w:p>
        </w:tc>
        <w:tc>
          <w:tcPr>
            <w:tcW w:type="dxa" w:w="2436"/>
          </w:tcPr>
          <w:p>
            <w:r>
              <w:t>High</w:t>
            </w:r>
          </w:p>
        </w:tc>
        <w:tc>
          <w:tcPr>
            <w:tcW w:type="dxa" w:w="2436"/>
          </w:tcPr>
          <w:p>
            <w:r>
              <w:t>Periodic reconciliation jobs, authoritative receipt hashes, status anchoring, repair tooling.</w:t>
            </w:r>
          </w:p>
        </w:tc>
      </w:tr>
      <w:tr>
        <w:tc>
          <w:tcPr>
            <w:tcW w:type="dxa" w:w="2436"/>
          </w:tcPr>
          <w:p>
            <w:r>
              <w:t>Abuse of autonomous mode</w:t>
            </w:r>
          </w:p>
        </w:tc>
        <w:tc>
          <w:tcPr>
            <w:tcW w:type="dxa" w:w="2436"/>
          </w:tcPr>
          <w:p>
            <w:r>
              <w:t>Medium</w:t>
            </w:r>
          </w:p>
        </w:tc>
        <w:tc>
          <w:tcPr>
            <w:tcW w:type="dxa" w:w="2436"/>
          </w:tcPr>
          <w:p>
            <w:r>
              <w:t>High</w:t>
            </w:r>
          </w:p>
        </w:tc>
        <w:tc>
          <w:tcPr>
            <w:tcW w:type="dxa" w:w="2436"/>
          </w:tcPr>
          <w:p>
            <w:r>
              <w:t>Default to human-confirmed or pre-authorized only, bounded scopes, anomaly detection, spend throttles.</w:t>
            </w:r>
          </w:p>
        </w:tc>
      </w:tr>
      <w:tr>
        <w:tc>
          <w:tcPr>
            <w:tcW w:type="dxa" w:w="2436"/>
          </w:tcPr>
          <w:p>
            <w:r>
              <w:t>Partner connector outage</w:t>
            </w:r>
          </w:p>
        </w:tc>
        <w:tc>
          <w:tcPr>
            <w:tcW w:type="dxa" w:w="2436"/>
          </w:tcPr>
          <w:p>
            <w:r>
              <w:t>High</w:t>
            </w:r>
          </w:p>
        </w:tc>
        <w:tc>
          <w:tcPr>
            <w:tcW w:type="dxa" w:w="2436"/>
          </w:tcPr>
          <w:p>
            <w:r>
              <w:t>Medium</w:t>
            </w:r>
          </w:p>
        </w:tc>
        <w:tc>
          <w:tcPr>
            <w:tcW w:type="dxa" w:w="2436"/>
          </w:tcPr>
          <w:p>
            <w:r>
              <w:t>Circuit breakers, quote fallback, retry logic, connector health scoring, rollback policies.</w:t>
            </w:r>
          </w:p>
        </w:tc>
      </w:tr>
      <w:tr>
        <w:tc>
          <w:tcPr>
            <w:tcW w:type="dxa" w:w="2436"/>
          </w:tcPr>
          <w:p>
            <w:r>
              <w:t>Privacy leakage from excessive on-chain metadata</w:t>
            </w:r>
          </w:p>
        </w:tc>
        <w:tc>
          <w:tcPr>
            <w:tcW w:type="dxa" w:w="2436"/>
          </w:tcPr>
          <w:p>
            <w:r>
              <w:t>Medium</w:t>
            </w:r>
          </w:p>
        </w:tc>
        <w:tc>
          <w:tcPr>
            <w:tcW w:type="dxa" w:w="2436"/>
          </w:tcPr>
          <w:p>
            <w:r>
              <w:t>High</w:t>
            </w:r>
          </w:p>
        </w:tc>
        <w:tc>
          <w:tcPr>
            <w:tcW w:type="dxa" w:w="2436"/>
          </w:tcPr>
          <w:p>
            <w:r>
              <w:t>Hash commitments only, minimal public fields, redaction of business context to off-chain storage.</w:t>
            </w:r>
          </w:p>
        </w:tc>
      </w:tr>
    </w:tbl>
    <w:p>
      <w:pPr>
        <w:pStyle w:val="Heading2"/>
      </w:pPr>
      <w:r>
        <w:t>G.1 Pilot gate checklist</w:t>
      </w:r>
    </w:p>
    <w:p>
      <w:pPr>
        <w:pStyle w:val="ListBullet"/>
      </w:pPr>
      <w:r>
        <w:t>Only one chain, one stablecoin, and one or two approved counterparties in the first production pilot.</w:t>
      </w:r>
    </w:p>
    <w:p>
      <w:pPr>
        <w:pStyle w:val="ListBullet"/>
      </w:pPr>
      <w:r>
        <w:t>Autonomous mode disabled until end-to-end revocation, freeze, and audit paths have been exercised in staging.</w:t>
      </w:r>
    </w:p>
    <w:p>
      <w:pPr>
        <w:pStyle w:val="ListBullet"/>
      </w:pPr>
      <w:r>
        <w:t>At least one independent security review of account modules, registries, and intent validation logic before production funds are enabled.</w:t>
      </w:r>
    </w:p>
    <w:p>
      <w:pPr>
        <w:pStyle w:val="ListBullet"/>
      </w:pPr>
      <w:r>
        <w:t>Issuers, connectors, and governance authorities documented in a machine-readable trust registry and a human-readable control matrix.</w:t>
      </w:r>
    </w:p>
    <w:p>
      <w:r>
        <w:br w:type="page"/>
      </w:r>
    </w:p>
    <w:p>
      <w:pPr>
        <w:pStyle w:val="Heading1"/>
      </w:pPr>
      <w:r>
        <w:t>Appendix H. Business model and go-to-market chapter</w:t>
      </w:r>
    </w:p>
    <w:p>
      <w:r>
        <w:t>The purpose of this chapter is to translate the technical stack into a business that can be piloted, sold, and expanded without over-promising. The recommended market position is not “another wallet” and not “a universal exchange.” The recommended position is: an identity-and-authority base layer for agent finance, with controlled account opening and programmable payment execution as the first paid products.</w:t>
      </w:r>
    </w:p>
    <w:p>
      <w:pPr>
        <w:pStyle w:val="Heading2"/>
        <w:keepNext/>
      </w:pPr>
      <w:r>
        <w:t>H.1 Product packaging</w:t>
      </w:r>
    </w:p>
    <w:p>
      <w:pPr>
        <w:pStyle w:val="ListBullet"/>
      </w:pPr>
      <w:r>
        <w:t>Identity package: Agent DID creation, owner-agent binding, revocation, and trust registry access.</w:t>
      </w:r>
    </w:p>
    <w:p>
      <w:pPr>
        <w:pStyle w:val="ListBullet"/>
      </w:pPr>
      <w:r>
        <w:t>Compliance package: issuance and verification of Ownership VC, KYC/KYB VC, and Authority VC with audit logs.</w:t>
      </w:r>
    </w:p>
    <w:p>
      <w:pPr>
        <w:pStyle w:val="ListBullet"/>
      </w:pPr>
      <w:r>
        <w:t>Account package: ERC-4337 smart accounts, budget partitions, session keys, paymaster controls, and recovery paths.</w:t>
      </w:r>
    </w:p>
    <w:p>
      <w:pPr>
        <w:pStyle w:val="ListBullet"/>
      </w:pPr>
      <w:r>
        <w:t>Payments package: payment intent API, policy evaluation, connector execution, receipts, and monitoring.</w:t>
      </w:r>
    </w:p>
    <w:p>
      <w:pPr>
        <w:pStyle w:val="Heading2"/>
        <w:keepNext/>
      </w:pPr>
      <w:r>
        <w:t>H.2 Target customers</w:t>
      </w:r>
    </w:p>
    <w:p>
      <w:pPr>
        <w:pStyle w:val="ListBullet"/>
      </w:pPr>
      <w:r>
        <w:t>AI-native platforms that want their agents to hold budgets and pay for bounded services.</w:t>
      </w:r>
    </w:p>
    <w:p>
      <w:pPr>
        <w:pStyle w:val="ListBullet"/>
      </w:pPr>
      <w:r>
        <w:t>Enterprise treasury or workflow teams that need software agents to execute limited payments under governance.</w:t>
      </w:r>
    </w:p>
    <w:p>
      <w:pPr>
        <w:pStyle w:val="ListBullet"/>
      </w:pPr>
      <w:r>
        <w:t>Wallets, exchanges, or payment providers that want agent onboarding and policy-controlled execution without building identity from scratch.</w:t>
      </w:r>
    </w:p>
    <w:p>
      <w:pPr>
        <w:pStyle w:val="ListBullet"/>
      </w:pPr>
      <w:r>
        <w:t>Agent marketplaces and service networks that need machine-readable identity, settlement, and receipts.</w:t>
      </w:r>
    </w:p>
    <w:p>
      <w:pPr>
        <w:pStyle w:val="Heading2"/>
        <w:keepNext/>
      </w:pPr>
      <w:r>
        <w:t>H.3 Monetization model</w:t>
      </w:r>
    </w:p>
    <w:p>
      <w:pPr>
        <w:pStyle w:val="ListBullet"/>
      </w:pPr>
      <w:r>
        <w:t>Platform fee for verified agent account creation and lifecycle management.</w:t>
      </w:r>
    </w:p>
    <w:p>
      <w:pPr>
        <w:pStyle w:val="ListBullet"/>
      </w:pPr>
      <w:r>
        <w:t>Credential issuance / verification fee per active agent or per credential set.</w:t>
      </w:r>
    </w:p>
    <w:p>
      <w:pPr>
        <w:pStyle w:val="ListBullet"/>
      </w:pPr>
      <w:r>
        <w:t>Usage fee per payment intent evaluated or executed.</w:t>
      </w:r>
    </w:p>
    <w:p>
      <w:pPr>
        <w:pStyle w:val="ListBullet"/>
      </w:pPr>
      <w:r>
        <w:t>Connector fee or revenue share on bridge / venue / regulated payment rails when applicable.</w:t>
      </w:r>
    </w:p>
    <w:p>
      <w:pPr>
        <w:pStyle w:val="ListBullet"/>
      </w:pPr>
      <w:r>
        <w:t>Enterprise subscription for policy engine, trust registry, observability, and compliance exports.</w:t>
      </w:r>
    </w:p>
    <w:p>
      <w:pPr>
        <w:pStyle w:val="Heading2"/>
        <w:keepNext/>
      </w:pPr>
      <w:r>
        <w:t>H.4 Why the first wedge should be payments, not trading</w:t>
      </w:r>
    </w:p>
    <w:p>
      <w:pPr>
        <w:pStyle w:val="ListBullet"/>
      </w:pPr>
      <w:r>
        <w:t>Payments have narrower policy surfaces and clearer approval semantics than fully autonomous trading.</w:t>
      </w:r>
    </w:p>
    <w:p>
      <w:pPr>
        <w:pStyle w:val="ListBullet"/>
      </w:pPr>
      <w:r>
        <w:t>Payment receipts are easier to verify than trading profit attribution or best-execution claims.</w:t>
      </w:r>
    </w:p>
    <w:p>
      <w:pPr>
        <w:pStyle w:val="ListBullet"/>
      </w:pPr>
      <w:r>
        <w:t>Enterprise and platform buyers can adopt bounded service payments before they are ready to authorize broader market activity.</w:t>
      </w:r>
    </w:p>
    <w:p>
      <w:pPr>
        <w:pStyle w:val="ListBullet"/>
      </w:pPr>
      <w:r>
        <w:t>Once account, authority, and receipt primitives are trusted, the same base layer can be extended to venue access and trading rights.</w:t>
      </w:r>
    </w:p>
    <w:p>
      <w:pPr>
        <w:pStyle w:val="Heading2"/>
        <w:keepNext/>
      </w:pPr>
      <w:r>
        <w:t>H.5 Go-to-market sequence</w:t>
      </w:r>
    </w:p>
    <w:p>
      <w:pPr>
        <w:pStyle w:val="ListBullet"/>
      </w:pPr>
      <w:r>
        <w:t>Phase 1: sandbox developer product for agent account creation and stablecoin payment intents.</w:t>
      </w:r>
    </w:p>
    <w:p>
      <w:pPr>
        <w:pStyle w:val="ListBullet"/>
      </w:pPr>
      <w:r>
        <w:t>Phase 2: controlled pilot with one enterprise or platform treasury using approved counterparties only.</w:t>
      </w:r>
    </w:p>
    <w:p>
      <w:pPr>
        <w:pStyle w:val="ListBullet"/>
      </w:pPr>
      <w:r>
        <w:t>Phase 3: add connector integrations and compliance reporting for regulated or hybrid settlement paths.</w:t>
      </w:r>
    </w:p>
    <w:p>
      <w:pPr>
        <w:pStyle w:val="ListBullet"/>
      </w:pPr>
      <w:r>
        <w:t>Phase 4: expand to venue access credentials and narrowly scoped trading authority modules.</w:t>
      </w:r>
    </w:p>
    <w:p>
      <w:pPr>
        <w:pStyle w:val="Heading2"/>
        <w:keepNext/>
      </w:pPr>
      <w:r>
        <w:t>H.6 Positioning statement</w:t>
      </w:r>
    </w:p>
    <w:p>
      <w:pPr>
        <w:pStyle w:val="ListBullet"/>
      </w:pPr>
      <w:r>
        <w:t>The company should position itself as the trust, authority, and execution control layer for agent finance.</w:t>
      </w:r>
    </w:p>
    <w:p>
      <w:pPr>
        <w:pStyle w:val="ListBullet"/>
      </w:pPr>
      <w:r>
        <w:t>It should avoid positioning itself as a broad consumer wallet or a full autonomous trading venue in v1.</w:t>
      </w:r>
    </w:p>
    <w:p>
      <w:r>
        <w:br w:type="page"/>
      </w:r>
    </w:p>
    <w:p>
      <w:pPr>
        <w:pStyle w:val="Heading1"/>
      </w:pPr>
      <w:r>
        <w:t>Appendix D. AP2 compatibility and adoption plan</w:t>
      </w:r>
    </w:p>
    <w:p>
      <w:pPr/>
      <w:r>
        <w:t>This appendix turns the AP2 review into an implementation decision. The conclusion is to own the identity-and-authority substrate, then expose a compatibility layer that can emit or consume AP2-style mandate artifacts where commerce and payment integrations require them.</w:t>
      </w:r>
    </w:p>
    <w:p>
      <w:pPr>
        <w:pStyle w:val="Heading2"/>
      </w:pPr>
      <w:r>
        <w:t>D.1 What AP2 already provides well</w:t>
      </w:r>
    </w:p>
    <w:p>
      <w:pPr>
        <w:pStyle w:val="ListBullet"/>
      </w:pPr>
      <w:r>
        <w:t>A role-based model for user, shopping agent, merchant, credential provider, issuer, and payment processor interactions.</w:t>
      </w:r>
    </w:p>
    <w:p>
      <w:pPr>
        <w:pStyle w:val="ListBullet"/>
      </w:pPr>
      <w:r>
        <w:t>A mandate-centered trust model built around Cart Mandate, Intent Mandate, and Payment Mandate.</w:t>
      </w:r>
    </w:p>
    <w:p>
      <w:pPr>
        <w:pStyle w:val="ListBullet"/>
      </w:pPr>
      <w:r>
        <w:t>Human-present and human-not-present transaction journeys, including challenge escalation to a trusted surface.</w:t>
      </w:r>
    </w:p>
    <w:p>
      <w:pPr>
        <w:pStyle w:val="ListBullet"/>
      </w:pPr>
      <w:r>
        <w:t>Dispute and liability framing that preserves evidence about user authorization, merchant commitment, and payment execution context.</w:t>
      </w:r>
    </w:p>
    <w:p>
      <w:pPr>
        <w:pStyle w:val="ListBullet"/>
      </w:pPr>
      <w:r>
        <w:t>A practical bridge into existing payment ecosystems that still expect merchant, issuer, and challenge semantics.</w:t>
      </w:r>
    </w:p>
    <w:p>
      <w:pPr>
        <w:pStyle w:val="Heading2"/>
      </w:pPr>
      <w:r>
        <w:t>D.2 Where AP2 stops and our stack begins</w:t>
      </w:r>
    </w:p>
    <w:p>
      <w:pPr/>
      <w:r>
        <w:t>AP2 is not a full on-chain identity, account, and policy substrate. It does not give a complete design for agent DID lifecycle, owner–agent binding, KYC/KYB credential schemas, smart-account opening, revocation registries, budget partitions, or generalized agent-to-agent financial authority. Those are the layers we must own to support not only commerce checkout, but also treasury, wallet, cross-venue access, and later agent-to-agent payments and trading.</w:t>
      </w:r>
    </w:p>
    <w:p>
      <w:pPr>
        <w:pStyle w:val="Heading2"/>
      </w:pPr>
      <w:r>
        <w:t>D.3 Recommended layering</w:t>
      </w:r>
    </w:p>
    <w:p>
      <w:pPr>
        <w:pStyle w:val="ListBullet"/>
      </w:pPr>
      <w:r>
        <w:t>Layer 1 — Identity: Owner DID, Institution DID, Agent DID, DID resolution, controller changes, key rotation, suspension, and deactivation.</w:t>
      </w:r>
    </w:p>
    <w:p>
      <w:pPr>
        <w:pStyle w:val="ListBullet"/>
      </w:pPr>
      <w:r>
        <w:t>Layer 2 — Credentials: Ownership VC, KYC/KYB Result VC, Authority VC, Status/Risk VC, plus presentation and revocation checks.</w:t>
      </w:r>
    </w:p>
    <w:p>
      <w:pPr>
        <w:pStyle w:val="ListBullet"/>
      </w:pPr>
      <w:r>
        <w:t>Layer 3 — Accounts: ERC-4337 or equivalent smart accounts, treasury partitions, session keys, signer management, and account status registry.</w:t>
      </w:r>
    </w:p>
    <w:p>
      <w:pPr>
        <w:pStyle w:val="ListBullet"/>
      </w:pPr>
      <w:r>
        <w:t>Layer 4 — Policy: amount limits, asset scope, counterparty allowlists, venue scope, geography scope, challenge thresholds, and kill-switches.</w:t>
      </w:r>
    </w:p>
    <w:p>
      <w:pPr>
        <w:pStyle w:val="ListBullet"/>
      </w:pPr>
      <w:r>
        <w:t>Layer 5 — Execution: payment intent evaluation, stablecoin transfer or connector call, receipt anchoring, and audit logging.</w:t>
      </w:r>
    </w:p>
    <w:p>
      <w:pPr>
        <w:pStyle w:val="ListBullet"/>
      </w:pPr>
      <w:r>
        <w:t>Layer 6 — AP2 compatibility: transform internal intents and authority proofs into Cart/Intent/Payment-mandate style payloads for external flows.</w:t>
      </w:r>
    </w:p>
    <w:p>
      <w:pPr>
        <w:pStyle w:val="Heading2"/>
      </w:pPr>
      <w:r>
        <w:t>D.4 Mapping our objects to AP2 concepts</w:t>
      </w:r>
    </w:p>
    <w:p>
      <w:pPr/>
      <w:r>
        <w:t>Internal object mapping should be explicit. Ownership VC maps to the trusted proof that a given agent is acting for a responsible owner. Authority VC plus policy evaluation maps to the precondition for any AP2-like Intent Mandate. A user-confirmed checkout object can be projected into a Cart-Mandate-like artifact. A payment-intent execution approval can be projected into a Payment-Mandate-like artifact suitable for merchant, processor, issuer, or credential-provider flows. This means AP2 becomes a serialization and interop target for delegated payment proof, not the source of truth for identity or permissions.</w:t>
      </w:r>
    </w:p>
    <w:p>
      <w:pPr>
        <w:pStyle w:val="Heading2"/>
      </w:pPr>
      <w:r>
        <w:t>D.5 Detailed build plan</w:t>
      </w:r>
    </w:p>
    <w:p>
      <w:pPr>
        <w:pStyle w:val="Heading3"/>
      </w:pPr>
      <w:r>
        <w:t>Phase 0 — protocol definition</w:t>
      </w:r>
    </w:p>
    <w:p>
      <w:pPr>
        <w:pStyle w:val="ListBullet"/>
      </w:pPr>
      <w:r>
        <w:t>Choose DID strategy: hybrid recommendation is web-backed issuer and verifier trust domains with on-chain anchoring for agent/account state.</w:t>
      </w:r>
    </w:p>
    <w:p>
      <w:pPr>
        <w:pStyle w:val="ListBullet"/>
      </w:pPr>
      <w:r>
        <w:t>Define core schemas: Ownership VC, KYC/KYB Result VC, Authority VC, Status/Risk VC, Payment Intent, Receipt Attestation, Challenge Record.</w:t>
      </w:r>
    </w:p>
    <w:p>
      <w:pPr>
        <w:pStyle w:val="ListBullet"/>
      </w:pPr>
      <w:r>
        <w:t>Define revocation model: credential status list or status endpoint, plus on-chain account/agent suspension flags.</w:t>
      </w:r>
    </w:p>
    <w:p>
      <w:pPr>
        <w:pStyle w:val="ListBullet"/>
      </w:pPr>
      <w:r>
        <w:t>Define policy semantics and execution modes: human-confirmed, pre-authorized, and fully agent-native.</w:t>
      </w:r>
    </w:p>
    <w:p>
      <w:pPr>
        <w:pStyle w:val="Heading3"/>
      </w:pPr>
      <w:r>
        <w:t>Phase 1 — identity and account substrate</w:t>
      </w:r>
    </w:p>
    <w:p>
      <w:pPr>
        <w:pStyle w:val="ListBullet"/>
      </w:pPr>
      <w:r>
        <w:t>Implement DID issuance and resolution for owner, institution, and agent subjects.</w:t>
      </w:r>
    </w:p>
    <w:p>
      <w:pPr>
        <w:pStyle w:val="ListBullet"/>
      </w:pPr>
      <w:r>
        <w:t>Implement ownership binding and key-rotation flows.</w:t>
      </w:r>
    </w:p>
    <w:p>
      <w:pPr>
        <w:pStyle w:val="ListBullet"/>
      </w:pPr>
      <w:r>
        <w:t>Integrate KYC/KYB provider and issue result credentials rather than storing raw KYC payloads in the product domain.</w:t>
      </w:r>
    </w:p>
    <w:p>
      <w:pPr>
        <w:pStyle w:val="ListBullet"/>
      </w:pPr>
      <w:r>
        <w:t>Create agent smart accounts and treasury partitions after credential validation.</w:t>
      </w:r>
    </w:p>
    <w:p>
      <w:pPr>
        <w:pStyle w:val="ListBullet"/>
      </w:pPr>
      <w:r>
        <w:t>Implement account registry contract with fields for agent DID, owner DID reference, account address, policy hash, status, and timestamps.</w:t>
      </w:r>
    </w:p>
    <w:p>
      <w:pPr>
        <w:pStyle w:val="Heading3"/>
      </w:pPr>
      <w:r>
        <w:t>Phase 2 — policy and payment execution</w:t>
      </w:r>
    </w:p>
    <w:p>
      <w:pPr>
        <w:pStyle w:val="ListBullet"/>
      </w:pPr>
      <w:r>
        <w:t>Implement payment-intent API that captures payer DID, payee, asset, amount, purpose, authority reference, and execution mode.</w:t>
      </w:r>
    </w:p>
    <w:p>
      <w:pPr>
        <w:pStyle w:val="ListBullet"/>
      </w:pPr>
      <w:r>
        <w:t>Implement policy engine that resolves DIDs, verifies credential validity, checks revocation, evaluates allow/hold/deny, and determines whether a trusted-surface challenge is required.</w:t>
      </w:r>
    </w:p>
    <w:p>
      <w:pPr>
        <w:pStyle w:val="ListBullet"/>
      </w:pPr>
      <w:r>
        <w:t>Support stablecoin payment execution first; treat card or fiat connectors as later adapters.</w:t>
      </w:r>
    </w:p>
    <w:p>
      <w:pPr>
        <w:pStyle w:val="ListBullet"/>
      </w:pPr>
      <w:r>
        <w:t>Record receipt hashes and execution attestations on-chain while storing rich logs off-chain.</w:t>
      </w:r>
    </w:p>
    <w:p>
      <w:pPr>
        <w:pStyle w:val="Heading3"/>
      </w:pPr>
      <w:r>
        <w:t>Phase 3 — AP2 interop adapter</w:t>
      </w:r>
    </w:p>
    <w:p>
      <w:pPr>
        <w:pStyle w:val="ListBullet"/>
      </w:pPr>
      <w:r>
        <w:t>Implement transformation logic from internal authority and checkout objects into AP2-style Cart Mandate, Intent Mandate, and Payment Mandate payloads when an external partner expects them.</w:t>
      </w:r>
    </w:p>
    <w:p>
      <w:pPr>
        <w:pStyle w:val="ListBullet"/>
      </w:pPr>
      <w:r>
        <w:t>Implement trusted-surface challenge routing compatible with AP2-style flows for higher-risk actions.</w:t>
      </w:r>
    </w:p>
    <w:p>
      <w:pPr>
        <w:pStyle w:val="ListBullet"/>
      </w:pPr>
      <w:r>
        <w:t>Implement dispute package generation so the system can export user authorization evidence, merchant commitment evidence, and payment execution evidence in AP2-friendly form.</w:t>
      </w:r>
    </w:p>
    <w:p>
      <w:pPr>
        <w:pStyle w:val="Heading2"/>
      </w:pPr>
      <w:r>
        <w:t>D.6 Trusted surface model</w:t>
      </w:r>
    </w:p>
    <w:p>
      <w:pPr/>
      <w:r>
        <w:t>A trusted surface is mandatory for higher-risk approvals. In our architecture the trusted surface is not the agent runtime itself. It is a user-controlled or institution-controlled channel, such as a wallet app, banking app, custody console, or enterprise approval surface. The policy engine should be able to require trusted-surface confirmation based on amount, counterparty, geography, asset type, or anomaly score. This directly aligns with AP2’s challenge and step-up logic while keeping our internal identity and policy substrate chain-native.</w:t>
      </w:r>
    </w:p>
    <w:p>
      <w:pPr>
        <w:pStyle w:val="Heading2"/>
      </w:pPr>
      <w:r>
        <w:t>D.7 Technical design choices we should lock early</w:t>
      </w:r>
    </w:p>
    <w:p>
      <w:pPr>
        <w:pStyle w:val="ListBullet"/>
      </w:pPr>
      <w:r>
        <w:t>Whether the primary trust anchor is did:web plus on-chain anchoring, or a fully on-chain DID method from day one.</w:t>
      </w:r>
    </w:p>
    <w:p>
      <w:pPr>
        <w:pStyle w:val="ListBullet"/>
      </w:pPr>
      <w:r>
        <w:t>Whether credentials are held directly by the owner wallet, by a custody service, or by a credential vault bound to the smart account.</w:t>
      </w:r>
    </w:p>
    <w:p>
      <w:pPr>
        <w:pStyle w:val="ListBullet"/>
      </w:pPr>
      <w:r>
        <w:t>Whether the policy engine runs fully off-chain with on-chain commitments, or partially on-chain for a subset of hard rules.</w:t>
      </w:r>
    </w:p>
    <w:p>
      <w:pPr>
        <w:pStyle w:val="ListBullet"/>
      </w:pPr>
      <w:r>
        <w:t>Whether AP2 compatibility is emitted only for merchant/checkout connectors, or generalized to all delegated payment authorizations.</w:t>
      </w:r>
    </w:p>
    <w:p>
      <w:pPr>
        <w:pStyle w:val="ListBullet"/>
      </w:pPr>
      <w:r>
        <w:t>Whether challenge fulfillment returns a fresh short-lived approval credential, a signed attestation, or a one-time session capability.</w:t>
      </w:r>
    </w:p>
    <w:p>
      <w:pPr>
        <w:pStyle w:val="Heading2"/>
      </w:pPr>
      <w:r>
        <w:t>D.8 Why this strategy is preferable</w:t>
      </w:r>
    </w:p>
    <w:p>
      <w:pPr/>
      <w:r>
        <w:t>This strategy preserves control over the most defensible layers: identity, account opening, authority, policy, and receipts. It avoids locking the stack to a commerce-specific protocol while still making the platform immediately interoperable with an important emerging standard for agent payments. In short: we build the substrate, then speak AP2 at the edge.</w:t>
      </w:r>
    </w:p>
    <w:p>
      <w:pPr>
        <w:pStyle w:val="Heading2"/>
      </w:pPr>
      <w:r>
        <w:t>D.9 Additional AP2 references</w:t>
      </w:r>
    </w:p>
    <w:p>
      <w:pPr/>
      <w:r>
        <w:t>AP2 specification — https://ap2-protocol.org/specification/</w:t>
      </w:r>
    </w:p>
    <w:p>
      <w:pPr/>
      <w:r>
        <w:t>Life of a Transaction — https://ap2-protocol.org/topics/life-of-a-transaction/</w:t>
      </w:r>
    </w:p>
    <w:p>
      <w:pPr/>
      <w:r>
        <w:t>Google Cloud AP2 announcement — https://cloud.google.com/blog/products/ai-machine-learning/announcing-agents-to-payments-ap2-protocol</w:t>
      </w:r>
    </w:p>
    <w:p>
      <w:pPr/>
      <w:r>
        <w:t>Google Agentic Commerce AP2 repository — https://github.com/google-agentic-commerce/AP2</w:t>
      </w:r>
    </w:p>
    <w:p>
      <w:pPr/>
      <w:r>
        <w:t>DeepWiki AP2 overview — https://deepwiki.com/google-agentic-commerce/AP2</w:t>
      </w:r>
    </w:p>
    <w:p>
      <w:r>
        <w:br w:type="page"/>
      </w:r>
    </w:p>
    <w:p>
      <w:pPr>
        <w:pStyle w:val="Heading1"/>
      </w:pPr>
      <w:r>
        <w:t>E. Token economy implications for Web4 agent financial infrastructure</w:t>
      </w:r>
    </w:p>
    <w:p>
      <w:r>
        <w:t>This section integrates the recent “token economy” framing from NVIDIA GTC into the architecture. The goal is not to introduce a speculative crypto-token thesis. Instead, the point is that inference tokens and related AI-compute quotas are emerging as first-class economic units for agent systems. In a Web4 market, agents may need to manage not only money, but also compute budget, action budget, and policy-constrained access to tools and models.</w:t>
      </w:r>
    </w:p>
    <w:p>
      <w:pPr>
        <w:pStyle w:val="Heading2"/>
      </w:pPr>
      <w:r>
        <w:t>E.1 Why token economy matters to this architecture</w:t>
      </w:r>
    </w:p>
    <w:p>
      <w:r>
        <w:t>The current white paper already argues that agent finance should begin with identity, authority, account opening, and payment. The token-economy lens extends that thesis: the account of an autonomous agent should not be treated as a simple crypto wallet. It should be treated as a multi-resource operating account that can hold and govern several classes of value at once.</w:t>
      </w:r>
    </w:p>
    <w:p>
      <w:pPr>
        <w:pStyle w:val="ListBullet"/>
      </w:pPr>
      <w:r>
        <w:t>Monetary value: stablecoins, crypto assets, settlement balances, and withdrawals.</w:t>
      </w:r>
    </w:p>
    <w:p>
      <w:pPr>
        <w:pStyle w:val="ListBullet"/>
      </w:pPr>
      <w:r>
        <w:t>Compute value: inference-token quotas, model-usage credits, tool-call quotas, and API budgets.</w:t>
      </w:r>
    </w:p>
    <w:p>
      <w:pPr>
        <w:pStyle w:val="ListBullet"/>
      </w:pPr>
      <w:r>
        <w:t>Authority value: policy-based rights to spend, trade, route, invoke tools, or escalate to challenge flows.</w:t>
      </w:r>
    </w:p>
    <w:p>
      <w:pPr>
        <w:pStyle w:val="ListBullet"/>
      </w:pPr>
      <w:r>
        <w:t>Reputation value: trust score, execution reliability, policy history, and revocation status.</w:t>
      </w:r>
    </w:p>
    <w:p>
      <w:r>
        <w:t>The practical implication is that Web4 infrastructure should manage money, compute, and authority together. If future agents consume and exchange compute-intensive services, then many economically meaningful transactions will begin as resource-allocation events and only later settle as money movements.</w:t>
      </w:r>
    </w:p>
    <w:p>
      <w:pPr>
        <w:pStyle w:val="Heading2"/>
      </w:pPr>
      <w:r>
        <w:t>E.2 Expanded account model: from wallet to multi-resource treasury account</w:t>
      </w:r>
    </w:p>
    <w:p>
      <w:r>
        <w:t>A conventional wallet model is too narrow. The recommended design is an Agent Treasury OS that maintains a programmable operating account for each agent. That account can contain multiple ledgers or partitions:</w:t>
      </w:r>
    </w:p>
    <w:p>
      <w:pPr>
        <w:pStyle w:val="ListBullet"/>
      </w:pPr>
      <w:r>
        <w:t>Cash ledger: stablecoin balances and settlement assets.</w:t>
      </w:r>
    </w:p>
    <w:p>
      <w:pPr>
        <w:pStyle w:val="ListBullet"/>
      </w:pPr>
      <w:r>
        <w:t>Compute ledger: inference-token quotas, model-usage allowances, or prepaid provider credits.</w:t>
      </w:r>
    </w:p>
    <w:p>
      <w:pPr>
        <w:pStyle w:val="ListBullet"/>
      </w:pPr>
      <w:r>
        <w:t>Tool ledger: service-specific credits for retrieval, data feeds, verification providers, or external APIs.</w:t>
      </w:r>
    </w:p>
    <w:p>
      <w:pPr>
        <w:pStyle w:val="ListBullet"/>
      </w:pPr>
      <w:r>
        <w:t>Risk ledger: maximum daily loss, maximum position size, challenge thresholds, and escalation flags.</w:t>
      </w:r>
    </w:p>
    <w:p>
      <w:pPr>
        <w:pStyle w:val="ListBullet"/>
      </w:pPr>
      <w:r>
        <w:t>Authority ledger: active mandates, delegated permissions, venue access rights, and revocation state.</w:t>
      </w:r>
    </w:p>
    <w:p>
      <w:r>
        <w:t>This turns the agent account into a financial-and-operational control plane. It is no longer just an address that signs. It becomes the place where budgeting, execution rights, and settlement capacity are jointly managed.</w:t>
      </w:r>
    </w:p>
    <w:p>
      <w:pPr>
        <w:pStyle w:val="Heading2"/>
      </w:pPr>
      <w:r>
        <w:t>E.3 New credential types required by a token-economy model</w:t>
      </w:r>
    </w:p>
    <w:p>
      <w:r>
        <w:t>The original credential set—Ownership VC, KYC/KYB VC, Authority VC, and Policy VC—should be extended to cover resource economics. Suggested additions include:</w:t>
      </w:r>
    </w:p>
    <w:p>
      <w:pPr>
        <w:pStyle w:val="ListBullet"/>
      </w:pPr>
      <w:r>
        <w:t>Compute Budget Credential: states how many inference tokens, provider credits, or model-usage units an agent may consume in a period.</w:t>
      </w:r>
    </w:p>
    <w:p>
      <w:pPr>
        <w:pStyle w:val="ListBullet"/>
      </w:pPr>
      <w:r>
        <w:t>Provider Access Credential: states which model providers, tool providers, or execution networks the agent may use.</w:t>
      </w:r>
    </w:p>
    <w:p>
      <w:pPr>
        <w:pStyle w:val="ListBullet"/>
      </w:pPr>
      <w:r>
        <w:t>Conversion Credential: states whether and how compute budget can be converted into monetary settlement or vice versa.</w:t>
      </w:r>
    </w:p>
    <w:p>
      <w:pPr>
        <w:pStyle w:val="ListBullet"/>
      </w:pPr>
      <w:r>
        <w:t>Replenishment Credential: states whether the system may auto-top-up compute or payment budget under pre-agreed policy limits.</w:t>
      </w:r>
    </w:p>
    <w:p>
      <w:pPr>
        <w:pStyle w:val="ListBullet"/>
      </w:pPr>
      <w:r>
        <w:t>Execution Class Credential: states whether the agent can perform advice-only, user-confirmed, pre-authorized, or fully agent-native actions in a given domain.</w:t>
      </w:r>
    </w:p>
    <w:p>
      <w:r>
        <w:t>These credentials should still be expressed as verifiable credentials rather than packed directly into the DID Document. The DID remains the subject identifier; the credentials express rights, status, and limits.</w:t>
      </w:r>
    </w:p>
    <w:p>
      <w:pPr>
        <w:pStyle w:val="Heading2"/>
      </w:pPr>
      <w:r>
        <w:t>E.4 Resource intents as a sibling to payment intents</w:t>
      </w:r>
    </w:p>
    <w:p>
      <w:r>
        <w:t>The existing architecture introduces Payment Intent objects to separate “requesting a financial action” from “executing a transfer.” The token-economy extension should add a sibling object: Resource Intent. This represents a request to allocate, purchase, consume, convert, or replenish non-cash resources such as inference tokens or tool credits.</w:t>
      </w:r>
    </w:p>
    <w:p>
      <w:r>
        <w:t>Suggested Resource Intent fields:</w:t>
      </w:r>
    </w:p>
    <w:p>
      <w:pPr>
        <w:pStyle w:val="ListBullet"/>
      </w:pPr>
      <w:r>
        <w:t>requestorAgentDid</w:t>
      </w:r>
    </w:p>
    <w:p>
      <w:pPr>
        <w:pStyle w:val="ListBullet"/>
      </w:pPr>
      <w:r>
        <w:t>ownerDid or institutionDid</w:t>
      </w:r>
    </w:p>
    <w:p>
      <w:pPr>
        <w:pStyle w:val="ListBullet"/>
      </w:pPr>
      <w:r>
        <w:t>resourceType (inference, model-credit, tool-credit, data-credit, bandwidth, etc.)</w:t>
      </w:r>
    </w:p>
    <w:p>
      <w:pPr>
        <w:pStyle w:val="ListBullet"/>
      </w:pPr>
      <w:r>
        <w:t>providerId or providerDid</w:t>
      </w:r>
    </w:p>
    <w:p>
      <w:pPr>
        <w:pStyle w:val="ListBullet"/>
      </w:pPr>
      <w:r>
        <w:t>quantity and unit</w:t>
      </w:r>
    </w:p>
    <w:p>
      <w:pPr>
        <w:pStyle w:val="ListBullet"/>
      </w:pPr>
      <w:r>
        <w:t>maxSpend and settlementAsset</w:t>
      </w:r>
    </w:p>
    <w:p>
      <w:pPr>
        <w:pStyle w:val="ListBullet"/>
      </w:pPr>
      <w:r>
        <w:t>purpose and workflowRef</w:t>
      </w:r>
    </w:p>
    <w:p>
      <w:pPr>
        <w:pStyle w:val="ListBullet"/>
      </w:pPr>
      <w:r>
        <w:t>policyRef and authorityRef</w:t>
      </w:r>
    </w:p>
    <w:p>
      <w:pPr>
        <w:pStyle w:val="ListBullet"/>
      </w:pPr>
      <w:r>
        <w:t>executionMode (human-confirmed, pre-authorized, fully agent-native)</w:t>
      </w:r>
    </w:p>
    <w:p>
      <w:pPr>
        <w:pStyle w:val="ListBullet"/>
      </w:pPr>
      <w:r>
        <w:t>expiry, nonce, and replay protections</w:t>
      </w:r>
    </w:p>
    <w:p>
      <w:r>
        <w:t>A Resource Intent may later settle as money, but the object itself should express the economics in native resource units. This avoids forcing every action into a stablecoin-denominated abstraction too early.</w:t>
      </w:r>
    </w:p>
    <w:p>
      <w:pPr>
        <w:pStyle w:val="Heading2"/>
      </w:pPr>
      <w:r>
        <w:t>E.5 Settlement patterns for token economy</w:t>
      </w:r>
    </w:p>
    <w:p>
      <w:r>
        <w:t>The token-economy view changes settlement design. Not every economically meaningful event should trigger an immediate on-chain transfer. The stack should support three settlement patterns in parallel:</w:t>
      </w:r>
    </w:p>
    <w:p>
      <w:r>
        <w:t>1. Real-time settlement. Best for large transfers, high-value agent-to-agent actions, or low-trust counterparties. The payment or resource purchase settles immediately on-chain.</w:t>
      </w:r>
    </w:p>
    <w:p>
      <w:r>
        <w:t>2. Batched settlement. Best for frequent micro-usage, such as repeated agent API calls or model invocations. Resource usage is metered continuously and netted into periodic settlement.</w:t>
      </w:r>
    </w:p>
    <w:p>
      <w:r>
        <w:t>3. Internal-ledger settlement. Best for intra-platform and intra-enterprise workflows. Resource balances and monetary balances are updated on an internal ledger, with periodic reconciliation and optional on-chain anchoring.</w:t>
      </w:r>
    </w:p>
    <w:p>
      <w:r>
        <w:t>This design allows the platform to support high-frequency machine activity without making every tiny event an expensive settlement transaction.</w:t>
      </w:r>
    </w:p>
    <w:p>
      <w:pPr>
        <w:pStyle w:val="Heading2"/>
      </w:pPr>
      <w:r>
        <w:t>E.6 How token economy changes the Web4 infrastructure map</w:t>
      </w:r>
    </w:p>
    <w:p>
      <w:r>
        <w:t>The architecture should therefore be understood as a stack with five tightly coupled cores:</w:t>
      </w:r>
    </w:p>
    <w:p>
      <w:pPr>
        <w:pStyle w:val="ListBullet"/>
      </w:pPr>
      <w:r>
        <w:t>Agent Passport: identity, ownership, KYC/KYB linkage, and reputation.</w:t>
      </w:r>
    </w:p>
    <w:p>
      <w:pPr>
        <w:pStyle w:val="ListBullet"/>
      </w:pPr>
      <w:r>
        <w:t>Agent Mandate Network: delegated authority, challenge rules, trusted surfaces, and execution boundaries.</w:t>
      </w:r>
    </w:p>
    <w:p>
      <w:pPr>
        <w:pStyle w:val="ListBullet"/>
      </w:pPr>
      <w:r>
        <w:t>Agent Treasury OS: smart accounts, sub-accounts, budget ledgers, and programmable controls.</w:t>
      </w:r>
    </w:p>
    <w:p>
      <w:pPr>
        <w:pStyle w:val="ListBullet"/>
      </w:pPr>
      <w:r>
        <w:t>Agent Settlement Rail: money settlement, resource settlement, batching, escrow, and receipts.</w:t>
      </w:r>
    </w:p>
    <w:p>
      <w:pPr>
        <w:pStyle w:val="ListBullet"/>
      </w:pPr>
      <w:r>
        <w:t>Agent Venue Access Layer: trade intents, resource-provider adapters, payment connectors, and market access adapters.</w:t>
      </w:r>
    </w:p>
    <w:p>
      <w:r>
        <w:t>The token-economy view strengthens the case that the real opportunity is not a single wallet or payment app. The opportunity is the control substrate that makes money, compute, and authority interoperable.</w:t>
      </w:r>
    </w:p>
    <w:p>
      <w:pPr>
        <w:pStyle w:val="Heading2"/>
      </w:pPr>
      <w:r>
        <w:t>E.7 Technical components we should add to the roadmap</w:t>
      </w:r>
    </w:p>
    <w:p>
      <w:r>
        <w:t>If the token-economy model is adopted, the implementation roadmap should add the following components:</w:t>
      </w:r>
    </w:p>
    <w:p>
      <w:pPr>
        <w:pStyle w:val="ListBullet"/>
      </w:pPr>
      <w:r>
        <w:t>Compute Budget Registry: tracks available inference and tool budgets by agent and owner.</w:t>
      </w:r>
    </w:p>
    <w:p>
      <w:pPr>
        <w:pStyle w:val="ListBullet"/>
      </w:pPr>
      <w:r>
        <w:t>Provider Quota Connectors: adapters to model providers, tool providers, or marketplaces that expose metered usage and balance state.</w:t>
      </w:r>
    </w:p>
    <w:p>
      <w:pPr>
        <w:pStyle w:val="ListBullet"/>
      </w:pPr>
      <w:r>
        <w:t>Resource Metering Service: normalizes usage events into a canonical format for audit, pricing, and settlement.</w:t>
      </w:r>
    </w:p>
    <w:p>
      <w:pPr>
        <w:pStyle w:val="ListBullet"/>
      </w:pPr>
      <w:r>
        <w:t>Budget-to-Money Converter: translates usage into money obligations under signed pricing schedules.</w:t>
      </w:r>
    </w:p>
    <w:p>
      <w:pPr>
        <w:pStyle w:val="ListBullet"/>
      </w:pPr>
      <w:r>
        <w:t>Auto-Replenishment Policy Engine: allows tightly scoped top-ups based on approved thresholds.</w:t>
      </w:r>
    </w:p>
    <w:p>
      <w:pPr>
        <w:pStyle w:val="ListBullet"/>
      </w:pPr>
      <w:r>
        <w:t>Unified Receipt Model: links resource consumption, payment authorization, and settlement outcomes into one audit object.</w:t>
      </w:r>
    </w:p>
    <w:p>
      <w:pPr>
        <w:pStyle w:val="Heading2"/>
      </w:pPr>
      <w:r>
        <w:t>E.8 Suggested product positioning</w:t>
      </w:r>
    </w:p>
    <w:p>
      <w:r>
        <w:t>With token economy integrated, the product should not be positioned merely as an on-chain payment substrate. A stronger position is: “an identity, authority, treasury, and settlement substrate for agent-native financial and compute markets.” That phrase better captures that the platform is designed for both monetary transactions and machine-native resource economics.</w:t>
      </w:r>
    </w:p>
    <w:p>
      <w:pPr>
        <w:pStyle w:val="Heading2"/>
      </w:pPr>
      <w:r>
        <w:t>E.9 What this changes for go-to-market</w:t>
      </w:r>
    </w:p>
    <w:p>
      <w:r>
        <w:t>The first realistic commercialization opportunities become clearer when token economy is included:</w:t>
      </w:r>
    </w:p>
    <w:p>
      <w:pPr>
        <w:pStyle w:val="ListBullet"/>
      </w:pPr>
      <w:r>
        <w:t>Agent API and tool-call settlement for AI-native products.</w:t>
      </w:r>
    </w:p>
    <w:p>
      <w:pPr>
        <w:pStyle w:val="ListBullet"/>
      </w:pPr>
      <w:r>
        <w:t>Enterprise treasury controls for multi-agent software systems.</w:t>
      </w:r>
    </w:p>
    <w:p>
      <w:pPr>
        <w:pStyle w:val="ListBullet"/>
      </w:pPr>
      <w:r>
        <w:t>Compute-budget passports for organizations that want to govern model access and spending.</w:t>
      </w:r>
    </w:p>
    <w:p>
      <w:pPr>
        <w:pStyle w:val="ListBullet"/>
      </w:pPr>
      <w:r>
        <w:t>Cross-provider settlement for AI workflows that span multiple model and tool vendors.</w:t>
      </w:r>
    </w:p>
    <w:p>
      <w:pPr>
        <w:pStyle w:val="ListBullet"/>
      </w:pPr>
      <w:r>
        <w:t>Payment-plus-compute reporting for regulated or audited environments.</w:t>
      </w:r>
    </w:p>
    <w:p>
      <w:r>
        <w:t>This widens the product beyond “agent payments” and makes it useful to AI engineering, enterprise controls, and financial infrastructure buyers.</w:t>
      </w:r>
    </w:p>
    <w:p>
      <w:pPr>
        <w:pStyle w:val="Heading2"/>
      </w:pPr>
      <w:r>
        <w:t>E.10 Bottom line</w:t>
      </w:r>
    </w:p>
    <w:p>
      <w:r>
        <w:t>The token-economy perspective does not replace the original identity-first architecture. It sharpens it. It suggests that the future agent account must manage more than financial balances: it must also manage compute rights, action rights, and conversion paths between resources and money. For this reason, DID, VC, account opening, policy, and settlement remain the correct starting point; they simply need to be expanded into a multi-resource framework rather than a money-only framework.</w:t>
      </w:r>
    </w:p>
    <w:p>
      <w:pPr>
        <w:pStyle w:val="Heading1"/>
      </w:pPr>
      <w:r>
        <w:t>F. OpenAI super-app and Google WebMCP implications for Web4 agent financial infrastructure</w:t>
      </w:r>
    </w:p>
    <w:p>
      <w:pPr/>
      <w:r>
        <w:t>This section integrates two recent external signals into the white paper. First, OpenAI’s reported effort to combine the ChatGPT app, browser, and Codex into a desktop “super app” indicates a strategic move to own the primary user and agent entry point for context, tools, and action execution. Second, Google’s WebMCP work indicates a push to make websites expose structured, agent-ready capabilities instead of forcing browser agents to rely on brittle DOM manipulation. Together, these signals strengthen the case that the most valuable Web4 financial opportunity is not a single wallet or payment button, but a unified financial action layer that agents can call natively.</w:t>
      </w:r>
    </w:p>
    <w:p>
      <w:pPr>
        <w:pStyle w:val="Heading2"/>
      </w:pPr>
      <w:r>
        <w:t>F.1 Why these two signals matter</w:t>
      </w:r>
    </w:p>
    <w:p>
      <w:pPr/>
      <w:r>
        <w:t>The OpenAI signal matters because it shows that the next platform battle may be about control of the default action interface: where user intent, context, tool access, and task execution come together. If a super-assistant becomes the primary operating interface, the financial system behind it must be callable as structured actions, not just exposed as human-facing screens.</w:t>
      </w:r>
    </w:p>
    <w:p>
      <w:pPr/>
      <w:r>
        <w:t>The Google WebMCP signal matters because it suggests that the web itself is evolving from “pages that humans click” into “capability surfaces that agents can invoke.” If websites are beginning to expose structured tools to agents, then finance should do the same: account opening, identity presentation, budget checks, payment authorization, settlement, and venue access should all be represented as explicit, typed actions.</w:t>
      </w:r>
    </w:p>
    <w:p>
      <w:pPr>
        <w:pStyle w:val="Heading2"/>
      </w:pPr>
      <w:r>
        <w:t>F.2 Strategic implication for our architecture</w:t>
      </w:r>
    </w:p>
    <w:p>
      <w:pPr/>
      <w:r>
        <w:t>The existing white paper already argues for DID, VC, account, policy, payment, and settlement as the core substrate. The OpenAI and Google developments sharpen that argument and add a missing architectural layer: a capability-exposure layer for agent-native financial actions.</w:t>
      </w:r>
    </w:p>
    <w:p>
      <w:pPr/>
      <w:r>
        <w:t>The revised stack should therefore be understood as follows:</w:t>
      </w:r>
    </w:p>
    <w:p>
      <w:pPr>
        <w:pStyle w:val="ListBullet"/>
      </w:pPr>
      <w:r>
        <w:t>Identity layer: Owner DID, Institution DID, Agent DID, and lifecycle state.</w:t>
      </w:r>
    </w:p>
    <w:p>
      <w:pPr>
        <w:pStyle w:val="ListBullet"/>
      </w:pPr>
      <w:r>
        <w:t>Credential layer: ownership, KYC/KYB, authority, policy, compute budget, and provider access credentials.</w:t>
      </w:r>
    </w:p>
    <w:p>
      <w:pPr>
        <w:pStyle w:val="ListBullet"/>
      </w:pPr>
      <w:r>
        <w:t>Account layer: smart accounts, treasury sub-accounts, and budget ledgers.</w:t>
      </w:r>
    </w:p>
    <w:p>
      <w:pPr>
        <w:pStyle w:val="ListBullet"/>
      </w:pPr>
      <w:r>
        <w:t>Policy and mandate layer: AP2-inspired mandates, challenge rules, trusted surfaces, and execution boundaries.</w:t>
      </w:r>
    </w:p>
    <w:p>
      <w:pPr>
        <w:pStyle w:val="ListBullet"/>
      </w:pPr>
      <w:r>
        <w:t>Financial capability exposure layer: structured declarative and imperative actions that agents can call directly.</w:t>
      </w:r>
    </w:p>
    <w:p>
      <w:pPr>
        <w:pStyle w:val="ListBullet"/>
      </w:pPr>
      <w:r>
        <w:t>Settlement and venue layer: payment intents, resource intents, stablecoin settlement, connectors, and trade/venue adapters.</w:t>
      </w:r>
    </w:p>
    <w:p>
      <w:pPr>
        <w:pStyle w:val="Heading2"/>
      </w:pPr>
      <w:r>
        <w:t>F.3 New layer: financial capability exposure</w:t>
      </w:r>
    </w:p>
    <w:p>
      <w:pPr/>
      <w:r>
        <w:t>This new layer is the direct design response to WebMCP. Instead of requiring agents to drive a wallet UI, browser extension, or exchange front end, the platform should expose machine-readable financial capabilities. In other words, our system should become “agent-ready” in the same sense that WebMCP proposes websites should become agent-ready.</w:t>
      </w:r>
    </w:p>
    <w:p>
      <w:pPr/>
      <w:r>
        <w:t>Two action classes are recommended:</w:t>
      </w:r>
    </w:p>
    <w:p>
      <w:pPr>
        <w:pStyle w:val="ListBullet"/>
      </w:pPr>
      <w:r>
        <w:t>Declarative financial actions: highly structured, bounded actions that can be expressed with stable schemas and simple validation. Examples include resolveIdentity, presentCredential, createAccount, getBudget, createPaymentIntent, authorizePayment, getReceipt, and getSettlementStatus.</w:t>
      </w:r>
    </w:p>
    <w:p>
      <w:pPr>
        <w:pStyle w:val="ListBullet"/>
      </w:pPr>
      <w:r>
        <w:t>Imperative financial actions: more dynamic, multi-step, or context-sensitive actions that require additional planning or execution logic. Examples include routePayment, rebalanceTreasury, performMultiVenueQuote, submitTradeIntent, settleEscrow, and convertComputeBudgetToStablecoin.</w:t>
      </w:r>
    </w:p>
    <w:p>
      <w:pPr/>
      <w:r>
        <w:t>This split mirrors Google’s declarative and imperative WebMCP model and gives the protocol a clean way to support both safe, routine operations and more complex workflows.</w:t>
      </w:r>
    </w:p>
    <w:p>
      <w:pPr>
        <w:pStyle w:val="Heading2"/>
      </w:pPr>
      <w:r>
        <w:t>F.4 OpenAI-style entry point implications</w:t>
      </w:r>
    </w:p>
    <w:p>
      <w:pPr/>
      <w:r>
        <w:t>If OpenAI succeeds in making a unified desktop super app the default interface for work and agentic action, then finance should not remain fragmented across separate KYC portals, wallet screens, payment pop-ups, and exchange UIs. Instead, the financial substrate should behave like a single action environment.</w:t>
      </w:r>
    </w:p>
    <w:p>
      <w:pPr/>
      <w:r>
        <w:t>For our design, this means:</w:t>
      </w:r>
    </w:p>
    <w:p>
      <w:pPr>
        <w:pStyle w:val="ListBullet"/>
      </w:pPr>
      <w:r>
        <w:t>Intent-first workflows should be the norm. A user or agent should express a financial objective, and the system should translate it into typed intents and authorized execution paths.</w:t>
      </w:r>
    </w:p>
    <w:p>
      <w:pPr>
        <w:pStyle w:val="ListBullet"/>
      </w:pPr>
      <w:r>
        <w:t>Context should travel with the action. Identity state, budget state, authority state, risk state, and prior receipts should be available to the orchestration layer.</w:t>
      </w:r>
    </w:p>
    <w:p>
      <w:pPr>
        <w:pStyle w:val="ListBullet"/>
      </w:pPr>
      <w:r>
        <w:t>The primary object is not a page or form, but an action. This strongly supports the white paper’s use of Payment Intent, Resource Intent, and, later, Trade Intent objects.</w:t>
      </w:r>
    </w:p>
    <w:p>
      <w:pPr>
        <w:pStyle w:val="Heading2"/>
      </w:pPr>
      <w:r>
        <w:t>F.5 What this means for product strategy</w:t>
      </w:r>
    </w:p>
    <w:p>
      <w:pPr/>
      <w:r>
        <w:t>OpenAI’s super-app direction suggests that the winning layer may be the default action entry point. Google’s WebMCP suggests that the winning protocol may be the one that standardizes structured capability access. Together, they imply that our positioning should evolve from “agent payment substrate” toward “agent financial action layer.”</w:t>
      </w:r>
    </w:p>
    <w:p>
      <w:pPr/>
      <w:r>
        <w:t>A stronger positioning statement is:</w:t>
      </w:r>
    </w:p>
    <w:p>
      <w:pPr>
        <w:pStyle w:val="IntenseQuote"/>
      </w:pPr>
      <w:r>
        <w:t>An identity, authority, account, and settlement substrate that exposes agent-native financial actions for Web4.</w:t>
      </w:r>
    </w:p>
    <w:p>
      <w:pPr>
        <w:pStyle w:val="Heading2"/>
      </w:pPr>
      <w:r>
        <w:t>F.6 Concrete capability set to add to the roadmap</w:t>
      </w:r>
    </w:p>
    <w:p>
      <w:pPr/>
      <w:r>
        <w:t>The following capability registry should be added to the roadmap and exposed through SDK/API/tool interfaces:</w:t>
      </w:r>
    </w:p>
    <w:p>
      <w:pPr>
        <w:pStyle w:val="ListBullet"/>
      </w:pPr>
      <w:r>
        <w:t>resolveIdentity</w:t>
      </w:r>
    </w:p>
    <w:p>
      <w:pPr>
        <w:pStyle w:val="ListBullet"/>
      </w:pPr>
      <w:r>
        <w:t>presentCredential</w:t>
      </w:r>
    </w:p>
    <w:p>
      <w:pPr>
        <w:pStyle w:val="ListBullet"/>
      </w:pPr>
      <w:r>
        <w:t>createAgentAccount</w:t>
      </w:r>
    </w:p>
    <w:p>
      <w:pPr>
        <w:pStyle w:val="ListBullet"/>
      </w:pPr>
      <w:r>
        <w:t>getAccountState</w:t>
      </w:r>
    </w:p>
    <w:p>
      <w:pPr>
        <w:pStyle w:val="ListBullet"/>
      </w:pPr>
      <w:r>
        <w:t>getBudgetState</w:t>
      </w:r>
    </w:p>
    <w:p>
      <w:pPr>
        <w:pStyle w:val="ListBullet"/>
      </w:pPr>
      <w:r>
        <w:t>createPaymentIntent</w:t>
      </w:r>
    </w:p>
    <w:p>
      <w:pPr>
        <w:pStyle w:val="ListBullet"/>
      </w:pPr>
      <w:r>
        <w:t>authorizeIntent</w:t>
      </w:r>
    </w:p>
    <w:p>
      <w:pPr>
        <w:pStyle w:val="ListBullet"/>
      </w:pPr>
      <w:r>
        <w:t>executePayment</w:t>
      </w:r>
    </w:p>
    <w:p>
      <w:pPr>
        <w:pStyle w:val="ListBullet"/>
      </w:pPr>
      <w:r>
        <w:t>createResourceIntent</w:t>
      </w:r>
    </w:p>
    <w:p>
      <w:pPr>
        <w:pStyle w:val="ListBullet"/>
      </w:pPr>
      <w:r>
        <w:t>authorizeResourceSpend</w:t>
      </w:r>
    </w:p>
    <w:p>
      <w:pPr>
        <w:pStyle w:val="ListBullet"/>
      </w:pPr>
      <w:r>
        <w:t>settleUsage</w:t>
      </w:r>
    </w:p>
    <w:p>
      <w:pPr>
        <w:pStyle w:val="ListBullet"/>
      </w:pPr>
      <w:r>
        <w:t>requestQuote</w:t>
      </w:r>
    </w:p>
    <w:p>
      <w:pPr>
        <w:pStyle w:val="ListBullet"/>
      </w:pPr>
      <w:r>
        <w:t>submitTradeIntent</w:t>
      </w:r>
    </w:p>
    <w:p>
      <w:pPr>
        <w:pStyle w:val="ListBullet"/>
      </w:pPr>
      <w:r>
        <w:t>freezeAgent</w:t>
      </w:r>
    </w:p>
    <w:p>
      <w:pPr>
        <w:pStyle w:val="ListBullet"/>
      </w:pPr>
      <w:r>
        <w:t>revokeCredential</w:t>
      </w:r>
    </w:p>
    <w:p>
      <w:pPr>
        <w:pStyle w:val="ListBullet"/>
      </w:pPr>
      <w:r>
        <w:t>getReceipt</w:t>
      </w:r>
    </w:p>
    <w:p>
      <w:pPr/>
      <w:r>
        <w:t>These functions are not just APIs; they are the candidate building blocks of a future Web4 financial capability protocol.</w:t>
      </w:r>
    </w:p>
    <w:p>
      <w:pPr>
        <w:pStyle w:val="Heading2"/>
      </w:pPr>
      <w:r>
        <w:t>F.7 Build recommendation</w:t>
      </w:r>
    </w:p>
    <w:p>
      <w:pPr/>
      <w:r>
        <w:t>We should not try to build a browser or a chat super app. We should build the financial execution substrate that a future super app, agent runtime, or browser-agent environment can call. That means:</w:t>
      </w:r>
    </w:p>
    <w:p>
      <w:pPr>
        <w:pStyle w:val="ListBullet"/>
      </w:pPr>
      <w:r>
        <w:t>Keep DID, VC, account, and policy as the core proprietary layer.</w:t>
      </w:r>
    </w:p>
    <w:p>
      <w:pPr>
        <w:pStyle w:val="ListBullet"/>
      </w:pPr>
      <w:r>
        <w:t>Remain AP2-compatible for mandates, challenge, trusted surface, and payment authorization semantics.</w:t>
      </w:r>
    </w:p>
    <w:p>
      <w:pPr>
        <w:pStyle w:val="ListBullet"/>
      </w:pPr>
      <w:r>
        <w:t>Add a capability-exposure layer inspired by WebMCP so that finance is callable as structured actions.</w:t>
      </w:r>
    </w:p>
    <w:p>
      <w:pPr>
        <w:pStyle w:val="ListBullet"/>
      </w:pPr>
      <w:r>
        <w:t>Treat the unified entry-point trend as validation that control of action execution matters more than control of isolated UI screens.</w:t>
      </w:r>
    </w:p>
    <w:p>
      <w:pPr>
        <w:pStyle w:val="Heading2"/>
      </w:pPr>
      <w:r>
        <w:t>F.8 Suggested white-paper conclusion after these updates</w:t>
      </w:r>
    </w:p>
    <w:p>
      <w:pPr/>
      <w:r>
        <w:t>Taken together, the token-economy framing, AP2-compatible authorization logic, OpenAI’s move toward a unified super-assistant entry point, and Google’s move toward agent-ready web capabilities all point in the same direction: Web4 financial infrastructure should be built as a structured action substrate. Its foundation is identity and authority; its operating core is programmable account and treasury control; its execution model is intent-, mandate-, and policy-driven; and its external interface is a standard set of agent-native financial capabilities.</w:t>
      </w:r>
    </w:p>
    <w:sectPr w:rsidR="00FC693F" w:rsidRPr="0006063C" w:rsidSect="00034616">
      <w:footerReference w:type="default" r:id="rId9"/>
      <w:pgSz w:w="12240" w:h="15840"/>
      <w:pgMar w:top="124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TR/did-1.1/" TargetMode="External"/><Relationship Id="rId11" Type="http://schemas.openxmlformats.org/officeDocument/2006/relationships/hyperlink" Target="https://www.w3.org/2022/06/DIDRecommendationDecision.html" TargetMode="External"/><Relationship Id="rId12" Type="http://schemas.openxmlformats.org/officeDocument/2006/relationships/hyperlink" Target="https://www.w3.org/TR/vc-data-model-2.0/" TargetMode="External"/><Relationship Id="rId13" Type="http://schemas.openxmlformats.org/officeDocument/2006/relationships/hyperlink" Target="https://openid.net/specs/openid-4-verifiable-credential-issuance-1_0.html" TargetMode="External"/><Relationship Id="rId14" Type="http://schemas.openxmlformats.org/officeDocument/2006/relationships/hyperlink" Target="https://openid.net/specs/openid-4-verifiable-presentations-1_0.html" TargetMode="External"/><Relationship Id="rId15" Type="http://schemas.openxmlformats.org/officeDocument/2006/relationships/hyperlink" Target="https://eips.ethereum.org/EIPS/eip-4337" TargetMode="External"/><Relationship Id="rId16" Type="http://schemas.openxmlformats.org/officeDocument/2006/relationships/hyperlink" Target="https://docs.cdp.coinbase.com/agent-kit/welcome" TargetMode="External"/><Relationship Id="rId17" Type="http://schemas.openxmlformats.org/officeDocument/2006/relationships/hyperlink" Target="https://docs.cdp.coinbase.com/x402/welcome" TargetMode="External"/><Relationship Id="rId18" Type="http://schemas.openxmlformats.org/officeDocument/2006/relationships/hyperlink" Target="https://cloud.google.com/blog/products/ai-machine-learning/announcing-agents-to-payments-ap2-protocol" TargetMode="External"/><Relationship Id="rId19" Type="http://schemas.openxmlformats.org/officeDocument/2006/relationships/hyperlink" Target="https://eips.ethereum.org/EIPS/eip-8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