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pPr w:vertAnchor="page" w:horzAnchor="page" w:leftFromText="180" w:rightFromText="180" w:tblpX="2840" w:tblpY="698"/>
        <w:tblW w:w="1657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25"/>
        <w:gridCol w:w="1065"/>
        <w:gridCol w:w="2903"/>
        <w:gridCol w:w="2552"/>
        <w:gridCol w:w="2726"/>
        <w:gridCol w:w="3086"/>
        <w:gridCol w:w="3113"/>
      </w:tblGrid>
      <w:tr>
        <w:trPr>
          <w:trHeight w:val="990" w:hRule="atLeast"/>
        </w:trPr>
        <w:tc>
          <w:tcPr>
            <w:tcW w:w="16570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rFonts w:hint="eastAsia"/>
                <w:b/>
                <w:bCs/>
                <w:sz w:val="44"/>
                <w:szCs w:val="44"/>
              </w:rPr>
              <w:t>陈政达</w:t>
            </w:r>
            <w:r>
              <w:rPr>
                <w:rFonts w:hint="eastAsia"/>
                <w:b/>
                <w:bCs/>
                <w:sz w:val="44"/>
                <w:szCs w:val="44"/>
              </w:rPr>
              <w:t>7.13-7.17</w:t>
            </w:r>
            <w:r>
              <w:rPr>
                <w:b/>
                <w:bCs/>
                <w:sz w:val="44"/>
                <w:szCs w:val="44"/>
              </w:rPr>
              <w:t>周工作完成表</w:t>
            </w:r>
          </w:p>
        </w:tc>
      </w:tr>
      <w:tr>
        <w:trPr/>
        <w:tc>
          <w:tcPr>
            <w:tcW w:w="219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本周任务</w:t>
            </w:r>
          </w:p>
        </w:tc>
        <w:tc>
          <w:tcPr>
            <w:tcW w:w="14380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完成九江麻将AI实战优化：梳理接口决策链路，完善手牌拆分与限时两层搜索；解决并发堆积和超时；以测试服真实对局的我方净胜分为核心，对比师兄AI并开展30/35参数灰度测试。</w:t>
            </w:r>
          </w:p>
        </w:tc>
      </w:tr>
      <w:tr>
        <w:trPr>
          <w:trHeight w:val="676" w:hRule="atLeast"/>
        </w:trPr>
        <w:tc>
          <w:tcPr>
            <w:tcW w:w="219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星期</w:t>
            </w:r>
          </w:p>
        </w:tc>
        <w:tc>
          <w:tcPr>
            <w:tcW w:w="2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周</w:t>
            </w:r>
            <w:r>
              <w:rPr>
                <w:rFonts w:hint="eastAsia"/>
              </w:rPr>
              <w:t>一</w:t>
            </w:r>
          </w:p>
        </w:tc>
        <w:tc>
          <w:tcPr>
            <w:tcW w:w="25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周</w:t>
            </w:r>
            <w:r>
              <w:rPr>
                <w:rFonts w:hint="eastAsia"/>
              </w:rPr>
              <w:t>二</w:t>
            </w:r>
          </w:p>
        </w:tc>
        <w:tc>
          <w:tcPr>
            <w:tcW w:w="27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周</w:t>
            </w:r>
            <w:r>
              <w:rPr>
                <w:rFonts w:hint="eastAsia"/>
              </w:rPr>
              <w:t>三</w:t>
            </w:r>
          </w:p>
        </w:tc>
        <w:tc>
          <w:tcPr>
            <w:tcW w:w="30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周</w:t>
            </w:r>
            <w:r>
              <w:rPr>
                <w:rFonts w:hint="eastAsia"/>
              </w:rPr>
              <w:t>四</w:t>
            </w:r>
          </w:p>
        </w:tc>
        <w:tc>
          <w:tcPr>
            <w:tcW w:w="31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周</w:t>
            </w:r>
            <w:r>
              <w:rPr>
                <w:rFonts w:hint="eastAsia"/>
              </w:rPr>
              <w:t>五</w:t>
            </w:r>
          </w:p>
        </w:tc>
      </w:tr>
      <w:tr>
        <w:trPr/>
        <w:tc>
          <w:tcPr>
            <w:tcW w:w="219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每天</w:t>
            </w:r>
            <w:r>
              <w:rPr>
                <w:rFonts w:hint="eastAsia"/>
              </w:rPr>
              <w:t>学</w:t>
            </w:r>
          </w:p>
          <w:p>
            <w:pPr>
              <w:pStyle w:val="Normal"/>
              <w:rPr/>
            </w:pPr>
            <w:r>
              <w:rPr>
                <w:rFonts w:hint="eastAsia"/>
              </w:rPr>
              <w:t>习</w:t>
            </w:r>
            <w:r>
              <w:rPr/>
              <w:t>安排</w:t>
            </w:r>
          </w:p>
        </w:tc>
        <w:tc>
          <w:tcPr>
            <w:tcW w:w="2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梳理测试服接口、动作与结算日志；确定我方座位及以净胜分为核心的评估口径，复盘初始版本。</w:t>
            </w:r>
          </w:p>
        </w:tc>
        <w:tc>
          <w:tcPr>
            <w:tcW w:w="25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分析一次请求的完整决策链路与手牌拆分逻辑；对比V5搜索树，设计受时间约束的两层搜索。</w:t>
            </w:r>
          </w:p>
        </w:tc>
        <w:tc>
          <w:tcPr>
            <w:tcW w:w="27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优化接口性能：限制重复评估和并发堆积，增加截止时间、合法兜底与耗时日志，验证不再超时。</w:t>
            </w:r>
          </w:p>
        </w:tc>
        <w:tc>
          <w:tcPr>
            <w:tcW w:w="30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基于真实对局复盘胡牌、杠牌、座位和庄家影响；调整向听惩罚、续层权重并做分阶段回归测试。</w:t>
            </w:r>
          </w:p>
        </w:tc>
        <w:tc>
          <w:tcPr>
            <w:tcW w:w="31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完成30/35灰度方案与回滚验证；统计胜局、净胜分、胡/杠和决策耗时，确定后续约500局测试计划。</w:t>
            </w:r>
          </w:p>
        </w:tc>
      </w:tr>
      <w:tr>
        <w:trPr>
          <w:trHeight w:val="1362" w:hRule="atLeast"/>
        </w:trPr>
        <w:tc>
          <w:tcPr>
            <w:tcW w:w="112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完</w:t>
            </w:r>
          </w:p>
          <w:p>
            <w:pPr>
              <w:pStyle w:val="Normal"/>
              <w:rPr/>
            </w:pPr>
            <w:r>
              <w:rPr/>
              <w:t>成</w:t>
            </w:r>
          </w:p>
          <w:p>
            <w:pPr>
              <w:pStyle w:val="Normal"/>
              <w:rPr/>
            </w:pPr>
            <w:r>
              <w:rPr/>
              <w:t>情</w:t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/>
              <w:t>况</w:t>
            </w:r>
          </w:p>
        </w:tc>
        <w:tc>
          <w:tcPr>
            <w:tcW w:w="1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过程</w:t>
            </w:r>
          </w:p>
        </w:tc>
        <w:tc>
          <w:tcPr>
            <w:tcW w:w="2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检查jiujiang_round_end与jiujiang_http日志，区分自测和真实对局，确认测试数据不写入正式结果；建立分版本、分座位统计。</w:t>
            </w:r>
          </w:p>
        </w:tc>
        <w:tc>
          <w:tcPr>
            <w:tcW w:w="25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梳理“候选弃牌→有效进张→摸牌后最佳再弃牌→路径收益”的两层流程；采用根候选2、进张3及时间预算控制搜索规模。</w:t>
            </w:r>
          </w:p>
        </w:tc>
        <w:tc>
          <w:tcPr>
            <w:tcW w:w="27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将接口预算设为0.24秒、并发信号量设为2；复用重复计算，临近截止时间立即返回已得到的最优合法动作，并记录策略版本和耗时。</w:t>
            </w:r>
          </w:p>
        </w:tc>
        <w:tc>
          <w:tcPr>
            <w:tcW w:w="30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持续与师兄AI对战并按版本分段复盘；发现仅看胜率会掩盖杠分和高价值胡牌造成的净分亏损，及时回退效果变差的参数。</w:t>
            </w:r>
          </w:p>
        </w:tc>
        <w:tc>
          <w:tcPr>
            <w:tcW w:w="31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先单跑30版约100局，再恢复偶数房30、奇数房35的灰度；同一房间我方两个座位使用同参数，继续扩大真实样本。</w:t>
            </w:r>
          </w:p>
        </w:tc>
      </w:tr>
      <w:tr>
        <w:trPr>
          <w:trHeight w:val="3754" w:hRule="atLeast"/>
        </w:trPr>
        <w:tc>
          <w:tcPr>
            <w:tcW w:w="112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kern w:val="0"/>
                <w:sz w:val="24"/>
                <w:szCs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  <w:szCs w:val="24"/>
              </w:rPr>
            </w:r>
          </w:p>
        </w:tc>
        <w:tc>
          <w:tcPr>
            <w:tcW w:w="1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  <w:t>结果</w:t>
            </w:r>
          </w:p>
        </w:tc>
        <w:tc>
          <w:tcPr>
            <w:tcW w:w="2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完成：日志可按房间、座位、动作和版本追踪；明确我方座位1、3，师兄座位0、2，核心指标改为我方团队净胜分。</w:t>
            </w:r>
          </w:p>
        </w:tc>
        <w:tc>
          <w:tcPr>
            <w:tcW w:w="25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完成：形成紧凑的限时两层搜索，在手牌拆分和有效进张基础上评估后续路径，同时保留合法快速兜底。</w:t>
            </w:r>
          </w:p>
        </w:tc>
        <w:tc>
          <w:tcPr>
            <w:tcW w:w="27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完成：近期日志未发现接口错误或决策超时；常规动作可在百毫秒量级返回，测试服单局约1分钟主要不是本地决策造成。</w:t>
            </w:r>
          </w:p>
        </w:tc>
        <w:tc>
          <w:tcPr>
            <w:tcW w:w="30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完成：识别主要短板为杠分亏损、胡牌质量以及座位/庄家波动；多轮修改均按真实日志验证，效果下降即回滚。</w:t>
            </w:r>
          </w:p>
        </w:tc>
        <w:tc>
          <w:tcPr>
            <w:tcW w:w="31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完成：恢复当前表现最稳的30/35灰度版；相关单元测试通过，当前版本接近与师兄AI五五开，待约500局后形成汇报结论。</w:t>
            </w:r>
          </w:p>
        </w:tc>
      </w:tr>
      <w:tr>
        <w:trPr>
          <w:trHeight w:val="610" w:hRule="atLeast"/>
        </w:trPr>
        <w:tc>
          <w:tcPr>
            <w:tcW w:w="112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问题与措施</w:t>
            </w:r>
          </w:p>
        </w:tc>
        <w:tc>
          <w:tcPr>
            <w:tcW w:w="2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问题：历史日志存在重复回调和测试记录。措施：按room_id去重，按起始行和版本标记分段；临时测试结果验证后删除。</w:t>
            </w:r>
          </w:p>
        </w:tc>
        <w:tc>
          <w:tcPr>
            <w:tcW w:w="25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问题：完整树搜索路径爆炸，易拖慢接口。措施：限制根候选和有效进张分支，复用等价计算，以截止时间保证响应。</w:t>
            </w:r>
          </w:p>
        </w:tc>
        <w:tc>
          <w:tcPr>
            <w:tcW w:w="27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问题：多请求同时到达可能发生并发碰撞。措施：限制并发并统计快速兜底次数；当前单房间碰撞低，暂不牺牲主决策深度。</w:t>
            </w:r>
          </w:p>
        </w:tc>
        <w:tc>
          <w:tcPr>
            <w:tcW w:w="30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问题：胜率接近但净分仍可能为负。措施：版本选择优先看团队净胜分，并单独统计胡牌收益、杠分、座位和庄家。</w:t>
            </w:r>
          </w:p>
        </w:tc>
        <w:tc>
          <w:tcPr>
            <w:tcW w:w="31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问题：约100局仍有偶然性，且测试服不能并开多房间。措施：冻结灰度代码继续约400局，与既有样本合并至约500局后再定版。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         </w:t>
      </w:r>
    </w:p>
    <w:sectPr>
      <w:type w:val="nextPage"/>
      <w:pgSz w:orient="landscape" w:w="23811" w:h="16838"/>
      <w:pgMar w:left="1361" w:right="1531" w:gutter="0" w:header="0" w:top="1474" w:footer="0" w:bottom="136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variable"/>
  </w:font>
  <w:font w:name="宋体">
    <w:altName w:val="SimSun"/>
    <w:charset w:val="86"/>
    <w:family w:val="auto"/>
    <w:pitch w:val="variable"/>
  </w:font>
  <w:font w:name="Courier New">
    <w:charset w:val="00" w:characterSet="windows-1252"/>
    <w:family w:val="modern"/>
    <w:pitch w:val="default"/>
  </w:font>
  <w:font w:name="Liberation Sans">
    <w:altName w:val="Arial"/>
    <w:charset w:val="86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0"/>
      </w:pPr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isplayBackgroundShape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宋体;SimSun"/>
      <w:color w:val="auto"/>
      <w:kern w:val="2"/>
      <w:sz w:val="21"/>
      <w:szCs w:val="22"/>
      <w:lang w:bidi="ar-SA" w:val="en-US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280" w:after="280"/>
      <w:jc w:val="start"/>
      <w:outlineLvl w:val="0"/>
    </w:pPr>
    <w:rPr>
      <w:rFonts w:ascii="宋体;SimSun" w:hAnsi="宋体;SimSun" w:eastAsia="宋体;SimSun" w:cs="Times New Roman" w:hint="eastAsia"/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before="280" w:after="280"/>
      <w:jc w:val="start"/>
      <w:outlineLvl w:val="1"/>
    </w:pPr>
    <w:rPr>
      <w:rFonts w:ascii="宋体;SimSun" w:hAnsi="宋体;SimSun" w:eastAsia="宋体;SimSun" w:cs="Times New Roman" w:hint="eastAsia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80" w:after="280"/>
      <w:jc w:val="start"/>
      <w:outlineLvl w:val="2"/>
    </w:pPr>
    <w:rPr>
      <w:rFonts w:ascii="宋体;SimSun" w:hAnsi="宋体;SimSun" w:eastAsia="宋体;SimSun" w:cs="Times New Roman" w:hint="eastAsia"/>
      <w:b/>
      <w:bCs/>
      <w:kern w:val="0"/>
      <w:sz w:val="27"/>
      <w:szCs w:val="27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before="280" w:after="280"/>
      <w:jc w:val="start"/>
      <w:outlineLvl w:val="3"/>
    </w:pPr>
    <w:rPr>
      <w:rFonts w:ascii="宋体;SimSun" w:hAnsi="宋体;SimSun" w:eastAsia="宋体;SimSun" w:cs="Times New Roman" w:hint="eastAsia"/>
      <w:b/>
      <w:bCs/>
      <w:kern w:val="0"/>
      <w:sz w:val="24"/>
      <w:szCs w:val="24"/>
    </w:rPr>
  </w:style>
  <w:style w:type="character" w:styleId="WW8Num1z0">
    <w:name w:val="WW8Num1z0"/>
    <w:qFormat/>
    <w:rPr/>
  </w:style>
  <w:style w:type="character" w:styleId="Style10">
    <w:name w:val="默认段落字体"/>
    <w:qFormat/>
    <w:rPr>
      <w:rFonts w:ascii="Times New Roman" w:hAnsi="Times New Roman" w:eastAsia="宋体;SimSun" w:cs="Times New Roman"/>
    </w:rPr>
  </w:style>
  <w:style w:type="character" w:styleId="mord">
    <w:name w:val="mord"/>
    <w:qFormat/>
    <w:rPr>
      <w:rFonts w:ascii="Times New Roman" w:hAnsi="Times New Roman" w:eastAsia="宋体;SimSun" w:cs="Times New Roman"/>
    </w:rPr>
  </w:style>
  <w:style w:type="character" w:styleId="md-plain">
    <w:name w:val="md-plain"/>
    <w:qFormat/>
    <w:rPr>
      <w:rFonts w:ascii="Times New Roman" w:hAnsi="Times New Roman" w:eastAsia="宋体;SimSun" w:cs="Times New Roman"/>
    </w:rPr>
  </w:style>
  <w:style w:type="character" w:styleId="md-link">
    <w:name w:val="md-link"/>
    <w:qFormat/>
    <w:rPr>
      <w:rFonts w:ascii="Times New Roman" w:hAnsi="Times New Roman" w:eastAsia="宋体;SimSun" w:cs="Times New Roman"/>
    </w:rPr>
  </w:style>
  <w:style w:type="character" w:styleId="HTML">
    <w:name w:val="HTML 预设格式 字符"/>
    <w:qFormat/>
    <w:rPr>
      <w:rFonts w:ascii="宋体;SimSun" w:hAnsi="宋体;SimSun" w:eastAsia="宋体;SimSun" w:cs="Times New Roman"/>
      <w:sz w:val="24"/>
      <w:szCs w:val="24"/>
    </w:rPr>
  </w:style>
  <w:style w:type="character" w:styleId="1">
    <w:name w:val="未处理的提及1"/>
    <w:qFormat/>
    <w:rPr>
      <w:rFonts w:ascii="Times New Roman" w:hAnsi="Times New Roman" w:eastAsia="宋体;SimSun" w:cs="Times New Roman"/>
      <w:color w:val="605E5C"/>
      <w:shd w:fill="E1DFDD" w:val="clear"/>
    </w:rPr>
  </w:style>
  <w:style w:type="character" w:styleId="Style11">
    <w:name w:val="页眉 字符"/>
    <w:qFormat/>
    <w:rPr>
      <w:rFonts w:ascii="Times New Roman" w:hAnsi="Times New Roman" w:eastAsia="宋体;SimSun" w:cs="Times New Roman"/>
      <w:sz w:val="18"/>
      <w:szCs w:val="18"/>
    </w:rPr>
  </w:style>
  <w:style w:type="character" w:styleId="Style12">
    <w:name w:val="页脚 字符"/>
    <w:qFormat/>
    <w:rPr>
      <w:rFonts w:ascii="Times New Roman" w:hAnsi="Times New Roman" w:eastAsia="宋体;SimSun" w:cs="Times New Roman"/>
      <w:sz w:val="18"/>
      <w:szCs w:val="18"/>
    </w:rPr>
  </w:style>
  <w:style w:type="character" w:styleId="Style13">
    <w:name w:val="批注框文本 字符"/>
    <w:qFormat/>
    <w:rPr>
      <w:rFonts w:ascii="Times New Roman" w:hAnsi="Times New Roman" w:eastAsia="宋体;SimSun" w:cs="Times New Roman"/>
      <w:kern w:val="2"/>
      <w:sz w:val="18"/>
      <w:szCs w:val="18"/>
    </w:rPr>
  </w:style>
  <w:style w:type="character" w:styleId="3">
    <w:name w:val="标题 3 字符"/>
    <w:qFormat/>
    <w:rPr>
      <w:rFonts w:ascii="宋体;SimSun" w:hAnsi="宋体;SimSun" w:eastAsia="宋体;SimSun" w:cs="Times New Roman"/>
      <w:b/>
      <w:bCs/>
      <w:sz w:val="27"/>
      <w:szCs w:val="27"/>
    </w:rPr>
  </w:style>
  <w:style w:type="character" w:styleId="HTML1">
    <w:name w:val="HTML 代码"/>
    <w:qFormat/>
    <w:rPr>
      <w:rFonts w:ascii="Courier New" w:hAnsi="Courier New" w:eastAsia="宋体;SimSun" w:cs="Times New Roman"/>
      <w:sz w:val="20"/>
    </w:rPr>
  </w:style>
  <w:style w:type="character" w:styleId="Emphasis">
    <w:name w:val="Emphasis"/>
    <w:qFormat/>
    <w:rPr>
      <w:rFonts w:ascii="Times New Roman" w:hAnsi="Times New Roman" w:eastAsia="宋体;SimSun" w:cs="Times New Roman"/>
      <w:i/>
      <w:iCs/>
    </w:rPr>
  </w:style>
  <w:style w:type="character" w:styleId="Strong">
    <w:name w:val="Strong"/>
    <w:qFormat/>
    <w:rPr>
      <w:rFonts w:ascii="Times New Roman" w:hAnsi="Times New Roman" w:eastAsia="宋体;SimSun" w:cs="Times New Roman"/>
      <w:b/>
      <w:bCs/>
    </w:rPr>
  </w:style>
  <w:style w:type="character" w:styleId="ne-text">
    <w:name w:val="ne-text"/>
    <w:qFormat/>
    <w:rPr>
      <w:rFonts w:ascii="Times New Roman" w:hAnsi="Times New Roman" w:eastAsia="宋体;SimSun" w:cs="Times New Roman"/>
    </w:rPr>
  </w:style>
  <w:style w:type="character" w:styleId="md-inline-math">
    <w:name w:val="md-inline-math"/>
    <w:qFormat/>
    <w:rPr>
      <w:rFonts w:ascii="Times New Roman" w:hAnsi="Times New Roman" w:eastAsia="宋体;SimSun" w:cs="Times New Roman"/>
    </w:rPr>
  </w:style>
  <w:style w:type="character" w:styleId="Hyperlink">
    <w:name w:val="Hyperlink"/>
    <w:rPr>
      <w:rFonts w:ascii="Times New Roman" w:hAnsi="Times New Roman" w:eastAsia="宋体;SimSun" w:cs="Times New Roman"/>
      <w:color w:val="0000FF"/>
      <w:u w:val="single"/>
    </w:rPr>
  </w:style>
  <w:style w:type="character" w:styleId="md-tab">
    <w:name w:val="md-tab"/>
    <w:qFormat/>
    <w:rPr>
      <w:rFonts w:ascii="Times New Roman" w:hAnsi="Times New Roman" w:eastAsia="宋体;SimSun" w:cs="Times New Roma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ne-p">
    <w:name w:val="ne-p"/>
    <w:basedOn w:val="Normal"/>
    <w:qFormat/>
    <w:pPr>
      <w:widowControl/>
      <w:spacing w:before="280" w:after="280"/>
      <w:jc w:val="start"/>
    </w:pPr>
    <w:rPr>
      <w:rFonts w:ascii="宋体;SimSun" w:hAnsi="宋体;SimSun" w:eastAsia="宋体;SimSun" w:cs="Times New Roman"/>
      <w:kern w:val="0"/>
      <w:sz w:val="24"/>
      <w:szCs w:val="24"/>
    </w:rPr>
  </w:style>
  <w:style w:type="paragraph" w:styleId="Style16">
    <w:name w:val="列表段落"/>
    <w:basedOn w:val="Normal"/>
    <w:qFormat/>
    <w:pPr>
      <w:tabs>
        <w:tab w:val="clear" w:pos="420"/>
        <w:tab w:val="left" w:pos="312" w:leader="none"/>
      </w:tabs>
      <w:jc w:val="start"/>
    </w:pPr>
    <w:rPr>
      <w:rFonts w:ascii="宋体;SimSun" w:hAnsi="宋体;SimSun" w:eastAsia="宋体;SimSun" w:cs="Times New Roman"/>
      <w:kern w:val="0"/>
      <w:szCs w:val="21"/>
    </w:rPr>
  </w:style>
  <w:style w:type="paragraph" w:styleId="Style17">
    <w:name w:val="普通(网站)"/>
    <w:basedOn w:val="Normal"/>
    <w:qFormat/>
    <w:pPr>
      <w:spacing w:before="280" w:after="280"/>
      <w:jc w:val="start"/>
    </w:pPr>
    <w:rPr>
      <w:rFonts w:ascii="Times New Roman" w:hAnsi="Times New Roman" w:eastAsia="宋体;SimSun" w:cs="Times New Roman"/>
      <w:kern w:val="0"/>
      <w:sz w:val="24"/>
    </w:rPr>
  </w:style>
  <w:style w:type="paragraph" w:styleId="Style18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Times New Roman" w:hAnsi="Times New Roman" w:eastAsia="宋体;SimSun" w:cs="Times New Roman"/>
      <w:sz w:val="18"/>
      <w:szCs w:val="18"/>
    </w:rPr>
  </w:style>
  <w:style w:type="paragraph" w:styleId="md-end-block">
    <w:name w:val="md-end-block"/>
    <w:basedOn w:val="Normal"/>
    <w:qFormat/>
    <w:pPr>
      <w:widowControl/>
      <w:spacing w:before="280" w:after="280"/>
      <w:jc w:val="start"/>
    </w:pPr>
    <w:rPr>
      <w:rFonts w:ascii="宋体;SimSun" w:hAnsi="宋体;SimSun" w:eastAsia="宋体;SimSun" w:cs="Times New Roman"/>
      <w:kern w:val="0"/>
      <w:sz w:val="24"/>
      <w:szCs w:val="24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Times New Roman" w:hAnsi="Times New Roman" w:eastAsia="宋体;SimSun" w:cs="Times New Roman"/>
      <w:sz w:val="18"/>
      <w:szCs w:val="18"/>
    </w:rPr>
  </w:style>
  <w:style w:type="paragraph" w:styleId="Style19">
    <w:name w:val="批注框文本"/>
    <w:basedOn w:val="Normal"/>
    <w:qFormat/>
    <w:pPr/>
    <w:rPr>
      <w:rFonts w:ascii="Times New Roman" w:hAnsi="Times New Roman" w:eastAsia="宋体;SimSun" w:cs="Times New Roman"/>
      <w:sz w:val="18"/>
      <w:szCs w:val="18"/>
    </w:rPr>
  </w:style>
  <w:style w:type="paragraph" w:styleId="HTML2">
    <w:name w:val="HTML 预设格式"/>
    <w:basedOn w:val="Normal"/>
    <w:qFormat/>
    <w:pPr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;SimSun" w:hAnsi="宋体;SimSun" w:eastAsia="宋体;SimSun" w:cs="Times New Roman" w:hint="eastAsia"/>
      <w:kern w:val="0"/>
      <w:sz w:val="24"/>
      <w:szCs w:val="24"/>
    </w:rPr>
  </w:style>
  <w:style w:type="paragraph" w:styleId="Style20">
    <w:name w:val="框架内容"/>
    <w:basedOn w:val="Normal"/>
    <w:qFormat/>
    <w:pPr/>
    <w:rPr/>
  </w:style>
  <w:style w:type="paragraph" w:styleId="Style21">
    <w:name w:val="表格内容"/>
    <w:basedOn w:val="Normal"/>
    <w:qFormat/>
    <w:pPr>
      <w:widowControl w:val="false"/>
      <w:suppressLineNumbers/>
    </w:pPr>
    <w:rPr/>
  </w:style>
  <w:style w:type="paragraph" w:styleId="Style22">
    <w:name w:val="表格标题"/>
    <w:basedOn w:val="Style2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2026-07-07T14:04:00Z</dcterms:created>
  <dc:creator>陈政达</dc:creator>
  <dc:description/>
  <cp:keywords/>
  <dc:language>zh-CN</dc:language>
  <cp:lastModifiedBy>ZDCHEN</cp:lastModifiedBy>
  <dcterms:modified xsi:type="dcterms:W3CDTF">2026-07-14T17:39:00Z</dcterms:modified>
  <cp:revision>38</cp:revision>
  <dc:subject>九江麻将AI开发与测试服对战优化周报</dc:subject>
  <dc:title>陈政达7.13-7.17周工作完成表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c8ca769b747946dcbbe5794378b2f448_23</vt:lpwstr>
  </property>
  <property fmtid="{D5CDD505-2E9C-101B-9397-08002B2CF9AE}" pid="3" name="KSOProductBuildVer">
    <vt:lpwstr>2052-12.18.2</vt:lpwstr>
  </property>
  <property fmtid="{D5CDD505-2E9C-101B-9397-08002B2CF9AE}" pid="4" name="KSOTemplateDocerSaveRecord">
    <vt:lpwstr>eyJoZGlkIjoiOTI4NGQzNmZiODRhY2RmZTk1NmZiOGJjZTgzYzZkZDUiLCJ1c2VySWQiOiI5MDU4MzkxMzkifQ==</vt:lpwstr>
  </property>
</Properties>
</file>