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伊朗哈尔克岛（Kharg Island）5月6日疑似漏油事件遥感提取实验报告</w:t>
      </w:r>
    </w:p>
    <w:p>
      <w:pPr>
        <w:pStyle w:val="Heading1"/>
      </w:pPr>
      <w:r>
        <w:t>摘要</w:t>
      </w:r>
    </w:p>
    <w:p>
      <w:r>
        <w:t>以伊朗哈尔克岛5月6日疑似漏油事件为背景，采用Landsat 8/9 OLI多光谱数据进行海面油污遥感提取。本文首先综述海面油污监测的遥感手段与典型算法，随后给出基于大气校正、水体掩膜与油膜光谱异常指数的处理流程。最后给出结果展示与指标统计的写作模板，便于在实际运行后填入定量结论。</w:t>
      </w:r>
    </w:p>
    <w:p>
      <w:pPr>
        <w:pStyle w:val="Heading1"/>
      </w:pPr>
      <w:r>
        <w:t>1 研究背景与相关工作综述</w:t>
      </w:r>
    </w:p>
    <w:p>
      <w:r>
        <w:t>海上漏油会造成生态与经济损失，遥感监测具有覆盖广、获取快、成本低的优势。目前主流手段包括：（1）合成孔径雷达（SAR）：油膜会抑制海面短波，提高回波暗度，适合夜间与多云条件；（2）光学多光谱：油膜在可见光—近红外—短波红外波段表现出反射率降低或光谱斜率异常，可通过比值指数或异常检测识别；（3）高光谱与热红外：可区分不同油膜类型与厚度，但数据获取成本较高。常见方法包括阈值分割、面向对象分类、机器学习/深度学习与多源融合。光学监测受云与太阳耀斑影响较大，需结合水体掩膜、云阴影剔除与几何形态约束。</w:t>
      </w:r>
    </w:p>
    <w:p>
      <w:pPr>
        <w:pStyle w:val="Heading1"/>
      </w:pPr>
      <w:r>
        <w:t>2 研究区与数据</w:t>
      </w:r>
    </w:p>
    <w:p>
      <w:r>
        <w:t>研究区为伊朗哈尔克岛及周边海域。该区域为波斯湾重要的油气港口与航运通道，历史上存在漏油风险。</w:t>
      </w:r>
    </w:p>
    <w:p>
      <w:r>
        <w:t>数据选取：（1）Landsat 8/9 OLI影像（5月6日前后最近的晴空影像）；（2）Level-1/Level-2产品中包含的云/阴影质量控制（QA）波段；（3）海岸线或陆地掩膜数据（用于剔除陆地像元）。</w:t>
      </w:r>
    </w:p>
    <w:p>
      <w:pPr>
        <w:pStyle w:val="Heading1"/>
      </w:pPr>
      <w:r>
        <w:t>3 方法介绍</w:t>
      </w:r>
    </w:p>
    <w:p>
      <w:pPr>
        <w:pStyle w:val="Heading2"/>
      </w:pPr>
      <w:r>
        <w:t>3.1 预处理</w:t>
      </w:r>
    </w:p>
    <w:p>
      <w:r>
        <w:t>对Landsat数据进行辐射定标与大气校正，得到地表反射率；使用QA波段剔除云、云影与异常像元；同时利用海岸线或MNDWI得到水体掩膜，仅在水域范围内进行检测。</w:t>
      </w:r>
    </w:p>
    <w:p>
      <w:pPr>
        <w:pStyle w:val="Heading2"/>
      </w:pPr>
      <w:r>
        <w:t>3.2 水体掩膜（MNDWI）</w:t>
      </w:r>
    </w:p>
    <w:p>
      <w:r>
        <w:t>采用改进型归一化水体指数：MNDWI = (Green - SWIR1) / (Green + SWIR1)。阈值可取MNDWI &gt; 0（或根据直方图自适应确定），得到水域掩膜。</w:t>
      </w:r>
    </w:p>
    <w:p>
      <w:pPr>
        <w:pStyle w:val="Heading2"/>
      </w:pPr>
      <w:r>
        <w:t>3.3 油膜光谱异常指数（OAI）</w:t>
      </w:r>
    </w:p>
    <w:p>
      <w:r>
        <w:t>油膜在近红外/短波红外波段反射率通常低于周围清洁海水。定义油膜光谱异常指数：OAI = (B5 + B6) / (B3 + B4)。其中B3=Green，B4=Red，B5=NIR，B6=SWIR1。油膜像元通常表现为OAI偏低。</w:t>
      </w:r>
    </w:p>
    <w:p>
      <w:pPr>
        <w:pStyle w:val="Heading2"/>
      </w:pPr>
      <w:r>
        <w:t>3.4 阈值分割与形态约束</w:t>
      </w:r>
    </w:p>
    <w:p>
      <w:r>
        <w:t>在水体掩膜内对OAI进行Otsu或“均值-标准差”阈值分割（例如OAI &lt; μ - kσ）。对初始结果进行形态学开闭运算，去除孤立噪声和线性船迹；保留连通域面积超过N像元的斑块。</w:t>
      </w:r>
    </w:p>
    <w:p>
      <w:pPr>
        <w:pStyle w:val="Heading2"/>
      </w:pPr>
      <w:r>
        <w:t>3.5 面积统计与矢量化</w:t>
      </w:r>
    </w:p>
    <w:p>
      <w:r>
        <w:t>按像元统计油膜面积：A = N_pix × 30 m × 30 m，并换算为km²；可将结果栅格矢量化，提取斑块周长、主轴方向与形状指数用于描述油膜形态。</w:t>
      </w:r>
    </w:p>
    <w:p>
      <w:pPr>
        <w:pStyle w:val="Heading1"/>
      </w:pPr>
      <w:r>
        <w:t>4 提取结果（待实际处理后填入数值）</w:t>
      </w:r>
    </w:p>
    <w:p>
      <w:r>
        <w:t>提取结果通常表现为沿港口外缘与主航道方向的条带状或片状低反射异常。建议在地图上叠加航运路线、海岸线与风场数据进行判读，以排除海面自然薄膜与航迹干扰。</w:t>
      </w:r>
    </w:p>
    <w:p>
      <w:r>
        <w:t>结果统计表（请用实际运行结果替换）：</w:t>
      </w:r>
    </w:p>
    <w:tbl>
      <w:tblPr>
        <w:tblW w:type="auto" w:w="0"/>
        <w:tblLook w:firstColumn="1" w:firstRow="1" w:lastColumn="0" w:lastRow="0" w:noHBand="0" w:noVBand="1" w:val="04A0"/>
      </w:tblPr>
      <w:tblGrid>
        <w:gridCol w:w="4320"/>
        <w:gridCol w:w="4320"/>
      </w:tblGrid>
      <w:tr>
        <w:tc>
          <w:tcPr>
            <w:tcW w:type="dxa" w:w="4320"/>
          </w:tcPr>
          <w:p>
            <w:r>
              <w:t>指标</w:t>
            </w:r>
          </w:p>
        </w:tc>
        <w:tc>
          <w:tcPr>
            <w:tcW w:type="dxa" w:w="4320"/>
          </w:tcPr>
          <w:p>
            <w:r>
              <w:t>值（待填）</w:t>
            </w:r>
          </w:p>
        </w:tc>
      </w:tr>
      <w:tr>
        <w:tc>
          <w:tcPr>
            <w:tcW w:type="dxa" w:w="4320"/>
          </w:tcPr>
          <w:p>
            <w:r>
              <w:t>油膜斑块数</w:t>
            </w:r>
          </w:p>
        </w:tc>
        <w:tc>
          <w:tcPr>
            <w:tcW w:type="dxa" w:w="4320"/>
          </w:tcPr>
          <w:p>
            <w:r>
              <w:t>____</w:t>
            </w:r>
          </w:p>
        </w:tc>
      </w:tr>
      <w:tr>
        <w:tc>
          <w:tcPr>
            <w:tcW w:type="dxa" w:w="4320"/>
          </w:tcPr>
          <w:p>
            <w:r>
              <w:t>总面积（km²）</w:t>
            </w:r>
          </w:p>
        </w:tc>
        <w:tc>
          <w:tcPr>
            <w:tcW w:type="dxa" w:w="4320"/>
          </w:tcPr>
          <w:p>
            <w:r>
              <w:t>____</w:t>
            </w:r>
          </w:p>
        </w:tc>
      </w:tr>
      <w:tr>
        <w:tc>
          <w:tcPr>
            <w:tcW w:type="dxa" w:w="4320"/>
          </w:tcPr>
          <w:p>
            <w:r>
              <w:t>最大斑块面积（km²）</w:t>
            </w:r>
          </w:p>
        </w:tc>
        <w:tc>
          <w:tcPr>
            <w:tcW w:type="dxa" w:w="4320"/>
          </w:tcPr>
          <w:p>
            <w:r>
              <w:t>____</w:t>
            </w:r>
          </w:p>
        </w:tc>
      </w:tr>
      <w:tr>
        <w:tc>
          <w:tcPr>
            <w:tcW w:type="dxa" w:w="4320"/>
          </w:tcPr>
          <w:p>
            <w:r>
              <w:t>平均条带宽度（m）</w:t>
            </w:r>
          </w:p>
        </w:tc>
        <w:tc>
          <w:tcPr>
            <w:tcW w:type="dxa" w:w="4320"/>
          </w:tcPr>
          <w:p>
            <w:r>
              <w:t>____</w:t>
            </w:r>
          </w:p>
        </w:tc>
      </w:tr>
      <w:tr>
        <w:tc>
          <w:tcPr>
            <w:tcW w:type="dxa" w:w="4320"/>
          </w:tcPr>
          <w:p>
            <w:r>
              <w:t>主轴方向</w:t>
            </w:r>
          </w:p>
        </w:tc>
        <w:tc>
          <w:tcPr>
            <w:tcW w:type="dxa" w:w="4320"/>
          </w:tcPr>
          <w:p>
            <w:r>
              <w:t>____</w:t>
            </w:r>
          </w:p>
        </w:tc>
      </w:tr>
    </w:tbl>
    <w:p>
      <w:r>
        <w:t>图件建议：图1 研究区位置；图2 油膜提取结果；图3 油膜斑块统计与方向分布。</w:t>
      </w:r>
    </w:p>
    <w:p>
      <w:pPr>
        <w:pStyle w:val="Heading1"/>
      </w:pPr>
      <w:r>
        <w:t>5 不确定性与讨论</w:t>
      </w:r>
    </w:p>
    <w:p>
      <w:r>
        <w:t>（1）云与太阳耀斑：光学影像易受影响，需要严格掩膜；（2）海况与浑浊度：风浪与悬浮物可能造成光谱混淆；（3）油膜厚度差异：薄膜光谱信号弱，可能被漏检；（4）时间差：漏油发生与卫星过境存在时间差，油膜形态会随流场扩散变化。</w:t>
      </w:r>
    </w:p>
    <w:p>
      <w:pPr>
        <w:pStyle w:val="Heading1"/>
      </w:pPr>
      <w:r>
        <w:t>6 实验总结</w:t>
      </w:r>
    </w:p>
    <w:p>
      <w:r>
        <w:t>本实验提出了基于Landsat多光谱数据的哈尔克岛周边海域油污提取流程，核心步骤包括大气校正、水体掩膜、油膜光谱异常指数与阈值分割。该流程具备快速、可复现的优势，适合对疑似漏油事件进行初步筛查。后续建议结合SAR或高光谱数据，并通过现场或航运信息进行验证，以提升结果可信度。</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