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3.jpg" ContentType="image/jpeg"/>
  <Override PartName="/word/media/rId174.png" ContentType="image/png"/>
  <Override PartName="/word/media/rId310.png" ContentType="image/png"/>
  <Override PartName="/word/media/rId220.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15.11.22</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r>
        <w:t xml:space="preserve"> </w:t>
      </w:r>
      <w:r>
        <w:t xml:space="preserve">Die Benutzung von gut etablierter und weit verbreiteter freier Software verursacht Kosten durch Kompetenzaufbau oder -einkauf, macht unabhängig in Bezug auf Datenhoheit, Datensicherheit und vor allem die Weiterentwicklung. Die Lizenznahme eines kommerziellen Produktes lässt grundsätzlich weniger Individualisierung zu und verlagert die Verantwortung für die Verfügbarkeit und Betriebssicherheit auf den jeweiligen Anbieter.</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7"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6">
              <w:r>
                <w:rPr>
                  <w:rStyle w:val="Hyperlink"/>
                </w:rPr>
                <w:t xml:space="preserve">entsprechendes Issue</w:t>
              </w:r>
            </w:hyperlink>
            <w:r>
              <w:t xml:space="preserve">)</w:t>
            </w:r>
          </w:p>
        </w:tc>
      </w:tr>
    </w:tbl>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w:t>
            </w:r>
            <w:r>
              <w:t xml:space="preserve">ERM</w:t>
            </w:r>
            <w:r>
              <w:t xml:space="preserve">)</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w:t>
      </w:r>
      <w:r>
        <w:t xml:space="preserve"> </w:t>
      </w:r>
      <w:r>
        <w:t xml:space="preserve">ERM</w:t>
      </w:r>
      <w:r>
        <w:t xml:space="preserve"> </w:t>
      </w:r>
      <w:r>
        <w:t xml:space="preserve">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287"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7"/>
    <w:bookmarkStart w:id="326" w:name="daten-und-metadaten"/>
    <w:p>
      <w:pPr>
        <w:pStyle w:val="Heading1"/>
      </w:pPr>
      <w:r>
        <w:t xml:space="preserve">Daten und Metadaten</w:t>
      </w:r>
    </w:p>
    <w:p>
      <w:pPr>
        <w:pStyle w:val="FirstParagraph"/>
      </w:pPr>
      <w:r>
        <w:t xml:space="preserve">Zur Sammlung und Bereitstellung von Informationen werden von</w:t>
      </w:r>
      <w:r>
        <w:t xml:space="preserve"> </w:t>
      </w:r>
      <w:r>
        <w:t xml:space="preserve">Bibliotheken Dokumente unterschiedlichster Form (Bücher, Filme,</w:t>
      </w:r>
      <w:r>
        <w:t xml:space="preserve"> </w:t>
      </w:r>
      <w:r>
        <w:t xml:space="preserve">Forschungsdaten, Objekte…) nachgewiesen. Zur Verwaltung dieser Medien</w:t>
      </w:r>
      <w:r>
        <w:t xml:space="preserve"> </w:t>
      </w:r>
      <w:r>
        <w:t xml:space="preserve">werden die Dokumente mit</w:t>
      </w:r>
      <w:r>
        <w:t xml:space="preserve"> </w:t>
      </w:r>
      <w:r>
        <w:rPr>
          <w:bCs/>
          <w:b/>
        </w:rPr>
        <w:t xml:space="preserve">Metadaten</w:t>
      </w:r>
      <w:r>
        <w:t xml:space="preserve"> </w:t>
      </w:r>
      <w:r>
        <w:t xml:space="preserve">beschrieben. Neben diesen</w:t>
      </w:r>
      <w:r>
        <w:t xml:space="preserve"> </w:t>
      </w:r>
      <w:r>
        <w:t xml:space="preserve">Metadaten beinhalten bibliothekarische Informationssysteme zunehmend</w:t>
      </w:r>
      <w:r>
        <w:t xml:space="preserve"> </w:t>
      </w:r>
      <w:r>
        <w:t xml:space="preserve">auch Dokumente selbst als</w:t>
      </w:r>
      <w:r>
        <w:t xml:space="preserve"> </w:t>
      </w:r>
      <w:r>
        <w:rPr>
          <w:bCs/>
          <w:b/>
        </w:rPr>
        <w:t xml:space="preserve">digitale Inhalte</w:t>
      </w:r>
      <w:r>
        <w:t xml:space="preserve"> </w:t>
      </w:r>
      <w:r>
        <w:t xml:space="preserve">wie sogenannte Volltexte,</w:t>
      </w:r>
      <w:r>
        <w:t xml:space="preserve"> </w:t>
      </w:r>
      <w:r>
        <w:t xml:space="preserve">Digitalisate und Forschungsdaten (</w:t>
      </w:r>
      <w:r>
        <w:rPr>
          <w:iCs/>
          <w:i/>
        </w:rPr>
        <w:t xml:space="preserve">siehe noch offene Kapitel</w:t>
      </w:r>
      <w:r>
        <w:rPr>
          <w:iCs/>
          <w:i/>
        </w:rPr>
        <w:t xml:space="preserve"> </w:t>
      </w:r>
      <w:r>
        <w:rPr>
          <w:iCs/>
          <w:i/>
        </w:rPr>
        <w:t xml:space="preserve">Forschungsnahe Dienste und Digitalisierung</w:t>
      </w:r>
      <w:r>
        <w:t xml:space="preserve">). Viele der im Folgenden</w:t>
      </w:r>
      <w:r>
        <w:t xml:space="preserve"> </w:t>
      </w:r>
      <w:r>
        <w:t xml:space="preserve">beschriebenen Grundlagen zu Eigenschaften, Arten und Verarbeitung von</w:t>
      </w:r>
      <w:r>
        <w:t xml:space="preserve"> </w:t>
      </w:r>
      <w:r>
        <w:t xml:space="preserve">Daten gelten sowohl für Metadaten als auch für digitale Inhalte.</w:t>
      </w:r>
    </w:p>
    <w:bookmarkStart w:id="289" w:name="daten"/>
    <w:p>
      <w:pPr>
        <w:pStyle w:val="Heading2"/>
      </w:pPr>
      <w:r>
        <w:t xml:space="preserve">Daten</w:t>
      </w:r>
    </w:p>
    <w:p>
      <w:pPr>
        <w:pStyle w:val="FirstParagraph"/>
      </w:pPr>
      <w:r>
        <w:t xml:space="preserve">Im Wesentlichen bestehen Daten im Sinne dieses Buchs aus einer Folge von</w:t>
      </w:r>
      <w:r>
        <w:t xml:space="preserve"> </w:t>
      </w:r>
      <w:r>
        <w:t xml:space="preserve">Bits. Abgesehen von ihrer Anzahl in Bytes lässt sich auf dieser Ebene</w:t>
      </w:r>
      <w:r>
        <w:t xml:space="preserve"> </w:t>
      </w:r>
      <w:r>
        <w:t xml:space="preserve">allerdings nichts weiter über Daten sagen. Uns interessiert daher mehr,</w:t>
      </w:r>
      <w:r>
        <w:t xml:space="preserve"> </w:t>
      </w:r>
      <w:r>
        <w:t xml:space="preserve">für was die Daten stehen – beispielsweise für eine Jahreszahl, ein Bild</w:t>
      </w:r>
      <w:r>
        <w:t xml:space="preserve"> </w:t>
      </w:r>
      <w:r>
        <w:t xml:space="preserve">oder für den Titel eines Dokumentes. Dabei besteht ein Unterschied ist</w:t>
      </w:r>
      <w:r>
        <w:t xml:space="preserve"> </w:t>
      </w:r>
      <w:r>
        <w:t xml:space="preserve">der zwischen</w:t>
      </w:r>
    </w:p>
    <w:p>
      <w:pPr>
        <w:numPr>
          <w:ilvl w:val="0"/>
          <w:numId w:val="1064"/>
        </w:numPr>
      </w:pPr>
      <w:r>
        <w:t xml:space="preserve">der Struktur von Daten (</w:t>
      </w:r>
      <w:r>
        <w:rPr>
          <w:bCs/>
          <w:b/>
        </w:rPr>
        <w:t xml:space="preserve">Syntax</w:t>
      </w:r>
      <w:r>
        <w:t xml:space="preserve">)</w:t>
      </w:r>
    </w:p>
    <w:p>
      <w:pPr>
        <w:numPr>
          <w:ilvl w:val="0"/>
          <w:numId w:val="1064"/>
        </w:numPr>
      </w:pPr>
      <w:r>
        <w:t xml:space="preserve">und der Bedeutung von Daten (</w:t>
      </w:r>
      <w:r>
        <w:rPr>
          <w:bCs/>
          <w:b/>
        </w:rPr>
        <w:t xml:space="preserve">Semantik</w:t>
      </w:r>
      <w:r>
        <w:t xml:space="preserve">).</w:t>
      </w:r>
    </w:p>
    <w:p>
      <w:pPr>
        <w:pStyle w:val="FirstParagraph"/>
      </w:pPr>
      <w:r>
        <w:t xml:space="preserve">Zur Interpretation von Daten dienen</w:t>
      </w:r>
      <w:r>
        <w:t xml:space="preserve"> </w:t>
      </w:r>
      <w:r>
        <w:rPr>
          <w:bCs/>
          <w:b/>
        </w:rPr>
        <w:t xml:space="preserve">Kodierungen</w:t>
      </w:r>
      <w:r>
        <w:t xml:space="preserve"> </w:t>
      </w:r>
      <w:r>
        <w:t xml:space="preserve">in Form von Datenformaten</w:t>
      </w:r>
      <w:r>
        <w:t xml:space="preserve"> </w:t>
      </w:r>
      <w:r>
        <w:t xml:space="preserve">und Identifikatoren. Wo genau jeweils die Grenze zwischen Syntax und Semantik</w:t>
      </w:r>
      <w:r>
        <w:t xml:space="preserve"> </w:t>
      </w:r>
      <w:r>
        <w:t xml:space="preserve">liegt, hängt davon ab, auf welcher Ebene und mit welcher Kodierung Daten</w:t>
      </w:r>
      <w:r>
        <w:t xml:space="preserve"> </w:t>
      </w:r>
      <w:r>
        <w:t xml:space="preserve">betrachtet und verarbeitet werden (siehe</w:t>
      </w:r>
      <w:r>
        <w:t xml:space="preserve"> </w:t>
      </w:r>
      <w:hyperlink w:anchor="tbl-daten-ebenen">
        <w:r>
          <w:rPr>
            <w:rStyle w:val="Hyperlink"/>
          </w:rPr>
          <w:t xml:space="preserve">Tabelle 6.1</w:t>
        </w:r>
      </w:hyperlink>
      <w:r>
        <w:t xml:space="preserve">):</w:t>
      </w:r>
    </w:p>
    <w:bookmarkStart w:id="288" w:name="tbl-daten-ebenen"/>
    <w:p>
      <w:pPr>
        <w:pStyle w:val="TableCaption"/>
      </w:pPr>
      <w:r>
        <w:t xml:space="preserve">Tabelle 6.1: Beispiele für Syntax und Semantik von Daten auf verschiedenen Ebenen</w:t>
      </w:r>
    </w:p>
    <w:tbl>
      <w:tblPr>
        <w:tblStyle w:val="Table"/>
        <w:tblW w:type="auto" w:w="0"/>
        <w:tblLook w:firstRow="1" w:lastRow="0" w:firstColumn="0" w:lastColumn="0" w:noHBand="0" w:noVBand="0" w:val="0020"/>
        <w:tblCaption w:val="Tabelle 6.1: Beispiele für Syntax und Semantik von Daten auf verschiedenen Ebenen"/>
      </w:tblPr>
      <w:tblGrid>
        <w:gridCol w:w="2640"/>
        <w:gridCol w:w="2640"/>
        <w:gridCol w:w="2640"/>
      </w:tblGrid>
      <w:tr>
        <w:trPr>
          <w:tblHeader w:val="true"/>
        </w:trPr>
        <w:tc>
          <w:tcPr/>
          <w:p>
            <w:pPr>
              <w:pStyle w:val="Compact"/>
              <w:jc w:val="left"/>
            </w:pPr>
            <w:r>
              <w:t xml:space="preserve">Datenebene</w:t>
            </w:r>
          </w:p>
        </w:tc>
        <w:tc>
          <w:tcPr/>
          <w:p>
            <w:pPr>
              <w:pStyle w:val="Compact"/>
              <w:jc w:val="left"/>
            </w:pPr>
            <w:r>
              <w:t xml:space="preserve">Bedeutung</w:t>
            </w:r>
          </w:p>
        </w:tc>
        <w:tc>
          <w:tcPr/>
          <w:p>
            <w:pPr>
              <w:pStyle w:val="Compact"/>
              <w:jc w:val="left"/>
            </w:pPr>
            <w:r>
              <w:t xml:space="preserve">Kodierung</w:t>
            </w:r>
          </w:p>
        </w:tc>
      </w:tr>
      <w:tr>
        <w:tc>
          <w:tcPr/>
          <w:p>
            <w:pPr>
              <w:pStyle w:val="Compact"/>
              <w:jc w:val="left"/>
            </w:pPr>
            <w:r>
              <w:rPr>
                <w:rStyle w:val="VerbatimChar"/>
              </w:rPr>
              <w:t xml:space="preserve">1100001</w:t>
            </w:r>
          </w:p>
        </w:tc>
        <w:tc>
          <w:tcPr/>
          <w:p>
            <w:pPr>
              <w:pStyle w:val="Compact"/>
              <w:jc w:val="left"/>
            </w:pPr>
            <w:r>
              <w:t xml:space="preserve">Die Zahl 97 (64+32+1)</w:t>
            </w:r>
          </w:p>
        </w:tc>
        <w:tc>
          <w:tcPr/>
          <w:p>
            <w:pPr>
              <w:pStyle w:val="Compact"/>
              <w:jc w:val="left"/>
            </w:pPr>
            <w:r>
              <w:t xml:space="preserve">Byte als Zahl</w:t>
            </w:r>
          </w:p>
        </w:tc>
      </w:tr>
      <w:tr>
        <w:tc>
          <w:tcPr/>
          <w:p>
            <w:pPr>
              <w:pStyle w:val="Compact"/>
              <w:jc w:val="left"/>
            </w:pPr>
            <w:r>
              <w:rPr>
                <w:rStyle w:val="VerbatimChar"/>
              </w:rPr>
              <w:t xml:space="preserve">97</w:t>
            </w:r>
          </w:p>
        </w:tc>
        <w:tc>
          <w:tcPr/>
          <w:p>
            <w:pPr>
              <w:pStyle w:val="Compact"/>
              <w:jc w:val="left"/>
            </w:pPr>
            <w:r>
              <w:t xml:space="preserve">Der Buchstabe „a“</w:t>
            </w:r>
          </w:p>
        </w:tc>
        <w:tc>
          <w:tcPr/>
          <w:p>
            <w:pPr>
              <w:pStyle w:val="Compact"/>
              <w:jc w:val="left"/>
            </w:pPr>
            <w:r>
              <w:t xml:space="preserve">ASCII oder Unicode</w:t>
            </w:r>
          </w:p>
        </w:tc>
      </w:tr>
      <w:tr>
        <w:tc>
          <w:tcPr/>
          <w:p>
            <w:pPr>
              <w:pStyle w:val="Compact"/>
              <w:jc w:val="left"/>
            </w:pPr>
            <w:r>
              <w:rPr>
                <w:rStyle w:val="VerbatimChar"/>
              </w:rPr>
              <w:t xml:space="preserve">a</w:t>
            </w:r>
          </w:p>
        </w:tc>
        <w:tc>
          <w:tcPr/>
          <w:p>
            <w:pPr>
              <w:pStyle w:val="Compact"/>
              <w:jc w:val="left"/>
            </w:pPr>
            <w:r>
              <w:t xml:space="preserve">Unterfeld für Haupttitel</w:t>
            </w:r>
          </w:p>
        </w:tc>
        <w:tc>
          <w:tcPr/>
          <w:p>
            <w:pPr>
              <w:pStyle w:val="Compact"/>
              <w:jc w:val="left"/>
            </w:pPr>
            <w:r>
              <w:t xml:space="preserve">Feld</w:t>
            </w:r>
            <w:r>
              <w:t xml:space="preserve"> </w:t>
            </w:r>
            <w:r>
              <w:rPr>
                <w:rStyle w:val="VerbatimChar"/>
              </w:rPr>
              <w:t xml:space="preserve">021A</w:t>
            </w:r>
            <w:r>
              <w:t xml:space="preserve"> </w:t>
            </w:r>
            <w:r>
              <w:t xml:space="preserve">im PICA+ K10plus-Format</w:t>
            </w:r>
          </w:p>
        </w:tc>
      </w:tr>
      <w:tr>
        <w:tc>
          <w:tcPr/>
          <w:p>
            <w:pPr>
              <w:pStyle w:val="Compact"/>
              <w:jc w:val="left"/>
            </w:pPr>
            <w:r>
              <w:rPr>
                <w:rStyle w:val="VerbatimChar"/>
              </w:rPr>
              <w:t xml:space="preserve">a</w:t>
            </w:r>
          </w:p>
        </w:tc>
        <w:tc>
          <w:tcPr/>
          <w:p>
            <w:pPr>
              <w:pStyle w:val="Compact"/>
              <w:jc w:val="left"/>
            </w:pPr>
            <w:r>
              <w:t xml:space="preserve">Unterfeld für Umfangsangabe</w:t>
            </w:r>
          </w:p>
        </w:tc>
        <w:tc>
          <w:tcPr/>
          <w:p>
            <w:pPr>
              <w:pStyle w:val="Compact"/>
              <w:jc w:val="left"/>
            </w:pPr>
            <w:r>
              <w:t xml:space="preserve">Feld</w:t>
            </w:r>
            <w:r>
              <w:t xml:space="preserve"> </w:t>
            </w:r>
            <w:r>
              <w:rPr>
                <w:rStyle w:val="VerbatimChar"/>
              </w:rPr>
              <w:t xml:space="preserve">300</w:t>
            </w:r>
            <w:r>
              <w:t xml:space="preserve"> </w:t>
            </w:r>
            <w:r>
              <w:t xml:space="preserve">im MARC21 Format</w:t>
            </w:r>
          </w:p>
        </w:tc>
      </w:tr>
    </w:tbl>
    <w:bookmarkEnd w:id="288"/>
    <w:p>
      <w:pPr>
        <w:pStyle w:val="BodyText"/>
      </w:pPr>
      <w:r>
        <w:t xml:space="preserve">Ein Großteil der</w:t>
      </w:r>
      <w:r>
        <w:t xml:space="preserve"> </w:t>
      </w:r>
      <w:hyperlink w:anchor="datenverarbeitung">
        <w:r>
          <w:rPr>
            <w:rStyle w:val="Hyperlink"/>
          </w:rPr>
          <w:t xml:space="preserve">Datenverarbeitung</w:t>
        </w:r>
      </w:hyperlink>
      <w:r>
        <w:t xml:space="preserve"> </w:t>
      </w:r>
      <w:r>
        <w:t xml:space="preserve">besteht darin darin</w:t>
      </w:r>
      <w:r>
        <w:t xml:space="preserve"> </w:t>
      </w:r>
      <w:r>
        <w:t xml:space="preserve">Daten, zum Beispiel im Rahmen von</w:t>
      </w:r>
      <w:r>
        <w:t xml:space="preserve"> </w:t>
      </w:r>
      <w:hyperlink w:anchor="etl-prozess">
        <w:r>
          <w:rPr>
            <w:rStyle w:val="Hyperlink"/>
          </w:rPr>
          <w:t xml:space="preserve">ETL-Prozessen</w:t>
        </w:r>
      </w:hyperlink>
      <w:r>
        <w:t xml:space="preserve">, von einer</w:t>
      </w:r>
      <w:r>
        <w:t xml:space="preserve"> </w:t>
      </w:r>
      <w:r>
        <w:t xml:space="preserve">Kodierung in eine andere Kodierung zu überführen, um sie anschließend leichter</w:t>
      </w:r>
      <w:r>
        <w:t xml:space="preserve"> </w:t>
      </w:r>
      <w:r>
        <w:t xml:space="preserve">interpretieren zu können. Bei der Konvertierung von Daten von einem in ein</w:t>
      </w:r>
      <w:r>
        <w:t xml:space="preserve"> </w:t>
      </w:r>
      <w:r>
        <w:t xml:space="preserve">anderes Datenformat reduziert sich das implizite Datenmodell der Konvertierung</w:t>
      </w:r>
      <w:r>
        <w:t xml:space="preserve"> </w:t>
      </w:r>
      <w:r>
        <w:t xml:space="preserve">auf den kleinsten gemeinsamen Nenner beider Formate.</w:t>
      </w:r>
    </w:p>
    <w:p>
      <w:pPr>
        <w:pStyle w:val="BodyText"/>
      </w:pPr>
      <w:r>
        <w:t xml:space="preserve">Zur Beschreibung von Daten dienen</w:t>
      </w:r>
    </w:p>
    <w:p>
      <w:pPr>
        <w:numPr>
          <w:ilvl w:val="0"/>
          <w:numId w:val="1065"/>
        </w:numPr>
      </w:pPr>
      <w:r>
        <w:t xml:space="preserve">formale</w:t>
      </w:r>
      <w:r>
        <w:t xml:space="preserve"> </w:t>
      </w:r>
      <w:r>
        <w:rPr>
          <w:bCs/>
          <w:b/>
        </w:rPr>
        <w:t xml:space="preserve">Schemas</w:t>
      </w:r>
      <w:r>
        <w:t xml:space="preserve"> </w:t>
      </w:r>
      <w:r>
        <w:t xml:space="preserve">auf Ebene der Syntax</w:t>
      </w:r>
    </w:p>
    <w:p>
      <w:pPr>
        <w:numPr>
          <w:ilvl w:val="0"/>
          <w:numId w:val="1065"/>
        </w:numPr>
      </w:pPr>
      <w:r>
        <w:t xml:space="preserve">und</w:t>
      </w:r>
      <w:r>
        <w:t xml:space="preserve"> </w:t>
      </w:r>
      <w:r>
        <w:rPr>
          <w:bCs/>
          <w:b/>
        </w:rPr>
        <w:t xml:space="preserve">Datenmodelle</w:t>
      </w:r>
      <w:r>
        <w:t xml:space="preserve"> </w:t>
      </w:r>
      <w:r>
        <w:t xml:space="preserve">auf Ebene der Semantik.</w:t>
      </w:r>
    </w:p>
    <w:p>
      <w:pPr>
        <w:pStyle w:val="FirstParagraph"/>
      </w:pPr>
      <w:r>
        <w:t xml:space="preserve">Leider liegen beide oft nicht explizit vor, sondern müssen anhand von</w:t>
      </w:r>
      <w:r>
        <w:t xml:space="preserve"> </w:t>
      </w:r>
      <w:r>
        <w:t xml:space="preserve">Beispielen, Anwendungen und Dokumentation mühsam ermittelt werden. Im</w:t>
      </w:r>
      <w:r>
        <w:t xml:space="preserve"> </w:t>
      </w:r>
      <w:r>
        <w:t xml:space="preserve">Idealfall entsprechen Daten einem klar definierten Datenformat.</w:t>
      </w:r>
    </w:p>
    <w:bookmarkEnd w:id="289"/>
    <w:bookmarkStart w:id="294" w:name="datenformate"/>
    <w:p>
      <w:pPr>
        <w:pStyle w:val="Heading2"/>
      </w:pPr>
      <w:r>
        <w:t xml:space="preserve">Datenformate</w:t>
      </w:r>
    </w:p>
    <w:p>
      <w:pPr>
        <w:pStyle w:val="FirstParagraph"/>
      </w:pPr>
      <w:r>
        <w:t xml:space="preserve">Datenformate definieren eine Struktur, die sich in einer oder in</w:t>
      </w:r>
      <w:r>
        <w:t xml:space="preserve"> </w:t>
      </w:r>
      <w:r>
        <w:t xml:space="preserve">mehreren austauschbaren Syntax-Varianten ausdrücken lässt und deren</w:t>
      </w:r>
      <w:r>
        <w:t xml:space="preserve"> </w:t>
      </w:r>
      <w:r>
        <w:t xml:space="preserve">Bedeutung durch ein Datenmodell festgelegt ist. Beispielsweise definiert</w:t>
      </w:r>
      <w:r>
        <w:t xml:space="preserve"> </w:t>
      </w:r>
      <w:r>
        <w:t xml:space="preserve">der Unicode-Standard eine Menge von Schriftzeichen (Buchstaben,</w:t>
      </w:r>
      <w:r>
        <w:t xml:space="preserve"> </w:t>
      </w:r>
      <w:r>
        <w:t xml:space="preserve">Sonderzeichen, Emojis…) und verschiedene Verfahren, um Zeichenketten in</w:t>
      </w:r>
      <w:r>
        <w:t xml:space="preserve"> </w:t>
      </w:r>
      <w:r>
        <w:t xml:space="preserve">Bytes zu kodieren (UTF-8, UTF-16…). Syntax-Varianten werden auch als</w:t>
      </w:r>
      <w:r>
        <w:t xml:space="preserve"> </w:t>
      </w:r>
      <w:r>
        <w:rPr>
          <w:bCs/>
          <w:b/>
        </w:rPr>
        <w:t xml:space="preserve">Serialisierung</w:t>
      </w:r>
      <w:r>
        <w:t xml:space="preserve"> </w:t>
      </w:r>
      <w:r>
        <w:t xml:space="preserve">bezeichnet. Die meisten Datenformate haben nur eine</w:t>
      </w:r>
      <w:r>
        <w:t xml:space="preserve"> </w:t>
      </w:r>
      <w:r>
        <w:t xml:space="preserve">Serialisierung, so dass Format und Syntax meist synonym verwendet</w:t>
      </w:r>
      <w:r>
        <w:t xml:space="preserve"> </w:t>
      </w:r>
      <w:r>
        <w:t xml:space="preserve">werden. Einzelne Syntax-Elemente entsprechen Bestandteilen im</w:t>
      </w:r>
      <w:r>
        <w:t xml:space="preserve"> </w:t>
      </w:r>
      <w:r>
        <w:t xml:space="preserve">Datenmodell (siehe</w:t>
      </w:r>
      <w:r>
        <w:t xml:space="preserve"> </w:t>
      </w:r>
      <w:hyperlink w:anchor="tbl-xml">
        <w:r>
          <w:rPr>
            <w:rStyle w:val="Hyperlink"/>
          </w:rPr>
          <w:t xml:space="preserve">Tabelle 6.2</w:t>
        </w:r>
      </w:hyperlink>
      <w:r>
        <w:t xml:space="preserve">), daher werden in der Beschreibung von</w:t>
      </w:r>
      <w:r>
        <w:t xml:space="preserve"> </w:t>
      </w:r>
      <w:r>
        <w:t xml:space="preserve">Daten auch diese beiden Ebenen meist nicht sauber getrennt.</w:t>
      </w:r>
    </w:p>
    <w:bookmarkStart w:id="290" w:name="tbl-xml"/>
    <w:p>
      <w:pPr>
        <w:pStyle w:val="TableCaption"/>
      </w:pPr>
      <w:r>
        <w:t xml:space="preserve">Tabelle 6.2: Einige Bestandteile des XML-Format</w:t>
      </w:r>
    </w:p>
    <w:tbl>
      <w:tblPr>
        <w:tblStyle w:val="Table"/>
        <w:tblW w:type="auto" w:w="0"/>
        <w:tblLook w:firstRow="1" w:lastRow="0" w:firstColumn="0" w:lastColumn="0" w:noHBand="0" w:noVBand="0" w:val="0020"/>
        <w:tblCaption w:val="Tabelle 6.2: Einige Bestandteile des XML-Format"/>
      </w:tblPr>
      <w:tblGrid>
        <w:gridCol w:w="3960"/>
        <w:gridCol w:w="3960"/>
      </w:tblGrid>
      <w:tr>
        <w:trPr>
          <w:tblHeader w:val="true"/>
        </w:trPr>
        <w:tc>
          <w:tcPr/>
          <w:p>
            <w:pPr>
              <w:pStyle w:val="Compact"/>
              <w:jc w:val="left"/>
            </w:pPr>
            <w:r>
              <w:t xml:space="preserve">XML-Syntax</w:t>
            </w:r>
          </w:p>
        </w:tc>
        <w:tc>
          <w:tcPr/>
          <w:p>
            <w:pPr>
              <w:pStyle w:val="Compact"/>
              <w:jc w:val="left"/>
            </w:pPr>
            <w:r>
              <w:t xml:space="preserve">XML-Modell</w:t>
            </w:r>
          </w:p>
        </w:tc>
      </w:tr>
      <w:tr>
        <w:tc>
          <w:tcPr/>
          <w:p>
            <w:pPr>
              <w:pStyle w:val="Compact"/>
              <w:jc w:val="left"/>
            </w:pPr>
            <w:r>
              <w:rPr>
                <w:rStyle w:val="VerbatimChar"/>
              </w:rPr>
              <w:t xml:space="preserve">&lt;name /&gt;</w:t>
            </w:r>
            <w:r>
              <w:t xml:space="preserve"> </w:t>
            </w:r>
            <w:r>
              <w:t xml:space="preserve">oder</w:t>
            </w:r>
            <w:r>
              <w:t xml:space="preserve"> </w:t>
            </w:r>
            <w:r>
              <w:rPr>
                <w:rStyle w:val="VerbatimChar"/>
              </w:rPr>
              <w:t xml:space="preserve">&lt;name&gt;...&lt;/name&gt;</w:t>
            </w:r>
          </w:p>
        </w:tc>
        <w:tc>
          <w:tcPr/>
          <w:p>
            <w:pPr>
              <w:pStyle w:val="Compact"/>
              <w:jc w:val="left"/>
            </w:pPr>
            <w:r>
              <w:t xml:space="preserve">XML-Element</w:t>
            </w:r>
          </w:p>
        </w:tc>
      </w:tr>
      <w:tr>
        <w:tc>
          <w:tcPr/>
          <w:p>
            <w:pPr>
              <w:pStyle w:val="Compact"/>
              <w:jc w:val="left"/>
            </w:pPr>
            <w:r>
              <w:rPr>
                <w:rStyle w:val="VerbatimChar"/>
              </w:rPr>
              <w:t xml:space="preserve">name="Inhalt"</w:t>
            </w:r>
          </w:p>
        </w:tc>
        <w:tc>
          <w:tcPr/>
          <w:p>
            <w:pPr>
              <w:pStyle w:val="Compact"/>
              <w:jc w:val="left"/>
            </w:pPr>
            <w:r>
              <w:t xml:space="preserve">XML-Attribut</w:t>
            </w:r>
          </w:p>
        </w:tc>
      </w:tr>
      <w:tr>
        <w:tc>
          <w:tcPr/>
          <w:p>
            <w:pPr>
              <w:pStyle w:val="Compact"/>
              <w:jc w:val="left"/>
            </w:pPr>
            <w:r>
              <w:rPr>
                <w:rStyle w:val="VerbatimChar"/>
              </w:rPr>
              <w:t xml:space="preserve">&lt;!-- ... --&gt;</w:t>
            </w:r>
          </w:p>
        </w:tc>
        <w:tc>
          <w:tcPr/>
          <w:p>
            <w:pPr>
              <w:pStyle w:val="Compact"/>
              <w:jc w:val="left"/>
            </w:pPr>
            <w:r>
              <w:t xml:space="preserve">Kommentar</w:t>
            </w:r>
          </w:p>
        </w:tc>
      </w:tr>
    </w:tbl>
    <w:bookmarkEnd w:id="290"/>
    <w:p>
      <w:pPr>
        <w:pStyle w:val="BodyText"/>
      </w:pPr>
      <w:r>
        <w:t xml:space="preserve">Als Faustregel kann gelten, dass bei statischer Betrachtung von Daten</w:t>
      </w:r>
      <w:r>
        <w:t xml:space="preserve"> </w:t>
      </w:r>
      <w:r>
        <w:t xml:space="preserve">der Bezug auf ihre Syntax sinnvoll ist, während zur Verarbeitung von</w:t>
      </w:r>
      <w:r>
        <w:t xml:space="preserve"> </w:t>
      </w:r>
      <w:r>
        <w:t xml:space="preserve">Daten eher auf die Bestandteile ihrer Modelle Bezug genommen werden</w:t>
      </w:r>
      <w:r>
        <w:t xml:space="preserve"> </w:t>
      </w:r>
      <w:r>
        <w:t xml:space="preserve">sollte.</w:t>
      </w:r>
    </w:p>
    <w:p>
      <w:pPr>
        <w:pStyle w:val="BodyText"/>
      </w:pPr>
      <w:r>
        <w:t xml:space="preserve">Datenformate lassen sich grob in zwei Kategorien unterteilen:</w:t>
      </w:r>
    </w:p>
    <w:p>
      <w:pPr>
        <w:numPr>
          <w:ilvl w:val="0"/>
          <w:numId w:val="1066"/>
        </w:numPr>
      </w:pPr>
      <w:r>
        <w:rPr>
          <w:bCs/>
          <w:b/>
        </w:rPr>
        <w:t xml:space="preserve">Strukturierungssprachen</w:t>
      </w:r>
      <w:r>
        <w:t xml:space="preserve"> </w:t>
      </w:r>
      <w:r>
        <w:t xml:space="preserve">wie CSV, XML, JSON und RDF ermöglichen</w:t>
      </w:r>
      <w:r>
        <w:t xml:space="preserve"> </w:t>
      </w:r>
      <w:r>
        <w:t xml:space="preserve">es, Daten in kleinere Einheiten zu unterteilen und miteinander in</w:t>
      </w:r>
      <w:r>
        <w:t xml:space="preserve"> </w:t>
      </w:r>
      <w:r>
        <w:t xml:space="preserve">Beziehung zu setzen. Die Sprachen basieren auf allgemeinen</w:t>
      </w:r>
      <w:r>
        <w:t xml:space="preserve"> </w:t>
      </w:r>
      <w:r>
        <w:t xml:space="preserve">Ordnungsprinzipien (Felder, Tabellen, Hierarchien, Netzwerke…) und</w:t>
      </w:r>
      <w:r>
        <w:t xml:space="preserve"> </w:t>
      </w:r>
      <w:r>
        <w:t xml:space="preserve">ihre Modelle haben darüber hinaus keine eigene Semantik. Die</w:t>
      </w:r>
      <w:r>
        <w:t xml:space="preserve"> </w:t>
      </w:r>
      <w:r>
        <w:t xml:space="preserve">einfachste Strukturierungssprache ist das Prinzip der</w:t>
      </w:r>
      <w:r>
        <w:t xml:space="preserve"> </w:t>
      </w:r>
      <w:r>
        <w:t xml:space="preserve">Zeichenkette.</w:t>
      </w:r>
    </w:p>
    <w:p>
      <w:pPr>
        <w:numPr>
          <w:ilvl w:val="0"/>
          <w:numId w:val="1066"/>
        </w:numPr>
      </w:pPr>
      <w:r>
        <w:rPr>
          <w:bCs/>
          <w:b/>
        </w:rPr>
        <w:t xml:space="preserve">Anwendungsformate</w:t>
      </w:r>
      <w:r>
        <w:t xml:space="preserve"> </w:t>
      </w:r>
      <w:r>
        <w:t xml:space="preserve">legen die Struktur von Daten für konkrete Arten von</w:t>
      </w:r>
      <w:r>
        <w:t xml:space="preserve"> </w:t>
      </w:r>
      <w:r>
        <w:t xml:space="preserve">Inhalten fest (</w:t>
      </w:r>
      <w:hyperlink w:anchor="metadatenformate">
        <w:r>
          <w:rPr>
            <w:rStyle w:val="Hyperlink"/>
          </w:rPr>
          <w:t xml:space="preserve">Metadatenformate</w:t>
        </w:r>
      </w:hyperlink>
      <w:r>
        <w:t xml:space="preserve"> </w:t>
      </w:r>
      <w:r>
        <w:t xml:space="preserve">zur Beschreibung von</w:t>
      </w:r>
      <w:r>
        <w:t xml:space="preserve"> </w:t>
      </w:r>
      <w:r>
        <w:t xml:space="preserve">Dokumenten, Bildformate für Bilder…). Ihre Modelle verweisen letztendlich</w:t>
      </w:r>
      <w:r>
        <w:t xml:space="preserve"> </w:t>
      </w:r>
      <w:r>
        <w:t xml:space="preserve">auf reale Objekte und Eigenschaften. Viele Anwendungsformate sind ihrerseits</w:t>
      </w:r>
      <w:r>
        <w:t xml:space="preserve"> </w:t>
      </w:r>
      <w:r>
        <w:t xml:space="preserve">mittels einer Strukturierungssprache kodiert, zum Beispiel basiert das</w:t>
      </w:r>
      <w:r>
        <w:t xml:space="preserve"> </w:t>
      </w:r>
      <w:r>
        <w:t xml:space="preserve">DataCite-Format zur Beschreibung von Forschungsdaten auf dem XML-Modell.</w:t>
      </w:r>
    </w:p>
    <w:p>
      <w:pPr>
        <w:pStyle w:val="FirstParagraph"/>
      </w:pPr>
      <w:r>
        <w:t xml:space="preserve">Darüber hinaus gibt es besondere Formate, deren Anwendung in der</w:t>
      </w:r>
      <w:r>
        <w:t xml:space="preserve"> </w:t>
      </w:r>
      <w:r>
        <w:t xml:space="preserve">Verarbeitung von Daten liegt. Neben Programmiersprachen, die selbst</w:t>
      </w:r>
      <w:r>
        <w:t xml:space="preserve"> </w:t>
      </w:r>
      <w:r>
        <w:t xml:space="preserve">nicht als Datenformate betrachtet werden, sind dies folgende Sprachen:</w:t>
      </w:r>
    </w:p>
    <w:p>
      <w:pPr>
        <w:numPr>
          <w:ilvl w:val="0"/>
          <w:numId w:val="1067"/>
        </w:numPr>
      </w:pPr>
      <w:r>
        <w:rPr>
          <w:bCs/>
          <w:b/>
        </w:rPr>
        <w:t xml:space="preserve">Schemasprachen</w:t>
      </w:r>
      <w:r>
        <w:t xml:space="preserve"> </w:t>
      </w:r>
      <w:r>
        <w:t xml:space="preserve">wie XML Schema, JSON Schema und nicht zuletzt</w:t>
      </w:r>
      <w:r>
        <w:t xml:space="preserve"> </w:t>
      </w:r>
      <w:r>
        <w:rPr>
          <w:iCs/>
          <w:i/>
        </w:rPr>
        <w:t xml:space="preserve">reguläre Ausdrücke</w:t>
      </w:r>
      <w:r>
        <w:t xml:space="preserve"> </w:t>
      </w:r>
      <w:r>
        <w:t xml:space="preserve">dienen der formalen Beschreibung der Syntax</w:t>
      </w:r>
      <w:r>
        <w:t xml:space="preserve"> </w:t>
      </w:r>
      <w:r>
        <w:t xml:space="preserve">von Datenformaten. Dabei bezieht sich jede Schemasprache auf eine</w:t>
      </w:r>
      <w:r>
        <w:t xml:space="preserve"> </w:t>
      </w:r>
      <w:r>
        <w:t xml:space="preserve">Strukturierungssprache (</w:t>
      </w:r>
      <w:r>
        <w:rPr>
          <w:iCs/>
          <w:i/>
        </w:rPr>
        <w:t xml:space="preserve">XML Schema</w:t>
      </w:r>
      <w:r>
        <w:t xml:space="preserve"> </w:t>
      </w:r>
      <w:r>
        <w:t xml:space="preserve">für XML-Formate,</w:t>
      </w:r>
      <w:r>
        <w:t xml:space="preserve"> </w:t>
      </w:r>
      <w:r>
        <w:t xml:space="preserve">Avram</w:t>
      </w:r>
      <w:r>
        <w:t xml:space="preserve"> </w:t>
      </w:r>
      <w:r>
        <w:t xml:space="preserve">für</w:t>
      </w:r>
      <w:r>
        <w:t xml:space="preserve"> </w:t>
      </w:r>
      <w:r>
        <w:t xml:space="preserve">feldbasierte Formate…).</w:t>
      </w:r>
    </w:p>
    <w:p>
      <w:pPr>
        <w:numPr>
          <w:ilvl w:val="0"/>
          <w:numId w:val="1067"/>
        </w:numPr>
      </w:pPr>
      <w:r>
        <w:rPr>
          <w:bCs/>
          <w:b/>
        </w:rPr>
        <w:t xml:space="preserve">Abfragesprachen</w:t>
      </w:r>
      <w:r>
        <w:t xml:space="preserve"> </w:t>
      </w:r>
      <w:r>
        <w:t xml:space="preserve">dienen dem Verweis auf einzelne Teile von</w:t>
      </w:r>
      <w:r>
        <w:t xml:space="preserve"> </w:t>
      </w:r>
      <w:r>
        <w:t xml:space="preserve">Datensätzen. Sie beziehen sich ebenfalls immer auf eine</w:t>
      </w:r>
      <w:r>
        <w:t xml:space="preserve"> </w:t>
      </w:r>
      <w:r>
        <w:t xml:space="preserve">Strukturierungssprache (zum Beispiel XPath für XML, JSON Path für</w:t>
      </w:r>
      <w:r>
        <w:t xml:space="preserve"> </w:t>
      </w:r>
      <w:r>
        <w:t xml:space="preserve">JSON…) und sind für die Verarbeitung von Daten notwendig.</w:t>
      </w:r>
    </w:p>
    <w:p>
      <w:pPr>
        <w:numPr>
          <w:ilvl w:val="0"/>
          <w:numId w:val="1067"/>
        </w:numPr>
      </w:pPr>
      <w:r>
        <w:rPr>
          <w:bCs/>
          <w:b/>
        </w:rPr>
        <w:t xml:space="preserve">Modellierungssprachen</w:t>
      </w:r>
      <w:r>
        <w:t xml:space="preserve"> </w:t>
      </w:r>
      <w:r>
        <w:t xml:space="preserve">helfen zur Beschreibung von Datenmodellen.</w:t>
      </w:r>
      <w:r>
        <w:t xml:space="preserve"> </w:t>
      </w:r>
      <w:r>
        <w:t xml:space="preserve">Die häufigsten Modellierungssprachen basieren auf dem</w:t>
      </w:r>
      <w:r>
        <w:t xml:space="preserve"> </w:t>
      </w:r>
      <w:r>
        <w:t xml:space="preserve">Entity-Relationship-Modell. Da zwischen Syntax und Semantik</w:t>
      </w:r>
      <w:r>
        <w:t xml:space="preserve"> </w:t>
      </w:r>
      <w:r>
        <w:t xml:space="preserve">irgendwann die reine Datenebene verlassen werden muss, sind die</w:t>
      </w:r>
      <w:r>
        <w:t xml:space="preserve"> </w:t>
      </w:r>
      <w:r>
        <w:t xml:space="preserve">wichtigsten Mittel zur Datenmodellierung allerdings Diagramme und</w:t>
      </w:r>
      <w:r>
        <w:t xml:space="preserve"> </w:t>
      </w:r>
      <w:r>
        <w:t xml:space="preserve">Beschreibungen in natürlicher Sprache.</w:t>
      </w:r>
    </w:p>
    <w:p>
      <w:pPr>
        <w:pStyle w:val="FirstParagraph"/>
      </w:pPr>
      <w:r>
        <w:t xml:space="preserve">Die Verwendung von Schema-, Abfrage- und Modellierungssprachen hilft, viele</w:t>
      </w:r>
      <w:r>
        <w:t xml:space="preserve"> </w:t>
      </w:r>
      <w:r>
        <w:t xml:space="preserve">häufige Fehler bei der (Meta)datenverarbeitung zu vermeiden. Ein Beispiel</w:t>
      </w:r>
      <w:r>
        <w:t xml:space="preserve"> </w:t>
      </w:r>
      <w:r>
        <w:t xml:space="preserve">hierfür ist das</w:t>
      </w:r>
      <w:r>
        <w:t xml:space="preserve"> </w:t>
      </w:r>
      <w:r>
        <w:rPr>
          <w:iCs/>
          <w:i/>
        </w:rPr>
        <w:t xml:space="preserve">Resource Description Framework</w:t>
      </w:r>
      <w:r>
        <w:t xml:space="preserve"> </w:t>
      </w:r>
      <w:r>
        <w:t xml:space="preserve">(</w:t>
      </w:r>
      <w:r>
        <w:rPr>
          <w:iCs/>
          <w:i/>
        </w:rPr>
        <w:t xml:space="preserve">RDF</w:t>
      </w:r>
      <w:r>
        <w:t xml:space="preserve">) mit dazu gehörigen</w:t>
      </w:r>
      <w:r>
        <w:t xml:space="preserve"> </w:t>
      </w:r>
      <w:r>
        <w:t xml:space="preserve">Schemasprachen (</w:t>
      </w:r>
      <w:r>
        <w:rPr>
          <w:iCs/>
          <w:i/>
        </w:rPr>
        <w:t xml:space="preserve">SHACL</w:t>
      </w:r>
      <w:r>
        <w:t xml:space="preserve">/</w:t>
      </w:r>
      <w:r>
        <w:rPr>
          <w:iCs/>
          <w:i/>
        </w:rPr>
        <w:t xml:space="preserve">ShEx</w:t>
      </w:r>
      <w:r>
        <w:t xml:space="preserve">), Abfragesprachen (</w:t>
      </w:r>
      <w:r>
        <w:rPr>
          <w:iCs/>
          <w:i/>
        </w:rPr>
        <w:t xml:space="preserve">SPARQL</w:t>
      </w:r>
      <w:r>
        <w:t xml:space="preserve">) und</w:t>
      </w:r>
      <w:r>
        <w:t xml:space="preserve"> </w:t>
      </w:r>
      <w:r>
        <w:t xml:space="preserve">Modellierungssprachen (</w:t>
      </w:r>
      <w:r>
        <w:rPr>
          <w:iCs/>
          <w:i/>
        </w:rPr>
        <w:t xml:space="preserve">RDFS</w:t>
      </w:r>
      <w:r>
        <w:t xml:space="preserve">/</w:t>
      </w:r>
      <w:r>
        <w:rPr>
          <w:iCs/>
          <w:i/>
        </w:rPr>
        <w:t xml:space="preserve">OWL</w:t>
      </w:r>
      <w:r>
        <w:t xml:space="preserve">). In anderen Fällen wird aus Mangel an</w:t>
      </w:r>
      <w:r>
        <w:t xml:space="preserve"> </w:t>
      </w:r>
      <w:r>
        <w:t xml:space="preserve">Werkzeugen und Kenntnissen auf spezielle Datensprachen verzichtet und</w:t>
      </w:r>
      <w:r>
        <w:t xml:space="preserve"> </w:t>
      </w:r>
      <w:r>
        <w:t xml:space="preserve">stattdessen auf allgemeine Programmiersprachen zurückgegriffen.</w:t>
      </w:r>
    </w:p>
    <w:p>
      <w:pPr>
        <w:pStyle w:val="BodyText"/>
      </w:pPr>
      <w:r>
        <w:t xml:space="preserve">Eine ausführlichere Beschreibung von Datenformaten mit bibliothekarischem</w:t>
      </w:r>
      <w:r>
        <w:t xml:space="preserve"> </w:t>
      </w:r>
      <w:r>
        <w:t xml:space="preserve">Schwerpunkt bietet die Datenbank</w:t>
      </w:r>
      <w:r>
        <w:t xml:space="preserve"> </w:t>
      </w:r>
      <w:hyperlink r:id="rId291">
        <w:r>
          <w:rPr>
            <w:rStyle w:val="Hyperlink"/>
          </w:rPr>
          <w:t xml:space="preserve">format.gbv.de</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2" name="Picture"/>
                  <a:graphic>
                    <a:graphicData uri="http://schemas.openxmlformats.org/drawingml/2006/picture">
                      <pic:pic>
                        <pic:nvPicPr>
                          <pic:cNvPr descr="/opt/quarto/share/formats/docx/tip.png" id="2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Reguläre Ausdrücke</w:t>
            </w:r>
            <w:r>
              <w:t xml:space="preserve"> </w:t>
            </w:r>
            <w:r>
              <w:t xml:space="preserve">sind das gängigste Mittel zur Beschreibung der Syntax von Daten. Gleichzeitig können mit ihnen Zeichenketten nach Mustern durchsucht werden. Ein regulärer Ausdruck für die Syntax einer ISBN-13 mit optionalen Trennstrichen ist beispielsweise:</w:t>
            </w:r>
          </w:p>
          <w:p>
            <w:pPr>
              <w:pStyle w:val="SourceCode"/>
            </w:pPr>
            <w:r>
              <w:rPr>
                <w:rStyle w:val="VerbatimChar"/>
              </w:rPr>
              <w:t xml:space="preserve">(97[89])-?([0-9]{1,5})-?([0-9]+)-?([0-9]+)-?[0-9]</w:t>
            </w:r>
          </w:p>
          <w:p>
            <w:pPr>
              <w:pStyle w:val="FirstParagraph"/>
            </w:pPr>
            <w:pPr>
              <w:spacing w:after="16"/>
            </w:pPr>
            <w:r>
              <w:t xml:space="preserve">Üblicherweise decken Schemasprachen nicht alle Aspekte eines Datenformat ab: so</w:t>
            </w:r>
            <w:r>
              <w:t xml:space="preserve"> </w:t>
            </w:r>
            <w:r>
              <w:t xml:space="preserve">lässt sich die Korrektheit der abschließenden Prüfziffer (</w:t>
            </w:r>
            <w:r>
              <w:rPr>
                <w:rStyle w:val="VerbatimChar"/>
              </w:rPr>
              <w:t xml:space="preserve">[0-9]</w:t>
            </w:r>
            <w:r>
              <w:t xml:space="preserve">) nicht mit</w:t>
            </w:r>
            <w:r>
              <w:t xml:space="preserve"> </w:t>
            </w:r>
            <w:r>
              <w:t xml:space="preserve">einem regulären Ausdruck überprüfen.</w:t>
            </w:r>
          </w:p>
        </w:tc>
      </w:tr>
    </w:tbl>
    <w:p>
      <w:pPr>
        <w:pStyle w:val="BodyText"/>
      </w:pPr>
      <w:r>
        <w:t xml:space="preserve">In der Praxis werden Daten in einem Datenformat zusätzlich durch</w:t>
      </w:r>
      <w:r>
        <w:t xml:space="preserve"> </w:t>
      </w:r>
      <w:r>
        <w:t xml:space="preserve">anwendungsspezifische Auslegungen und Einschränkungen geprägt, darunter</w:t>
      </w:r>
      <w:r>
        <w:t xml:space="preserve"> </w:t>
      </w:r>
      <w:r>
        <w:t xml:space="preserve">Format-Varianten, Anwendungsprofile, Erfassungsregeln und -praxis.</w:t>
      </w:r>
    </w:p>
    <w:bookmarkEnd w:id="294"/>
    <w:bookmarkStart w:id="295" w:name="datenerfassung"/>
    <w:p>
      <w:pPr>
        <w:pStyle w:val="Heading2"/>
      </w:pPr>
      <w:r>
        <w:t xml:space="preserve">Datenerfassung</w:t>
      </w:r>
    </w:p>
    <w:p>
      <w:pPr>
        <w:pStyle w:val="FirstParagraph"/>
      </w:pPr>
      <w:r>
        <w:t xml:space="preserve">Traditionell werden bibliothekarische Metadaten durch Katalogisierung</w:t>
      </w:r>
      <w:r>
        <w:t xml:space="preserve"> </w:t>
      </w:r>
      <w:r>
        <w:t xml:space="preserve">erstellt. Die Verwaltung der Katalogdaten erfolgt entweder lokal oder</w:t>
      </w:r>
      <w:r>
        <w:t xml:space="preserve"> </w:t>
      </w:r>
      <w:r>
        <w:t xml:space="preserve">gemeinsam in einer</w:t>
      </w:r>
      <w:r>
        <w:t xml:space="preserve"> </w:t>
      </w:r>
      <w:r>
        <w:rPr>
          <w:bCs/>
          <w:b/>
        </w:rPr>
        <w:t xml:space="preserve">Verbunddatenbank</w:t>
      </w:r>
      <w:r>
        <w:t xml:space="preserve">. Der Vorteil der</w:t>
      </w:r>
      <w:r>
        <w:t xml:space="preserve"> </w:t>
      </w:r>
      <w:r>
        <w:t xml:space="preserve">Verbundkatalogisierung liegt darin, dass jedes Dokument nur einmal</w:t>
      </w:r>
      <w:r>
        <w:t xml:space="preserve"> </w:t>
      </w:r>
      <w:r>
        <w:t xml:space="preserve">zentral beschrieben werden muss, während bei lokaler Katalogisierung</w:t>
      </w:r>
      <w:r>
        <w:t xml:space="preserve"> </w:t>
      </w:r>
      <w:r>
        <w:t xml:space="preserve">durch</w:t>
      </w:r>
      <w:r>
        <w:t xml:space="preserve"> </w:t>
      </w:r>
      <w:r>
        <w:rPr>
          <w:iCs/>
          <w:i/>
        </w:rPr>
        <w:t xml:space="preserve">Fremddatenübernahme</w:t>
      </w:r>
      <w:r>
        <w:t xml:space="preserve"> </w:t>
      </w:r>
      <w:r>
        <w:t xml:space="preserve">nur zum Teil auf vorhandene Kataloge</w:t>
      </w:r>
      <w:r>
        <w:t xml:space="preserve"> </w:t>
      </w:r>
      <w:r>
        <w:t xml:space="preserve">zurückgegriffen werden kann.</w:t>
      </w:r>
    </w:p>
    <w:p>
      <w:pPr>
        <w:pStyle w:val="BodyText"/>
      </w:pPr>
      <w:r>
        <w:t xml:space="preserve">Im Idealfall sollte die Erfassung nach</w:t>
      </w:r>
      <w:r>
        <w:t xml:space="preserve"> </w:t>
      </w:r>
      <w:r>
        <w:rPr>
          <w:iCs/>
          <w:i/>
        </w:rPr>
        <w:t xml:space="preserve">Autopsie</w:t>
      </w:r>
      <w:r>
        <w:t xml:space="preserve">, also auf Grundlage des</w:t>
      </w:r>
      <w:r>
        <w:t xml:space="preserve"> </w:t>
      </w:r>
      <w:r>
        <w:t xml:space="preserve">vorliegenden Werkes, durch geschultes Personal und nach etablierten Regelwerken</w:t>
      </w:r>
      <w:r>
        <w:t xml:space="preserve"> </w:t>
      </w:r>
      <w:r>
        <w:t xml:space="preserve">(</w:t>
      </w:r>
      <w:r>
        <w:rPr>
          <w:iCs/>
          <w:i/>
        </w:rPr>
        <w:t xml:space="preserve">Katalogisierungsrichtlinien</w:t>
      </w:r>
      <w:r>
        <w:t xml:space="preserve">) erfolgen. Um möglichst viele Publikationen zu</w:t>
      </w:r>
      <w:r>
        <w:t xml:space="preserve"> </w:t>
      </w:r>
      <w:r>
        <w:t xml:space="preserve">erfassen, wird jedoch zunehmend auch auf anderweitig erfasste Metadaten von</w:t>
      </w:r>
      <w:r>
        <w:t xml:space="preserve"> </w:t>
      </w:r>
      <w:r>
        <w:t xml:space="preserve">Verlagen, Repositories und aus anderen Quellen zurückgegriffen. Dazu müssen</w:t>
      </w:r>
      <w:r>
        <w:t xml:space="preserve"> </w:t>
      </w:r>
      <w:r>
        <w:t xml:space="preserve">Daten unterschiedlicher Erschließungstiefe und -qualität im Rahmen von</w:t>
      </w:r>
      <w:r>
        <w:t xml:space="preserve"> </w:t>
      </w:r>
      <w:hyperlink w:anchor="etl-prozess">
        <w:r>
          <w:rPr>
            <w:rStyle w:val="Hyperlink"/>
          </w:rPr>
          <w:t xml:space="preserve">ETL-Prozessen</w:t>
        </w:r>
      </w:hyperlink>
      <w:r>
        <w:t xml:space="preserve"> </w:t>
      </w:r>
      <w:r>
        <w:t xml:space="preserve">gesammelt, analysiert und mit vorhandenen Daten</w:t>
      </w:r>
      <w:r>
        <w:t xml:space="preserve"> </w:t>
      </w:r>
      <w:r>
        <w:t xml:space="preserve">vereinheitlicht werden. In jedem Fall muss beachtet werden, dass sich Regeln</w:t>
      </w:r>
      <w:r>
        <w:t xml:space="preserve"> </w:t>
      </w:r>
      <w:r>
        <w:t xml:space="preserve">und Umstände, nach denen Daten erfasst werden, mit der Zeit ändern können</w:t>
      </w:r>
      <w:r>
        <w:t xml:space="preserve"> </w:t>
      </w:r>
      <w:r>
        <w:t xml:space="preserve">(beispielsweise der Umstieg der Erfassungsregeln von</w:t>
      </w:r>
      <w:r>
        <w:t xml:space="preserve"> </w:t>
      </w:r>
      <w:r>
        <w:rPr>
          <w:iCs/>
          <w:i/>
        </w:rPr>
        <w:t xml:space="preserve">RAK</w:t>
      </w:r>
      <w:r>
        <w:t xml:space="preserve"> </w:t>
      </w:r>
      <w:r>
        <w:t xml:space="preserve">auf</w:t>
      </w:r>
      <w:r>
        <w:t xml:space="preserve"> </w:t>
      </w:r>
      <w:r>
        <w:rPr>
          <w:iCs/>
          <w:i/>
        </w:rPr>
        <w:t xml:space="preserve">RDA</w:t>
      </w:r>
      <w:r>
        <w:t xml:space="preserve">) und dass</w:t>
      </w:r>
      <w:r>
        <w:t xml:space="preserve"> </w:t>
      </w:r>
      <w:r>
        <w:t xml:space="preserve">das Ergebnis auch davon abhängt, wie gut überprüft werden kann, inwieweit die</w:t>
      </w:r>
      <w:r>
        <w:t xml:space="preserve"> </w:t>
      </w:r>
      <w:r>
        <w:t xml:space="preserve">Anforderungen an die Daten sind.</w:t>
      </w:r>
    </w:p>
    <w:p>
      <w:pPr>
        <w:pStyle w:val="BodyText"/>
      </w:pPr>
      <w:r>
        <w:t xml:space="preserve">Darüber hinaus gibt es Verfahren zur automatischen Erstellung von</w:t>
      </w:r>
      <w:r>
        <w:t xml:space="preserve"> </w:t>
      </w:r>
      <w:r>
        <w:t xml:space="preserve">Metadaten aus vorhandenen Dokumenten, beispielsweise zur Erkennung und</w:t>
      </w:r>
      <w:r>
        <w:t xml:space="preserve"> </w:t>
      </w:r>
      <w:r>
        <w:t xml:space="preserve">Auswertung von Literaturangaben und zur thematischen Einordnung von</w:t>
      </w:r>
      <w:r>
        <w:t xml:space="preserve"> </w:t>
      </w:r>
      <w:r>
        <w:t xml:space="preserve">Dokumenten. Mit diesen Verfahren lassen sich zwar größere Mengen von</w:t>
      </w:r>
      <w:r>
        <w:t xml:space="preserve"> </w:t>
      </w:r>
      <w:r>
        <w:t xml:space="preserve">Daten erfassen, es muss aber immer mit einer gewissen Fehlerrate</w:t>
      </w:r>
      <w:r>
        <w:t xml:space="preserve"> </w:t>
      </w:r>
      <w:r>
        <w:t xml:space="preserve">gerechnet werden.</w:t>
      </w:r>
    </w:p>
    <w:p>
      <w:pPr>
        <w:pStyle w:val="BodyText"/>
      </w:pPr>
      <w:r>
        <w:t xml:space="preserve">Welche Art und welcher Umfang von Fehlern und Uneinheitlichkeiten bei</w:t>
      </w:r>
      <w:r>
        <w:t xml:space="preserve"> </w:t>
      </w:r>
      <w:r>
        <w:t xml:space="preserve">der Datenerfassung tolerierbar sind, hängt letztlich davon ab, wozu die</w:t>
      </w:r>
      <w:r>
        <w:t xml:space="preserve"> </w:t>
      </w:r>
      <w:r>
        <w:t xml:space="preserve">Daten erfasst werden: so gelten beispielsweise für eine historische</w:t>
      </w:r>
      <w:r>
        <w:t xml:space="preserve"> </w:t>
      </w:r>
      <w:r>
        <w:t xml:space="preserve">Bibliographie andere Maßstäbe als für einen Suchindex.</w:t>
      </w:r>
    </w:p>
    <w:p>
      <w:pPr>
        <w:pStyle w:val="BodyText"/>
      </w:pPr>
      <w:r>
        <w:t xml:space="preserve">Nicht zuletzt sollte bedacht werden, dass Geschwindigkeit und Qualität</w:t>
      </w:r>
      <w:r>
        <w:t xml:space="preserve"> </w:t>
      </w:r>
      <w:r>
        <w:t xml:space="preserve">von Datenerfassung auch von der Usability der Werkzeuge abhängen, mit</w:t>
      </w:r>
      <w:r>
        <w:t xml:space="preserve"> </w:t>
      </w:r>
      <w:r>
        <w:t xml:space="preserve">denen Daten erstellt, bearbeitet und</w:t>
      </w:r>
      <w:r>
        <w:t xml:space="preserve"> </w:t>
      </w:r>
      <w:r>
        <w:rPr>
          <w:iCs/>
          <w:i/>
        </w:rPr>
        <w:t xml:space="preserve">analysiert</w:t>
      </w:r>
      <w:r>
        <w:t xml:space="preserve"> </w:t>
      </w:r>
      <w:r>
        <w:t xml:space="preserve">werden können.</w:t>
      </w:r>
    </w:p>
    <w:bookmarkEnd w:id="295"/>
    <w:bookmarkStart w:id="300" w:name="identifikatoren-und-normdaten"/>
    <w:p>
      <w:pPr>
        <w:pStyle w:val="Heading2"/>
      </w:pPr>
      <w:r>
        <w:t xml:space="preserve">Identifikatoren und Normdaten</w:t>
      </w:r>
    </w:p>
    <w:p>
      <w:pPr>
        <w:pStyle w:val="FirstParagraph"/>
      </w:pPr>
      <w:r>
        <w:t xml:space="preserve">Ein wesentlicher Teil von Daten besteht aus Identifikatoren (IDs wie</w:t>
      </w:r>
      <w:r>
        <w:t xml:space="preserve"> </w:t>
      </w:r>
      <w:r>
        <w:t xml:space="preserve">Nummern, Codes…) zum Verweis auf externe Objekte oder an anderer Stelle</w:t>
      </w:r>
      <w:r>
        <w:t xml:space="preserve"> </w:t>
      </w:r>
      <w:r>
        <w:t xml:space="preserve">verwaltete Informationen. Identifikatoren ermöglichen die eindeutige</w:t>
      </w:r>
      <w:r>
        <w:t xml:space="preserve"> </w:t>
      </w:r>
      <w:r>
        <w:t xml:space="preserve">Referenzierung gleicher Dinge in unterschiedlichen Kontexten, so dass</w:t>
      </w:r>
      <w:r>
        <w:t xml:space="preserve"> </w:t>
      </w:r>
      <w:r>
        <w:t xml:space="preserve">Daten aus verschiedenen Quellen miteinander abgeglichen und kombiniert</w:t>
      </w:r>
      <w:r>
        <w:t xml:space="preserve"> </w:t>
      </w:r>
      <w:r>
        <w:t xml:space="preserve">werden können.</w:t>
      </w:r>
    </w:p>
    <w:bookmarkStart w:id="297" w:name="identifikator-systeme"/>
    <w:p>
      <w:pPr>
        <w:pStyle w:val="Heading3"/>
      </w:pPr>
      <w:r>
        <w:t xml:space="preserve">Identifikator-Systeme</w:t>
      </w:r>
    </w:p>
    <w:p>
      <w:pPr>
        <w:pStyle w:val="FirstParagraph"/>
      </w:pPr>
      <w:r>
        <w:t xml:space="preserve">Neben eher intern genutzten Datensatz-Identifikatoren (z.B. die</w:t>
      </w:r>
      <w:r>
        <w:t xml:space="preserve"> </w:t>
      </w:r>
      <w:r>
        <w:rPr>
          <w:iCs/>
          <w:i/>
        </w:rPr>
        <w:t xml:space="preserve">PPN</w:t>
      </w:r>
      <w:r>
        <w:t xml:space="preserve"> </w:t>
      </w:r>
      <w:r>
        <w:t xml:space="preserve">des Bibliothekssystems PICA oder die ZDB-ID der Zeitschriftendatenbank)</w:t>
      </w:r>
      <w:r>
        <w:t xml:space="preserve"> </w:t>
      </w:r>
      <w:r>
        <w:t xml:space="preserve">sind vor allem international standardisierte Identifikatoren von</w:t>
      </w:r>
      <w:r>
        <w:t xml:space="preserve"> </w:t>
      </w:r>
      <w:r>
        <w:t xml:space="preserve">Bedeutung. Beispiele für solche Identifier-Systeme mit Relevanz für</w:t>
      </w:r>
      <w:r>
        <w:t xml:space="preserve"> </w:t>
      </w:r>
      <w:r>
        <w:t xml:space="preserve">bibliothekarischer Daten sind die nachfolgenden:</w:t>
      </w:r>
    </w:p>
    <w:p>
      <w:pPr>
        <w:numPr>
          <w:ilvl w:val="0"/>
          <w:numId w:val="1068"/>
        </w:numPr>
      </w:pPr>
      <w:r>
        <w:t xml:space="preserve">Die</w:t>
      </w:r>
      <w:r>
        <w:t xml:space="preserve"> </w:t>
      </w:r>
      <w:r>
        <w:rPr>
          <w:iCs/>
          <w:i/>
        </w:rPr>
        <w:t xml:space="preserve">International Standard Book Number</w:t>
      </w:r>
      <w:r>
        <w:t xml:space="preserve"> </w:t>
      </w:r>
      <w:r>
        <w:t xml:space="preserve">(</w:t>
      </w:r>
      <w:r>
        <w:rPr>
          <w:bCs/>
          <w:b/>
        </w:rPr>
        <w:t xml:space="preserve">ISBN</w:t>
      </w:r>
      <w:r>
        <w:t xml:space="preserve">) wird von</w:t>
      </w:r>
      <w:r>
        <w:t xml:space="preserve"> </w:t>
      </w:r>
      <w:r>
        <w:t xml:space="preserve">Verlagen für Bücher vergeben. Seit 2007 ist die 13-stellige ISBN</w:t>
      </w:r>
      <w:r>
        <w:t xml:space="preserve"> </w:t>
      </w:r>
      <w:r>
        <w:t xml:space="preserve">Teil des EAN-Barcode-Systems.</w:t>
      </w:r>
    </w:p>
    <w:p>
      <w:pPr>
        <w:numPr>
          <w:ilvl w:val="0"/>
          <w:numId w:val="1068"/>
        </w:numPr>
      </w:pPr>
      <w:r>
        <w:t xml:space="preserve">Die</w:t>
      </w:r>
      <w:r>
        <w:t xml:space="preserve"> </w:t>
      </w:r>
      <w:r>
        <w:rPr>
          <w:iCs/>
          <w:i/>
        </w:rPr>
        <w:t xml:space="preserve">International Standard Serial Number</w:t>
      </w:r>
      <w:r>
        <w:t xml:space="preserve"> </w:t>
      </w:r>
      <w:r>
        <w:t xml:space="preserve">(</w:t>
      </w:r>
      <w:r>
        <w:rPr>
          <w:bCs/>
          <w:b/>
        </w:rPr>
        <w:t xml:space="preserve">ISSN</w:t>
      </w:r>
      <w:r>
        <w:t xml:space="preserve">) identifiziert</w:t>
      </w:r>
      <w:r>
        <w:t xml:space="preserve"> </w:t>
      </w:r>
      <w:r>
        <w:t xml:space="preserve">Zeitschriften und Schriftenreihen.</w:t>
      </w:r>
    </w:p>
    <w:p>
      <w:pPr>
        <w:numPr>
          <w:ilvl w:val="0"/>
          <w:numId w:val="1068"/>
        </w:numPr>
      </w:pPr>
      <w:r>
        <w:t xml:space="preserve">Der</w:t>
      </w:r>
      <w:r>
        <w:t xml:space="preserve"> </w:t>
      </w:r>
      <w:r>
        <w:rPr>
          <w:iCs/>
          <w:i/>
        </w:rPr>
        <w:t xml:space="preserve">Digital Object Identifier</w:t>
      </w:r>
      <w:r>
        <w:t xml:space="preserve"> </w:t>
      </w:r>
      <w:r>
        <w:t xml:space="preserve">(</w:t>
      </w:r>
      <w:r>
        <w:rPr>
          <w:bCs/>
          <w:b/>
        </w:rPr>
        <w:t xml:space="preserve">DOI</w:t>
      </w:r>
      <w:r>
        <w:t xml:space="preserve">) identifiziert digitale</w:t>
      </w:r>
      <w:r>
        <w:t xml:space="preserve"> </w:t>
      </w:r>
      <w:r>
        <w:t xml:space="preserve">Publikationen in elektronischen Zeitschriften und Repositories.</w:t>
      </w:r>
    </w:p>
    <w:p>
      <w:pPr>
        <w:numPr>
          <w:ilvl w:val="0"/>
          <w:numId w:val="1068"/>
        </w:numPr>
      </w:pPr>
      <w:r>
        <w:t xml:space="preserve">Der</w:t>
      </w:r>
      <w:r>
        <w:t xml:space="preserve"> </w:t>
      </w:r>
      <w:r>
        <w:rPr>
          <w:iCs/>
          <w:i/>
        </w:rPr>
        <w:t xml:space="preserve">International Standard Identifier for Libraries and Related</w:t>
      </w:r>
      <w:r>
        <w:rPr>
          <w:iCs/>
          <w:i/>
        </w:rPr>
        <w:t xml:space="preserve"> </w:t>
      </w:r>
      <w:r>
        <w:rPr>
          <w:iCs/>
          <w:i/>
        </w:rPr>
        <w:t xml:space="preserve">Organisations</w:t>
      </w:r>
      <w:r>
        <w:t xml:space="preserve"> </w:t>
      </w:r>
      <w:r>
        <w:t xml:space="preserve">(</w:t>
      </w:r>
      <w:r>
        <w:rPr>
          <w:bCs/>
          <w:b/>
        </w:rPr>
        <w:t xml:space="preserve">ISIL</w:t>
      </w:r>
      <w:r>
        <w:t xml:space="preserve">) referenziert Bibliotheken, Archive,</w:t>
      </w:r>
      <w:r>
        <w:t xml:space="preserve"> </w:t>
      </w:r>
      <w:r>
        <w:t xml:space="preserve">Museen und verwandte Einrichtungen.</w:t>
      </w:r>
    </w:p>
    <w:p>
      <w:pPr>
        <w:numPr>
          <w:ilvl w:val="0"/>
          <w:numId w:val="1068"/>
        </w:numPr>
      </w:pPr>
      <w:r>
        <w:t xml:space="preserve">Die</w:t>
      </w:r>
      <w:r>
        <w:t xml:space="preserve"> </w:t>
      </w:r>
      <w:r>
        <w:rPr>
          <w:iCs/>
          <w:i/>
        </w:rPr>
        <w:t xml:space="preserve">Open Researcher and Contributor ID</w:t>
      </w:r>
      <w:r>
        <w:t xml:space="preserve"> </w:t>
      </w:r>
      <w:r>
        <w:t xml:space="preserve">(</w:t>
      </w:r>
      <w:r>
        <w:rPr>
          <w:bCs/>
          <w:b/>
        </w:rPr>
        <w:t xml:space="preserve">ORCID</w:t>
      </w:r>
      <w:r>
        <w:t xml:space="preserve">) identifiziert</w:t>
      </w:r>
      <w:r>
        <w:t xml:space="preserve"> </w:t>
      </w:r>
      <w:r>
        <w:t xml:space="preserve">Autor*innen von wissenschaftlichen Publikationen.</w:t>
      </w:r>
    </w:p>
    <w:p>
      <w:pPr>
        <w:numPr>
          <w:ilvl w:val="0"/>
          <w:numId w:val="1068"/>
        </w:numPr>
      </w:pPr>
      <w:r>
        <w:t xml:space="preserve">Der</w:t>
      </w:r>
      <w:r>
        <w:t xml:space="preserve"> </w:t>
      </w:r>
      <w:r>
        <w:rPr>
          <w:iCs/>
          <w:i/>
        </w:rPr>
        <w:t xml:space="preserve">Uniform Resource Locator</w:t>
      </w:r>
      <w:r>
        <w:t xml:space="preserve"> </w:t>
      </w:r>
      <w:r>
        <w:t xml:space="preserve">(</w:t>
      </w:r>
      <w:r>
        <w:rPr>
          <w:bCs/>
          <w:b/>
        </w:rPr>
        <w:t xml:space="preserve">URL</w:t>
      </w:r>
      <w:r>
        <w:t xml:space="preserve">) dient als Adresse einer</w:t>
      </w:r>
      <w:r>
        <w:t xml:space="preserve"> </w:t>
      </w:r>
      <w:r>
        <w:t xml:space="preserve">digitalen Ressource im Web und wird teilweise gleichzeitig als</w:t>
      </w:r>
      <w:r>
        <w:t xml:space="preserve"> </w:t>
      </w:r>
      <w:r>
        <w:t xml:space="preserve">deren Identifikator eingesetzt.</w:t>
      </w:r>
    </w:p>
    <w:p>
      <w:pPr>
        <w:numPr>
          <w:ilvl w:val="0"/>
          <w:numId w:val="1068"/>
        </w:numPr>
      </w:pPr>
      <w:r>
        <w:t xml:space="preserve">Das System der</w:t>
      </w:r>
      <w:r>
        <w:t xml:space="preserve"> </w:t>
      </w:r>
      <w:r>
        <w:rPr>
          <w:iCs/>
          <w:i/>
        </w:rPr>
        <w:t xml:space="preserve">Uniform Resource Identifier</w:t>
      </w:r>
      <w:r>
        <w:t xml:space="preserve"> </w:t>
      </w:r>
      <w:r>
        <w:t xml:space="preserve">(</w:t>
      </w:r>
      <w:r>
        <w:rPr>
          <w:bCs/>
          <w:b/>
        </w:rPr>
        <w:t xml:space="preserve">URI</w:t>
      </w:r>
      <w:r>
        <w:t xml:space="preserve">) ermöglicht</w:t>
      </w:r>
      <w:r>
        <w:t xml:space="preserve"> </w:t>
      </w:r>
      <w:r>
        <w:t xml:space="preserve">die Vereinigung verschiedener Identifier-Systeme und bildet die</w:t>
      </w:r>
      <w:r>
        <w:t xml:space="preserve"> </w:t>
      </w:r>
      <w:r>
        <w:t xml:space="preserve">Grundlage von</w:t>
      </w:r>
      <w:r>
        <w:t xml:space="preserve"> </w:t>
      </w:r>
      <w:r>
        <w:rPr>
          <w:iCs/>
          <w:i/>
        </w:rPr>
        <w:t xml:space="preserve">RDF</w:t>
      </w:r>
      <w:r>
        <w:t xml:space="preserve"> </w:t>
      </w:r>
      <w:r>
        <w:t xml:space="preserve">und Linked Open Data (</w:t>
      </w:r>
      <w:r>
        <w:rPr>
          <w:iCs/>
          <w:i/>
        </w:rPr>
        <w:t xml:space="preserve">LOD</w:t>
      </w:r>
      <w:r>
        <w:t xml:space="preserve">).</w:t>
      </w:r>
    </w:p>
    <w:p>
      <w:pPr>
        <w:pStyle w:val="FirstParagraph"/>
      </w:pPr>
      <w:r>
        <w:t xml:space="preserve">Gemeinsam ist den Identifikatoren, dass sie jeweils eine definierte Syntax</w:t>
      </w:r>
      <w:r>
        <w:t xml:space="preserve"> </w:t>
      </w:r>
      <w:r>
        <w:t xml:space="preserve">haben (z.B.</w:t>
      </w:r>
      <w:r>
        <w:t xml:space="preserve"> </w:t>
      </w:r>
      <w:r>
        <w:rPr>
          <w:rStyle w:val="VerbatimChar"/>
        </w:rPr>
        <w:t xml:space="preserve">XXXX-XXXY</w:t>
      </w:r>
      <w:r>
        <w:t xml:space="preserve"> </w:t>
      </w:r>
      <w:r>
        <w:t xml:space="preserve">im Falle der ISSN wobei</w:t>
      </w:r>
      <w:r>
        <w:t xml:space="preserve"> </w:t>
      </w:r>
      <w:r>
        <w:rPr>
          <w:rStyle w:val="VerbatimChar"/>
        </w:rPr>
        <w:t xml:space="preserve">X</w:t>
      </w:r>
      <w:r>
        <w:t xml:space="preserve"> </w:t>
      </w:r>
      <w:r>
        <w:t xml:space="preserve">für eine Ziffer und</w:t>
      </w:r>
      <w:r>
        <w:t xml:space="preserve"> </w:t>
      </w:r>
      <w:r>
        <w:rPr>
          <w:rStyle w:val="VerbatimChar"/>
        </w:rPr>
        <w:t xml:space="preserve">Y</w:t>
      </w:r>
      <w:r>
        <w:t xml:space="preserve"> </w:t>
      </w:r>
      <w:r>
        <w:t xml:space="preserve">für</w:t>
      </w:r>
      <w:r>
        <w:t xml:space="preserve"> </w:t>
      </w:r>
      <w:r>
        <w:t xml:space="preserve">eine Prüfziffer steht) deren Bestandteile hierarchisch von einer zentralen</w:t>
      </w:r>
      <w:r>
        <w:t xml:space="preserve"> </w:t>
      </w:r>
      <w:r>
        <w:t xml:space="preserve">Instanz festgelegt werden. Nach dem Prinzip des Namensraums kann dabei die</w:t>
      </w:r>
      <w:r>
        <w:t xml:space="preserve"> </w:t>
      </w:r>
      <w:r>
        <w:t xml:space="preserve">Vergabe von Teilen an untergeordnete Organisationen delegiert werden.</w:t>
      </w:r>
      <w:r>
        <w:t xml:space="preserve"> </w:t>
      </w:r>
      <w:r>
        <w:t xml:space="preserve">Beispielsweise werden ISIL für Bibliotheken in Deutschland beginnend mit dem</w:t>
      </w:r>
      <w:r>
        <w:t xml:space="preserve"> </w:t>
      </w:r>
      <w:r>
        <w:t xml:space="preserve">Präfix „DE-“ durch die</w:t>
      </w:r>
      <w:r>
        <w:t xml:space="preserve"> </w:t>
      </w:r>
      <w:hyperlink r:id="rId296">
        <w:r>
          <w:rPr>
            <w:rStyle w:val="Hyperlink"/>
          </w:rPr>
          <w:t xml:space="preserve">ISIL-Agentur an der Staatsbibliothek zu</w:t>
        </w:r>
        <w:r>
          <w:rPr>
            <w:rStyle w:val="Hyperlink"/>
          </w:rPr>
          <w:t xml:space="preserve"> </w:t>
        </w:r>
        <w:r>
          <w:rPr>
            <w:rStyle w:val="Hyperlink"/>
          </w:rPr>
          <w:t xml:space="preserve">Berlin</w:t>
        </w:r>
      </w:hyperlink>
      <w:r>
        <w:t xml:space="preserve"> </w:t>
      </w:r>
      <w:r>
        <w:t xml:space="preserve">verwaltet.</w:t>
      </w:r>
    </w:p>
    <w:p>
      <w:pPr>
        <w:pStyle w:val="BodyText"/>
      </w:pPr>
      <w:r>
        <w:t xml:space="preserve">Völlig dezentrale Identifikatoren gibt es zur Identifizierung von digitalen</w:t>
      </w:r>
      <w:r>
        <w:t xml:space="preserve"> </w:t>
      </w:r>
      <w:r>
        <w:t xml:space="preserve">Objekten nur in Form von Prüfsummen, die sich automatisch aus vorhandenen Daten</w:t>
      </w:r>
      <w:r>
        <w:t xml:space="preserve"> </w:t>
      </w:r>
      <w:r>
        <w:t xml:space="preserve">berechnen lassen (SHA-Summe, IPFS-Adresse, Prüfziffer…).</w:t>
      </w:r>
    </w:p>
    <w:bookmarkEnd w:id="297"/>
    <w:bookmarkStart w:id="299" w:name="normdaten"/>
    <w:p>
      <w:pPr>
        <w:pStyle w:val="Heading3"/>
      </w:pPr>
      <w:r>
        <w:t xml:space="preserve">Normdaten</w:t>
      </w:r>
    </w:p>
    <w:p>
      <w:pPr>
        <w:pStyle w:val="FirstParagraph"/>
      </w:pPr>
      <w:r>
        <w:t xml:space="preserve">Einfache kontrollierte Vokabulare bestehen aus normierten Listen von</w:t>
      </w:r>
      <w:r>
        <w:t xml:space="preserve"> </w:t>
      </w:r>
      <w:r>
        <w:t xml:space="preserve">eindeutigen Benennungen – beispielsweise könnte in einem</w:t>
      </w:r>
      <w:r>
        <w:t xml:space="preserve"> </w:t>
      </w:r>
      <w:r>
        <w:t xml:space="preserve">Gemüse-Vokabular festgelegt sein, dass immer „Karotte“ statt „Möhre“</w:t>
      </w:r>
      <w:r>
        <w:t xml:space="preserve"> </w:t>
      </w:r>
      <w:r>
        <w:t xml:space="preserve">verwendet werden muss. Wird jeder Eintrag mit einem künstlichen</w:t>
      </w:r>
      <w:r>
        <w:t xml:space="preserve"> </w:t>
      </w:r>
      <w:r>
        <w:t xml:space="preserve">Identifikator versehen, muss die Benennung selbst nicht eindeutig sein.</w:t>
      </w:r>
      <w:r>
        <w:t xml:space="preserve"> </w:t>
      </w:r>
      <w:r>
        <w:t xml:space="preserve">Existiert eine Datenbank zum Nachschlagen dieser IDs, so wird diese auch</w:t>
      </w:r>
      <w:r>
        <w:t xml:space="preserve"> </w:t>
      </w:r>
      <w:r>
        <w:t xml:space="preserve">als</w:t>
      </w:r>
      <w:r>
        <w:t xml:space="preserve"> </w:t>
      </w:r>
      <w:r>
        <w:rPr>
          <w:iCs/>
          <w:i/>
        </w:rPr>
        <w:t xml:space="preserve">Normdatei</w:t>
      </w:r>
      <w:r>
        <w:t xml:space="preserve"> </w:t>
      </w:r>
      <w:r>
        <w:t xml:space="preserve">bezeichnet. Ihre Datensätze dienen als</w:t>
      </w:r>
      <w:r>
        <w:t xml:space="preserve"> </w:t>
      </w:r>
      <w:r>
        <w:t xml:space="preserve">Normdaten</w:t>
      </w:r>
      <w:r>
        <w:t xml:space="preserve"> </w:t>
      </w:r>
      <w:r>
        <w:t xml:space="preserve">der</w:t>
      </w:r>
      <w:r>
        <w:t xml:space="preserve"> </w:t>
      </w:r>
      <w:r>
        <w:t xml:space="preserve">eindeutigen Identifizierung von Personen, Organisationen, geographischen</w:t>
      </w:r>
      <w:r>
        <w:t xml:space="preserve"> </w:t>
      </w:r>
      <w:r>
        <w:t xml:space="preserve">oder administrativen Einheiten, Themen oder anderen Entitäten an</w:t>
      </w:r>
      <w:r>
        <w:t xml:space="preserve"> </w:t>
      </w:r>
      <w:r>
        <w:t xml:space="preserve">verschiedenen Stellen. Ein Normdatensatz besteht mindestens aus einem</w:t>
      </w:r>
      <w:r>
        <w:t xml:space="preserve"> </w:t>
      </w:r>
      <w:r>
        <w:t xml:space="preserve">Identifikator und einer Vorzugsbenennung als primärer Name. Oft gibt es</w:t>
      </w:r>
      <w:r>
        <w:t xml:space="preserve"> </w:t>
      </w:r>
      <w:r>
        <w:t xml:space="preserve">weitere identifizierende Merkmale wie alternative Benennungen,</w:t>
      </w:r>
      <w:r>
        <w:t xml:space="preserve"> </w:t>
      </w:r>
      <w:r>
        <w:t xml:space="preserve">Lebensdaten von Personen, Ortsangaben u.ä. sowie Verknüpfungen zwischen</w:t>
      </w:r>
      <w:r>
        <w:t xml:space="preserve"> </w:t>
      </w:r>
      <w:r>
        <w:t xml:space="preserve">verschiedenen Entitäten.</w:t>
      </w:r>
    </w:p>
    <w:p>
      <w:pPr>
        <w:pStyle w:val="BodyText"/>
      </w:pPr>
      <w:r>
        <w:t xml:space="preserve">Umfang und Komplexität von Normdateien reichen von einfachen Listen bis</w:t>
      </w:r>
      <w:r>
        <w:t xml:space="preserve"> </w:t>
      </w:r>
      <w:r>
        <w:t xml:space="preserve">zu komplexen Wissensgraphen. Ein prominentes bibliothekarisches Beispiel</w:t>
      </w:r>
      <w:r>
        <w:t xml:space="preserve"> </w:t>
      </w:r>
      <w:r>
        <w:t xml:space="preserve">ist die Gemeinsame Normdatei (</w:t>
      </w:r>
      <w:r>
        <w:rPr>
          <w:iCs/>
          <w:i/>
        </w:rPr>
        <w:t xml:space="preserve">GND</w:t>
      </w:r>
      <w:r>
        <w:t xml:space="preserve">), in der neben Personen auch</w:t>
      </w:r>
      <w:r>
        <w:t xml:space="preserve"> </w:t>
      </w:r>
      <w:r>
        <w:t xml:space="preserve">Körperschaften, Veranstaltungen, Geografika, Werke und Sachschlagwörter</w:t>
      </w:r>
      <w:r>
        <w:t xml:space="preserve"> </w:t>
      </w:r>
      <w:r>
        <w:t xml:space="preserve">miteinander vernetzt sind.</w:t>
      </w:r>
    </w:p>
    <w:p>
      <w:pPr>
        <w:pStyle w:val="BodyText"/>
      </w:pPr>
      <w:r>
        <w:t xml:space="preserve">Zur Anreicherung von Daten mit Normdaten mittels</w:t>
      </w:r>
      <w:r>
        <w:t xml:space="preserve"> </w:t>
      </w:r>
      <w:r>
        <w:rPr>
          <w:iCs/>
          <w:i/>
        </w:rPr>
        <w:t xml:space="preserve">Entity Recognition</w:t>
      </w:r>
      <w:r>
        <w:t xml:space="preserve"> </w:t>
      </w:r>
      <w:r>
        <w:t xml:space="preserve">(Erkennung von Entitäten in Daten) und</w:t>
      </w:r>
      <w:r>
        <w:t xml:space="preserve"> </w:t>
      </w:r>
      <w:r>
        <w:rPr>
          <w:iCs/>
          <w:i/>
        </w:rPr>
        <w:t xml:space="preserve">Entity Linking</w:t>
      </w:r>
      <w:r>
        <w:t xml:space="preserve"> </w:t>
      </w:r>
      <w:r>
        <w:t xml:space="preserve">(Abgleich von</w:t>
      </w:r>
      <w:r>
        <w:t xml:space="preserve"> </w:t>
      </w:r>
      <w:r>
        <w:t xml:space="preserve">Entitäten mit IDs anderer Normdateien) sollte unterschieden werden</w:t>
      </w:r>
      <w:r>
        <w:t xml:space="preserve"> </w:t>
      </w:r>
      <w:r>
        <w:t xml:space="preserve">zwischen:</w:t>
      </w:r>
    </w:p>
    <w:p>
      <w:pPr>
        <w:numPr>
          <w:ilvl w:val="0"/>
          <w:numId w:val="1069"/>
        </w:numPr>
      </w:pPr>
      <w:r>
        <w:t xml:space="preserve">Normdateien mit Entitäten wie Personen (ORCID), Publikationen (DOI,</w:t>
      </w:r>
      <w:r>
        <w:t xml:space="preserve"> </w:t>
      </w:r>
      <w:r>
        <w:t xml:space="preserve">ISBN), Sprachen (ISO 639) etc. die sich grundsätzlich eindeutig</w:t>
      </w:r>
      <w:r>
        <w:t xml:space="preserve"> </w:t>
      </w:r>
      <w:r>
        <w:t xml:space="preserve">unterscheiden lassen sowie</w:t>
      </w:r>
    </w:p>
    <w:p>
      <w:pPr>
        <w:numPr>
          <w:ilvl w:val="0"/>
          <w:numId w:val="1069"/>
        </w:numPr>
      </w:pPr>
      <w:r>
        <w:t xml:space="preserve">Normdateien, deren abstrakte Entitäten von Kontext und Modellierung</w:t>
      </w:r>
      <w:r>
        <w:t xml:space="preserve"> </w:t>
      </w:r>
      <w:r>
        <w:t xml:space="preserve">abhängen (Klassifikationen, Thesauri…).</w:t>
      </w:r>
    </w:p>
    <w:p>
      <w:pPr>
        <w:pStyle w:val="FirstParagraph"/>
      </w:pPr>
      <w:r>
        <w:t xml:space="preserve">Zur Verwaltung von Normdaten gibt es einige Datenformate wie</w:t>
      </w:r>
      <w:r>
        <w:t xml:space="preserve"> </w:t>
      </w:r>
      <w:r>
        <w:rPr>
          <w:iCs/>
          <w:i/>
        </w:rPr>
        <w:t xml:space="preserve">MARC 21 for</w:t>
      </w:r>
      <w:r>
        <w:rPr>
          <w:iCs/>
          <w:i/>
        </w:rPr>
        <w:t xml:space="preserve"> </w:t>
      </w:r>
      <w:r>
        <w:rPr>
          <w:iCs/>
          <w:i/>
        </w:rPr>
        <w:t xml:space="preserve">Authority Data</w:t>
      </w:r>
      <w:r>
        <w:t xml:space="preserve"> </w:t>
      </w:r>
      <w:r>
        <w:t xml:space="preserve">und</w:t>
      </w:r>
      <w:r>
        <w:t xml:space="preserve"> </w:t>
      </w:r>
      <w:r>
        <w:rPr>
          <w:iCs/>
          <w:i/>
        </w:rPr>
        <w:t xml:space="preserve">ISAAR (CPF)</w:t>
      </w:r>
      <w:r>
        <w:t xml:space="preserve">. Als gemeinsamer Nenner auch außerhalb des</w:t>
      </w:r>
      <w:r>
        <w:t xml:space="preserve"> </w:t>
      </w:r>
      <w:r>
        <w:t xml:space="preserve">Bibliotheksbereichs gilt das RDF-basierte</w:t>
      </w:r>
      <w:r>
        <w:t xml:space="preserve"> </w:t>
      </w:r>
      <w:r>
        <w:rPr>
          <w:iCs/>
          <w:i/>
        </w:rPr>
        <w:t xml:space="preserve">Simple Knowledge Organization</w:t>
      </w:r>
      <w:r>
        <w:rPr>
          <w:iCs/>
          <w:i/>
        </w:rPr>
        <w:t xml:space="preserve"> </w:t>
      </w:r>
      <w:r>
        <w:rPr>
          <w:iCs/>
          <w:i/>
        </w:rPr>
        <w:t xml:space="preserve">System</w:t>
      </w:r>
      <w:r>
        <w:t xml:space="preserve"> </w:t>
      </w:r>
      <w:r>
        <w:t xml:space="preserve">(</w:t>
      </w:r>
      <w:r>
        <w:rPr>
          <w:iCs/>
          <w:i/>
        </w:rPr>
        <w:t xml:space="preserve">SKOS</w:t>
      </w:r>
      <w:r>
        <w:t xml:space="preserve">), für das mit JSKOS auch eine JSON-Variante existiert. Vor</w:t>
      </w:r>
      <w:r>
        <w:t xml:space="preserve"> </w:t>
      </w:r>
      <w:r>
        <w:t xml:space="preserve">allem kleinere oder speziellere Normdateien (z.B. Codelisten im Rahmen der</w:t>
      </w:r>
      <w:r>
        <w:t xml:space="preserve"> </w:t>
      </w:r>
      <w:r>
        <w:t xml:space="preserve">Katalogisierung) liegen allerdings selten in maschinenlesbarer Form vor.</w:t>
      </w:r>
    </w:p>
    <w:p>
      <w:pPr>
        <w:pStyle w:val="BodyText"/>
      </w:pPr>
      <w:r>
        <w:t xml:space="preserve">Das</w:t>
      </w:r>
      <w:r>
        <w:t xml:space="preserve"> </w:t>
      </w:r>
      <w:hyperlink r:id="rId298">
        <w:r>
          <w:rPr>
            <w:rStyle w:val="Hyperlink"/>
            <w:iCs/>
            <w:i/>
          </w:rPr>
          <w:t xml:space="preserve">Basic Register of Thesauri, Ontologies &amp;</w:t>
        </w:r>
        <w:r>
          <w:rPr>
            <w:rStyle w:val="Hyperlink"/>
            <w:iCs/>
            <w:i/>
          </w:rPr>
          <w:t xml:space="preserve"> </w:t>
        </w:r>
        <w:r>
          <w:rPr>
            <w:rStyle w:val="Hyperlink"/>
            <w:iCs/>
            <w:i/>
          </w:rPr>
          <w:t xml:space="preserve">Classifications</w:t>
        </w:r>
      </w:hyperlink>
      <w:r>
        <w:t xml:space="preserve"> </w:t>
      </w:r>
      <w:r>
        <w:t xml:space="preserve">(BARTOC) erfasst Informationen zu</w:t>
      </w:r>
      <w:r>
        <w:t xml:space="preserve"> </w:t>
      </w:r>
      <w:r>
        <w:t xml:space="preserve">Normdateien aller Art, darunter auch Verfahren zum technischen Zugriff.</w:t>
      </w:r>
    </w:p>
    <w:bookmarkEnd w:id="299"/>
    <w:bookmarkEnd w:id="300"/>
    <w:bookmarkStart w:id="309" w:name="metadatenformate"/>
    <w:p>
      <w:pPr>
        <w:pStyle w:val="Heading2"/>
      </w:pPr>
      <w:r>
        <w:t xml:space="preserve">Metadatenformate</w:t>
      </w:r>
    </w:p>
    <w:p>
      <w:pPr>
        <w:pStyle w:val="FirstParagraph"/>
      </w:pPr>
      <w:r>
        <w:t xml:space="preserve">Neben allgemeinen</w:t>
      </w:r>
      <w:r>
        <w:t xml:space="preserve"> </w:t>
      </w:r>
      <w:hyperlink w:anchor="datenformate">
        <w:r>
          <w:rPr>
            <w:rStyle w:val="Hyperlink"/>
          </w:rPr>
          <w:t xml:space="preserve">Datenformaten</w:t>
        </w:r>
      </w:hyperlink>
      <w:r>
        <w:t xml:space="preserve"> </w:t>
      </w:r>
      <w:r>
        <w:t xml:space="preserve">sind für die Bibliotheks-IT</w:t>
      </w:r>
      <w:r>
        <w:t xml:space="preserve"> </w:t>
      </w:r>
      <w:r>
        <w:t xml:space="preserve">vor allem Metadatenformate zur Beschreibung von Dokumenten relevant. Die</w:t>
      </w:r>
      <w:r>
        <w:t xml:space="preserve"> </w:t>
      </w:r>
      <w:r>
        <w:t xml:space="preserve">meisten der im Folgenden beschriebenen Metadatenformate spielen außerhalb von</w:t>
      </w:r>
      <w:r>
        <w:t xml:space="preserve"> </w:t>
      </w:r>
      <w:r>
        <w:t xml:space="preserve">Kultureinrichtungen keine wesentliche Rolle. Für digitale Objekte (</w:t>
      </w:r>
      <w:r>
        <w:rPr>
          <w:iCs/>
          <w:i/>
        </w:rPr>
        <w:t xml:space="preserve">METS/MODS</w:t>
      </w:r>
      <w:r>
        <w:t xml:space="preserve">,</w:t>
      </w:r>
      <w:r>
        <w:t xml:space="preserve"> </w:t>
      </w:r>
      <w:r>
        <w:rPr>
          <w:iCs/>
          <w:i/>
        </w:rPr>
        <w:t xml:space="preserve">LIDO</w:t>
      </w:r>
      <w:r>
        <w:t xml:space="preserve">,</w:t>
      </w:r>
      <w:r>
        <w:t xml:space="preserve"> </w:t>
      </w:r>
      <w:r>
        <w:rPr>
          <w:iCs/>
          <w:i/>
        </w:rPr>
        <w:t xml:space="preserve">CDWA</w:t>
      </w:r>
      <w:r>
        <w:t xml:space="preserve">,</w:t>
      </w:r>
      <w:r>
        <w:t xml:space="preserve"> </w:t>
      </w:r>
      <w:r>
        <w:rPr>
          <w:iCs/>
          <w:i/>
        </w:rPr>
        <w:t xml:space="preserve">EN 15907</w:t>
      </w:r>
      <w:r>
        <w:t xml:space="preserve">,</w:t>
      </w:r>
      <w:r>
        <w:t xml:space="preserve"> </w:t>
      </w:r>
      <w:r>
        <w:rPr>
          <w:iCs/>
          <w:i/>
        </w:rPr>
        <w:t xml:space="preserve">EAD</w:t>
      </w:r>
      <w:r>
        <w:t xml:space="preserve">… siehe Kapitel</w:t>
      </w:r>
      <w:r>
        <w:t xml:space="preserve"> </w:t>
      </w:r>
      <w:r>
        <w:rPr>
          <w:iCs/>
          <w:i/>
        </w:rPr>
        <w:t xml:space="preserve">Digitalisierung</w:t>
      </w:r>
      <w:r>
        <w:t xml:space="preserve">) und für</w:t>
      </w:r>
      <w:r>
        <w:t xml:space="preserve"> </w:t>
      </w:r>
      <w:r>
        <w:t xml:space="preserve">Forschungsdaten (DataCite, siehe Kapitel</w:t>
      </w:r>
      <w:r>
        <w:t xml:space="preserve"> </w:t>
      </w:r>
      <w:r>
        <w:rPr>
          <w:iCs/>
          <w:i/>
        </w:rPr>
        <w:t xml:space="preserve">Forschungsnahe Dienste)</w:t>
      </w:r>
      <w:r>
        <w:t xml:space="preserve"> </w:t>
      </w:r>
      <w:r>
        <w:t xml:space="preserve">gibt es</w:t>
      </w:r>
      <w:r>
        <w:t xml:space="preserve"> </w:t>
      </w:r>
      <w:r>
        <w:t xml:space="preserve">darüber hinaus spezielle Formate .</w:t>
      </w:r>
    </w:p>
    <w:bookmarkStart w:id="301" w:name="arten-von-metadaten"/>
    <w:p>
      <w:pPr>
        <w:pStyle w:val="Heading3"/>
      </w:pPr>
      <w:r>
        <w:t xml:space="preserve">Arten von Metadaten</w:t>
      </w:r>
    </w:p>
    <w:p>
      <w:pPr>
        <w:pStyle w:val="FirstParagraph"/>
      </w:pPr>
      <w:r>
        <w:t xml:space="preserve">Folgende Arten von Metadaten können nach ihrer Funktion unterschieden werden:</w:t>
      </w:r>
    </w:p>
    <w:p>
      <w:pPr>
        <w:numPr>
          <w:ilvl w:val="0"/>
          <w:numId w:val="1070"/>
        </w:numPr>
      </w:pPr>
      <w:r>
        <w:rPr>
          <w:bCs/>
          <w:b/>
        </w:rPr>
        <w:t xml:space="preserve">Deskriptive (=beschreibende) Metadaten</w:t>
      </w:r>
      <w:r>
        <w:t xml:space="preserve"> </w:t>
      </w:r>
      <w:r>
        <w:t xml:space="preserve">zur Identifizierung und</w:t>
      </w:r>
      <w:r>
        <w:t xml:space="preserve"> </w:t>
      </w:r>
      <w:r>
        <w:t xml:space="preserve">inhaltlichen Beschreibung wie Titel, Verfasser, Schlagwörter etc.</w:t>
      </w:r>
    </w:p>
    <w:p>
      <w:pPr>
        <w:numPr>
          <w:ilvl w:val="0"/>
          <w:numId w:val="1070"/>
        </w:numPr>
      </w:pPr>
      <w:r>
        <w:rPr>
          <w:bCs/>
          <w:b/>
        </w:rPr>
        <w:t xml:space="preserve">Administrative (=Verwaltungs-) Metadaten</w:t>
      </w:r>
      <w:r>
        <w:t xml:space="preserve"> </w:t>
      </w:r>
      <w:r>
        <w:t xml:space="preserve">wie Angaben zu</w:t>
      </w:r>
      <w:r>
        <w:t xml:space="preserve"> </w:t>
      </w:r>
      <w:r>
        <w:t xml:space="preserve">Herkunft, Speicherung, Zugriffsrechte, Verwaltung etc.</w:t>
      </w:r>
    </w:p>
    <w:p>
      <w:pPr>
        <w:numPr>
          <w:ilvl w:val="0"/>
          <w:numId w:val="1070"/>
        </w:numPr>
      </w:pPr>
      <w:r>
        <w:rPr>
          <w:bCs/>
          <w:b/>
        </w:rPr>
        <w:t xml:space="preserve">Strukturelle Metadaten</w:t>
      </w:r>
      <w:r>
        <w:t xml:space="preserve"> </w:t>
      </w:r>
      <w:r>
        <w:t xml:space="preserve">über den Aufbau von Dokumenten wie die</w:t>
      </w:r>
      <w:r>
        <w:t xml:space="preserve"> </w:t>
      </w:r>
      <w:r>
        <w:t xml:space="preserve">Einteilung in einzelne Kapitel, Abschnitte, eingebundene Medien</w:t>
      </w:r>
      <w:r>
        <w:t xml:space="preserve"> </w:t>
      </w:r>
      <w:r>
        <w:t xml:space="preserve">etc. Die Grenze zwischen digitalen Inhalten und ihrer Struktur ist</w:t>
      </w:r>
      <w:r>
        <w:t xml:space="preserve"> </w:t>
      </w:r>
      <w:r>
        <w:t xml:space="preserve">allerdings mitunter fließend.</w:t>
      </w:r>
    </w:p>
    <w:p>
      <w:pPr>
        <w:numPr>
          <w:ilvl w:val="0"/>
          <w:numId w:val="1070"/>
        </w:numPr>
      </w:pPr>
      <w:r>
        <w:rPr>
          <w:bCs/>
          <w:b/>
        </w:rPr>
        <w:t xml:space="preserve">Technische Metadaten</w:t>
      </w:r>
      <w:r>
        <w:t xml:space="preserve"> </w:t>
      </w:r>
      <w:r>
        <w:t xml:space="preserve">zu Merkmalen wie Umfang, verwendete Datenformate etc.</w:t>
      </w:r>
    </w:p>
    <w:p>
      <w:pPr>
        <w:pStyle w:val="FirstParagraph"/>
      </w:pPr>
      <w:r>
        <w:t xml:space="preserve">Je nach Anwendung gibt es spezielle Metadatenformate oder es werden</w:t>
      </w:r>
      <w:r>
        <w:t xml:space="preserve"> </w:t>
      </w:r>
      <w:r>
        <w:t xml:space="preserve">verschiedene Arten von Beschreibungen in einem Format zusammengefasst.</w:t>
      </w:r>
    </w:p>
    <w:bookmarkEnd w:id="301"/>
    <w:bookmarkStart w:id="302" w:name="Xf130d2eeff4b752ac7e088c9efdbe6c73b8089c"/>
    <w:p>
      <w:pPr>
        <w:pStyle w:val="Heading3"/>
      </w:pPr>
      <w:r>
        <w:t xml:space="preserve">Feldbasierte bibliothekarische Metadatenformate</w:t>
      </w:r>
    </w:p>
    <w:p>
      <w:pPr>
        <w:pStyle w:val="FirstParagraph"/>
      </w:pPr>
      <w:r>
        <w:rPr>
          <w:bCs/>
          <w:b/>
        </w:rPr>
        <w:t xml:space="preserve">Machine-Readable Cataloging (MARC)</w:t>
      </w:r>
      <w:r>
        <w:t xml:space="preserve"> </w:t>
      </w:r>
      <w:r>
        <w:t xml:space="preserve">ist das älteste und noch immer</w:t>
      </w:r>
      <w:r>
        <w:t xml:space="preserve"> </w:t>
      </w:r>
      <w:r>
        <w:t xml:space="preserve">wichtigste Format für den Austausch von Daten zwischen Bibliotheken. Die</w:t>
      </w:r>
      <w:r>
        <w:t xml:space="preserve"> </w:t>
      </w:r>
      <w:r>
        <w:t xml:space="preserve">aktuell relevante Variante ist MARC 21, insbesondere das Format MARC 21</w:t>
      </w:r>
      <w:r>
        <w:t xml:space="preserve"> </w:t>
      </w:r>
      <w:r>
        <w:t xml:space="preserve">für bibliographische Daten. Neben der binären Kodierung kann MARC 21</w:t>
      </w:r>
      <w:r>
        <w:t xml:space="preserve"> </w:t>
      </w:r>
      <w:r>
        <w:t xml:space="preserve">auch in XML und JSON kodiert werden. Viele Eigenheiten und Probleme des</w:t>
      </w:r>
      <w:r>
        <w:t xml:space="preserve"> </w:t>
      </w:r>
      <w:r>
        <w:t xml:space="preserve">Formats sind historisch bedingt, eine Alternative konnte sich bislang</w:t>
      </w:r>
      <w:r>
        <w:t xml:space="preserve"> </w:t>
      </w:r>
      <w:r>
        <w:t xml:space="preserve">nicht durchsetzen.</w:t>
      </w:r>
    </w:p>
    <w:p>
      <w:pPr>
        <w:pStyle w:val="BodyText"/>
      </w:pPr>
      <w:r>
        <w:rPr>
          <w:bCs/>
          <w:b/>
        </w:rPr>
        <w:t xml:space="preserve">PICA</w:t>
      </w:r>
      <w:r>
        <w:t xml:space="preserve"> </w:t>
      </w:r>
      <w:r>
        <w:t xml:space="preserve">ist das von MARC inspirierte Datenformat der Katalogisierungssysteme</w:t>
      </w:r>
      <w:r>
        <w:t xml:space="preserve"> </w:t>
      </w:r>
      <w:r>
        <w:t xml:space="preserve">CBS und LBS (</w:t>
      </w:r>
      <w:r>
        <w:t xml:space="preserve">Voß (2022)</w:t>
      </w:r>
      <w:r>
        <w:t xml:space="preserve">). Das wichtigste Anwendungsprofil ist das</w:t>
      </w:r>
      <w:r>
        <w:t xml:space="preserve"> </w:t>
      </w:r>
      <w:r>
        <w:t xml:space="preserve">K10plus-Format des BSZ/GBV.</w:t>
      </w:r>
    </w:p>
    <w:p>
      <w:pPr>
        <w:pStyle w:val="BodyText"/>
      </w:pPr>
      <w:r>
        <w:rPr>
          <w:bCs/>
          <w:b/>
        </w:rPr>
        <w:t xml:space="preserve">MAB</w:t>
      </w:r>
      <w:r>
        <w:t xml:space="preserve"> </w:t>
      </w:r>
      <w:r>
        <w:t xml:space="preserve">und</w:t>
      </w:r>
      <w:r>
        <w:t xml:space="preserve"> </w:t>
      </w:r>
      <w:r>
        <w:rPr>
          <w:bCs/>
          <w:b/>
        </w:rPr>
        <w:t xml:space="preserve">allegro</w:t>
      </w:r>
      <w:r>
        <w:t xml:space="preserve"> </w:t>
      </w:r>
      <w:r>
        <w:t xml:space="preserve">sind ebenfalls an MARC angelehnte, feldbasierte Formate</w:t>
      </w:r>
      <w:r>
        <w:t xml:space="preserve"> </w:t>
      </w:r>
      <w:r>
        <w:t xml:space="preserve">aus dem deutschsprachigen Raum, die allerdings nur noch sporadisch verwendet</w:t>
      </w:r>
      <w:r>
        <w:t xml:space="preserve"> </w:t>
      </w:r>
      <w:r>
        <w:t xml:space="preserve">werden.</w:t>
      </w:r>
    </w:p>
    <w:bookmarkEnd w:id="302"/>
    <w:bookmarkStart w:id="307" w:name="datenmodelle-und-rdf-formate"/>
    <w:p>
      <w:pPr>
        <w:pStyle w:val="Heading3"/>
      </w:pPr>
      <w:r>
        <w:t xml:space="preserve">Datenmodelle und RDF-Formate</w:t>
      </w:r>
    </w:p>
    <w:p>
      <w:pPr>
        <w:pStyle w:val="FirstParagraph"/>
      </w:pPr>
      <w:r>
        <w:rPr>
          <w:bCs/>
          <w:b/>
        </w:rPr>
        <w:t xml:space="preserve">Dublin Core</w:t>
      </w:r>
      <w:r>
        <w:t xml:space="preserve"> </w:t>
      </w:r>
      <w:r>
        <w:t xml:space="preserve">bzw. das Dublin Core Metadata Element Set (</w:t>
      </w:r>
      <w:r>
        <w:rPr>
          <w:bCs/>
          <w:b/>
        </w:rPr>
        <w:t xml:space="preserve">DCMES</w:t>
      </w:r>
      <w:r>
        <w:t xml:space="preserve">)</w:t>
      </w:r>
      <w:r>
        <w:t xml:space="preserve"> </w:t>
      </w:r>
      <w:r>
        <w:t xml:space="preserve">hat als kleinster gemeinsamer Nenner der meisten Metadatenstandards die</w:t>
      </w:r>
      <w:r>
        <w:t xml:space="preserve"> </w:t>
      </w:r>
      <w:r>
        <w:t xml:space="preserve">größte Verbreitung. Es besteht aus 15 Basiselementen wie creator, title,</w:t>
      </w:r>
      <w:r>
        <w:t xml:space="preserve"> </w:t>
      </w:r>
      <w:r>
        <w:t xml:space="preserve">date, und description und Erweiterungen mit den DCMI Metadata Terms wie</w:t>
      </w:r>
      <w:r>
        <w:t xml:space="preserve"> </w:t>
      </w:r>
      <w:r>
        <w:t xml:space="preserve">„Alternative Title“, „Date Created“ und „Date Available“.</w:t>
      </w:r>
    </w:p>
    <w:p>
      <w:pPr>
        <w:pStyle w:val="BodyText"/>
      </w:pPr>
      <w:r>
        <w:t xml:space="preserve">Die</w:t>
      </w:r>
      <w:r>
        <w:t xml:space="preserve"> </w:t>
      </w:r>
      <w:r>
        <w:rPr>
          <w:iCs/>
          <w:i/>
        </w:rPr>
        <w:t xml:space="preserve">Functional Requirements for Bibliographic Records</w:t>
      </w:r>
      <w:r>
        <w:t xml:space="preserve"> </w:t>
      </w:r>
      <w:r>
        <w:t xml:space="preserve">(</w:t>
      </w:r>
      <w:r>
        <w:rPr>
          <w:bCs/>
          <w:b/>
        </w:rPr>
        <w:t xml:space="preserve">FRBR</w:t>
      </w:r>
      <w:r>
        <w:t xml:space="preserve">) sind</w:t>
      </w:r>
      <w:r>
        <w:t xml:space="preserve"> </w:t>
      </w:r>
      <w:r>
        <w:t xml:space="preserve">ein sehr abstraktes Metadatenmodell. Sie beinhalten insbesondere eine</w:t>
      </w:r>
      <w:r>
        <w:t xml:space="preserve"> </w:t>
      </w:r>
      <w:r>
        <w:t xml:space="preserve">Einteilung von bibliographischen Entitäten in die Beschreibungsebenen</w:t>
      </w:r>
      <w:r>
        <w:t xml:space="preserve"> </w:t>
      </w:r>
      <w:r>
        <w:t xml:space="preserve">„work“, „expression“, „manifestation“ und „item“.</w:t>
      </w:r>
    </w:p>
    <w:p>
      <w:pPr>
        <w:pStyle w:val="BodyText"/>
      </w:pPr>
      <w:r>
        <w:t xml:space="preserve">Die</w:t>
      </w:r>
      <w:r>
        <w:t xml:space="preserve"> </w:t>
      </w:r>
      <w:r>
        <w:rPr>
          <w:bCs/>
          <w:b/>
        </w:rPr>
        <w:t xml:space="preserve">BIBFRAME</w:t>
      </w:r>
      <w:r>
        <w:t xml:space="preserve">-Ontologie wurde entwickelt um MARC auf Grundlage von</w:t>
      </w:r>
      <w:r>
        <w:t xml:space="preserve"> </w:t>
      </w:r>
      <w:r>
        <w:t xml:space="preserve">RDF zu ersetzen. Die wesentlichen Elemente sind „work“, „instance“ und</w:t>
      </w:r>
      <w:r>
        <w:t xml:space="preserve"> </w:t>
      </w:r>
      <w:r>
        <w:t xml:space="preserve">„item“ sowie damit verbundene Eigenschaften und Entitätstypen (siehe</w:t>
      </w:r>
      <w:r>
        <w:t xml:space="preserve"> </w:t>
      </w:r>
      <w:hyperlink w:anchor="fig-bibframe">
        <w:r>
          <w:rPr>
            <w:rStyle w:val="Hyperlink"/>
          </w:rPr>
          <w:t xml:space="preserve">Abbildung 6.1</w:t>
        </w:r>
      </w:hyperlink>
      <w:r>
        <w:t xml:space="preserve">).</w:t>
      </w:r>
    </w:p>
    <w:p>
      <w:pPr>
        <w:pStyle w:val="BodyText"/>
      </w:pPr>
      <w:r>
        <w:rPr>
          <w:bCs/>
          <w:b/>
        </w:rPr>
        <w:t xml:space="preserve">Schema.org</w:t>
      </w:r>
      <w:r>
        <w:t xml:space="preserve"> </w:t>
      </w:r>
      <w:r>
        <w:t xml:space="preserve">ist eine allgemeine Ontologie für strukturierte Daten in</w:t>
      </w:r>
      <w:r>
        <w:t xml:space="preserve"> </w:t>
      </w:r>
      <w:r>
        <w:t xml:space="preserve">Webseiten.</w:t>
      </w:r>
    </w:p>
    <w:tbl>
      <w:tblPr>
        <w:tblStyle w:val="Table"/>
        <w:tblW w:type="pct" w:w="5000"/>
        <w:tblLook w:firstRow="0" w:lastRow="0" w:firstColumn="0" w:lastColumn="0" w:noHBand="0" w:noVBand="0" w:val="0000"/>
      </w:tblPr>
      <w:tblGrid>
        <w:gridCol w:w="7920"/>
      </w:tblGrid>
      <w:tr>
        <w:tc>
          <w:tcPr/>
          <w:bookmarkStart w:id="306" w:name="fig-bibframe"/>
          <w:p>
            <w:pPr>
              <w:pStyle w:val="Figure"/>
              <w:jc w:val="center"/>
            </w:pPr>
            <w:r>
              <w:drawing>
                <wp:inline>
                  <wp:extent cx="5334000" cy="6651811"/>
                  <wp:effectExtent b="0" l="0" r="0" t="0"/>
                  <wp:docPr descr="" title="" id="304" name="Picture"/>
                  <a:graphic>
                    <a:graphicData uri="http://schemas.openxmlformats.org/drawingml/2006/picture">
                      <pic:pic>
                        <pic:nvPicPr>
                          <pic:cNvPr descr="./media/bibframe2-model.jpg" id="305" name="Picture"/>
                          <pic:cNvPicPr>
                            <a:picLocks noChangeArrowheads="1" noChangeAspect="1"/>
                          </pic:cNvPicPr>
                        </pic:nvPicPr>
                        <pic:blipFill>
                          <a:blip r:embed="rId303"/>
                          <a:stretch>
                            <a:fillRect/>
                          </a:stretch>
                        </pic:blipFill>
                        <pic:spPr bwMode="auto">
                          <a:xfrm>
                            <a:off x="0" y="0"/>
                            <a:ext cx="5334000" cy="6651811"/>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6.1: Hauptbestandteile des Datenmodell BIBFRAME</w:t>
            </w:r>
          </w:p>
          <w:bookmarkEnd w:id="306"/>
        </w:tc>
      </w:tr>
    </w:tbl>
    <w:bookmarkEnd w:id="307"/>
    <w:bookmarkStart w:id="308" w:name="verlagsdaten-und-literaturangaben"/>
    <w:p>
      <w:pPr>
        <w:pStyle w:val="Heading3"/>
      </w:pPr>
      <w:r>
        <w:t xml:space="preserve">Verlagsdaten und Literaturangaben</w:t>
      </w:r>
    </w:p>
    <w:p>
      <w:pPr>
        <w:pStyle w:val="FirstParagraph"/>
      </w:pPr>
      <w:r>
        <w:t xml:space="preserve">Die Formate</w:t>
      </w:r>
      <w:r>
        <w:t xml:space="preserve"> </w:t>
      </w:r>
      <w:r>
        <w:rPr>
          <w:iCs/>
          <w:i/>
        </w:rPr>
        <w:t xml:space="preserve">ONIX</w:t>
      </w:r>
      <w:r>
        <w:t xml:space="preserve">,</w:t>
      </w:r>
      <w:r>
        <w:t xml:space="preserve"> </w:t>
      </w:r>
      <w:r>
        <w:rPr>
          <w:iCs/>
          <w:i/>
        </w:rPr>
        <w:t xml:space="preserve">JATS</w:t>
      </w:r>
      <w:r>
        <w:t xml:space="preserve">,</w:t>
      </w:r>
      <w:r>
        <w:t xml:space="preserve"> </w:t>
      </w:r>
      <w:r>
        <w:rPr>
          <w:iCs/>
          <w:i/>
        </w:rPr>
        <w:t xml:space="preserve">BITS</w:t>
      </w:r>
      <w:r>
        <w:t xml:space="preserve"> </w:t>
      </w:r>
      <w:r>
        <w:t xml:space="preserve">und</w:t>
      </w:r>
      <w:r>
        <w:t xml:space="preserve"> </w:t>
      </w:r>
      <w:r>
        <w:rPr>
          <w:iCs/>
          <w:i/>
        </w:rPr>
        <w:t xml:space="preserve">CrossRef XML</w:t>
      </w:r>
      <w:r>
        <w:t xml:space="preserve"> </w:t>
      </w:r>
      <w:r>
        <w:t xml:space="preserve">stammen aus dem</w:t>
      </w:r>
      <w:r>
        <w:t xml:space="preserve"> </w:t>
      </w:r>
      <w:r>
        <w:t xml:space="preserve">Verlagsbereich zur Beschreibung von Zeitschriftenartikeln und Büchern.</w:t>
      </w:r>
      <w:r>
        <w:t xml:space="preserve"> </w:t>
      </w:r>
      <w:r>
        <w:t xml:space="preserve">Sie basieren alle auf XML und sind für Bibliotheken für den Datenimport</w:t>
      </w:r>
      <w:r>
        <w:t xml:space="preserve"> </w:t>
      </w:r>
      <w:r>
        <w:t xml:space="preserve">relevant. Datenformate für Literaturangaben (</w:t>
      </w:r>
      <w:r>
        <w:rPr>
          <w:iCs/>
          <w:i/>
        </w:rPr>
        <w:t xml:space="preserve">BibTeX</w:t>
      </w:r>
      <w:r>
        <w:t xml:space="preserve">,</w:t>
      </w:r>
      <w:r>
        <w:t xml:space="preserve"> </w:t>
      </w:r>
      <w:r>
        <w:rPr>
          <w:iCs/>
          <w:i/>
        </w:rPr>
        <w:t xml:space="preserve">RIS</w:t>
      </w:r>
      <w:r>
        <w:t xml:space="preserve">,</w:t>
      </w:r>
      <w:r>
        <w:t xml:space="preserve"> </w:t>
      </w:r>
      <w:r>
        <w:rPr>
          <w:iCs/>
          <w:i/>
        </w:rPr>
        <w:t xml:space="preserve">Endnote</w:t>
      </w:r>
      <w:r>
        <w:t xml:space="preserve">,</w:t>
      </w:r>
      <w:r>
        <w:t xml:space="preserve"> </w:t>
      </w:r>
      <w:r>
        <w:rPr>
          <w:iCs/>
          <w:i/>
        </w:rPr>
        <w:t xml:space="preserve">CSL-JSON</w:t>
      </w:r>
      <w:r>
        <w:t xml:space="preserve">…) werden dagegen zum Export von Katalogdaten bereitgestellt.</w:t>
      </w:r>
      <w:r>
        <w:t xml:space="preserve"> </w:t>
      </w:r>
      <w:r>
        <w:t xml:space="preserve">Zitationsregeln für Literaturangaben und Ansetzungsregeln von</w:t>
      </w:r>
      <w:r>
        <w:t xml:space="preserve"> </w:t>
      </w:r>
      <w:r>
        <w:rPr>
          <w:iCs/>
          <w:i/>
        </w:rPr>
        <w:t xml:space="preserve">ISBD</w:t>
      </w:r>
      <w:r>
        <w:t xml:space="preserve"> </w:t>
      </w:r>
      <w:r>
        <w:t xml:space="preserve">sind dagegen für den Datenaustausch eher unbrauchbar. Learning Object</w:t>
      </w:r>
      <w:r>
        <w:t xml:space="preserve"> </w:t>
      </w:r>
      <w:r>
        <w:t xml:space="preserve">Metadata (</w:t>
      </w:r>
      <w:r>
        <w:rPr>
          <w:iCs/>
          <w:i/>
        </w:rPr>
        <w:t xml:space="preserve">LOM</w:t>
      </w:r>
      <w:r>
        <w:t xml:space="preserve">) dient in verschiedenen lokalen Anpassungen der</w:t>
      </w:r>
      <w:r>
        <w:t xml:space="preserve"> </w:t>
      </w:r>
      <w:r>
        <w:t xml:space="preserve">Beschreibung von Lerneinheiten.</w:t>
      </w:r>
    </w:p>
    <w:bookmarkEnd w:id="308"/>
    <w:bookmarkEnd w:id="309"/>
    <w:bookmarkStart w:id="324" w:name="datenverarbeitung"/>
    <w:p>
      <w:pPr>
        <w:pStyle w:val="Heading2"/>
      </w:pPr>
      <w:r>
        <w:t xml:space="preserve">Datenverarbeitung</w:t>
      </w:r>
    </w:p>
    <w:p>
      <w:pPr>
        <w:pStyle w:val="FirstParagraph"/>
      </w:pPr>
      <w:r>
        <w:t xml:space="preserve">Neben der</w:t>
      </w:r>
      <w:r>
        <w:t xml:space="preserve"> </w:t>
      </w:r>
      <w:hyperlink w:anchor="datenerfassung">
        <w:r>
          <w:rPr>
            <w:rStyle w:val="Hyperlink"/>
          </w:rPr>
          <w:t xml:space="preserve">Erfassung von Daten</w:t>
        </w:r>
      </w:hyperlink>
      <w:r>
        <w:t xml:space="preserve"> </w:t>
      </w:r>
      <w:r>
        <w:t xml:space="preserve">umfasst das bibliothekarische</w:t>
      </w:r>
      <w:r>
        <w:t xml:space="preserve"> </w:t>
      </w:r>
      <w:r>
        <w:t xml:space="preserve">(Meta)datenmanagement Verfahren zur Konvertierung, Integration und Auswertung</w:t>
      </w:r>
      <w:r>
        <w:t xml:space="preserve"> </w:t>
      </w:r>
      <w:r>
        <w:t xml:space="preserve">von Daten. Diese wesentlichen Schritte werden oft mittels eines ETL-Prozesses</w:t>
      </w:r>
      <w:r>
        <w:t xml:space="preserve"> </w:t>
      </w:r>
      <w:r>
        <w:t xml:space="preserve">zur Übertragung von Daten in ein anderes System vorgenommen. Nach Beschreibung</w:t>
      </w:r>
      <w:r>
        <w:t xml:space="preserve"> </w:t>
      </w:r>
      <w:r>
        <w:t xml:space="preserve">der Bestandteile des ETL-Prozesses wird in diesem Abschnitt auf Werkzeuge und</w:t>
      </w:r>
      <w:r>
        <w:t xml:space="preserve"> </w:t>
      </w:r>
      <w:r>
        <w:t xml:space="preserve">Schnittstellen eingegangen.</w:t>
      </w:r>
    </w:p>
    <w:bookmarkStart w:id="318" w:name="etl-prozess"/>
    <w:p>
      <w:pPr>
        <w:pStyle w:val="Heading3"/>
      </w:pPr>
      <w:r>
        <w:t xml:space="preserve">ETL-Prozess</w:t>
      </w:r>
    </w:p>
    <w:p>
      <w:pPr>
        <w:pStyle w:val="FirstParagraph"/>
      </w:pPr>
      <w:r>
        <w:t xml:space="preserve">Da sich die IT in- und außerhalb von Bibliotheken über verschiedene</w:t>
      </w:r>
      <w:r>
        <w:t xml:space="preserve"> </w:t>
      </w:r>
      <w:r>
        <w:t xml:space="preserve">Organisationen und Systeme erstreckt, müssen an vielen Stellen Daten von einer</w:t>
      </w:r>
      <w:r>
        <w:t xml:space="preserve"> </w:t>
      </w:r>
      <w:r>
        <w:t xml:space="preserve">oder mehreren Quellen in ein anderes Informationssystem übertragen werden. Der</w:t>
      </w:r>
      <w:r>
        <w:t xml:space="preserve"> </w:t>
      </w:r>
      <w:r>
        <w:t xml:space="preserve">grundsätzliche Prozess der Datenintegration, der Quell- und Zielsysteme</w:t>
      </w:r>
      <w:r>
        <w:t xml:space="preserve"> </w:t>
      </w:r>
      <w:r>
        <w:t xml:space="preserve">verbindet, wird als</w:t>
      </w:r>
      <w:r>
        <w:t xml:space="preserve"> </w:t>
      </w:r>
      <w:r>
        <w:rPr>
          <w:bCs/>
          <w:b/>
        </w:rPr>
        <w:t xml:space="preserve">ETL-Prozess</w:t>
      </w:r>
      <w:r>
        <w:t xml:space="preserve"> </w:t>
      </w:r>
      <w:r>
        <w:t xml:space="preserve">bezeichnet. Der Prozess aus drei zentralen</w:t>
      </w:r>
      <w:r>
        <w:t xml:space="preserve"> </w:t>
      </w:r>
      <w:r>
        <w:t xml:space="preserve">Schritten „Extract“, „Transform“ und „Load“ stammt ursprünglich aus dem Bereich</w:t>
      </w:r>
      <w:r>
        <w:t xml:space="preserve"> </w:t>
      </w:r>
      <w:r>
        <w:t xml:space="preserve">des Data Warehousing und findet sich auch in anderen Anwendungsfällen. Im</w:t>
      </w:r>
      <w:r>
        <w:t xml:space="preserve"> </w:t>
      </w:r>
      <w:r>
        <w:t xml:space="preserve">Folgenden wird er am Beispiel der Integration von Metadaten in ein</w:t>
      </w:r>
      <w:r>
        <w:t xml:space="preserve"> </w:t>
      </w:r>
      <w:r>
        <w:t xml:space="preserve">Discovery-System beschrieben.</w:t>
      </w:r>
      <w:r>
        <w:t xml:space="preserve"> </w:t>
      </w:r>
      <w:hyperlink w:anchor="fig-etl">
        <w:r>
          <w:rPr>
            <w:rStyle w:val="Hyperlink"/>
          </w:rPr>
          <w:t xml:space="preserve">Abbildung 6.2</w:t>
        </w:r>
      </w:hyperlink>
      <w:r>
        <w:t xml:space="preserve"> </w:t>
      </w:r>
      <w:r>
        <w:t xml:space="preserve">illustriert den generellen ETL-Prozess</w:t>
      </w:r>
      <w:r>
        <w:t xml:space="preserve"> </w:t>
      </w:r>
      <w:r>
        <w:t xml:space="preserve">mit einigen exemplarischen Arbeitsschritten.</w:t>
      </w:r>
    </w:p>
    <w:tbl>
      <w:tblPr>
        <w:tblStyle w:val="Table"/>
        <w:tblW w:type="pct" w:w="5000"/>
        <w:tblLook w:firstRow="0" w:lastRow="0" w:firstColumn="0" w:lastColumn="0" w:noHBand="0" w:noVBand="0" w:val="0000"/>
      </w:tblPr>
      <w:tblGrid>
        <w:gridCol w:w="7920"/>
      </w:tblGrid>
      <w:tr>
        <w:tc>
          <w:tcPr/>
          <w:bookmarkStart w:id="313" w:name="fig-etl"/>
          <w:p>
            <w:pPr>
              <w:pStyle w:val="Figure"/>
              <w:jc w:val="center"/>
            </w:pPr>
            <w:r>
              <w:drawing>
                <wp:inline>
                  <wp:extent cx="3201929" cy="1510747"/>
                  <wp:effectExtent b="0" l="0" r="0" t="0"/>
                  <wp:docPr descr="" title="" id="311" name="Picture"/>
                  <a:graphic>
                    <a:graphicData uri="http://schemas.openxmlformats.org/drawingml/2006/picture">
                      <pic:pic>
                        <pic:nvPicPr>
                          <pic:cNvPr descr="./media/etl-prozess.png" id="312" name="Picture"/>
                          <pic:cNvPicPr>
                            <a:picLocks noChangeArrowheads="1" noChangeAspect="1"/>
                          </pic:cNvPicPr>
                        </pic:nvPicPr>
                        <pic:blipFill>
                          <a:blip r:embed="rId310"/>
                          <a:stretch>
                            <a:fillRect/>
                          </a:stretch>
                        </pic:blipFill>
                        <pic:spPr bwMode="auto">
                          <a:xfrm>
                            <a:off x="0" y="0"/>
                            <a:ext cx="3201929" cy="1510747"/>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6.2: Beispiel eines ETL-Prozess</w:t>
            </w:r>
          </w:p>
          <w:bookmarkEnd w:id="313"/>
        </w:tc>
      </w:tr>
    </w:tbl>
    <w:bookmarkStart w:id="314" w:name="extraktion"/>
    <w:p>
      <w:pPr>
        <w:pStyle w:val="Heading4"/>
      </w:pPr>
      <w:r>
        <w:t xml:space="preserve">Extraktion</w:t>
      </w:r>
    </w:p>
    <w:p>
      <w:pPr>
        <w:pStyle w:val="FirstParagraph"/>
      </w:pPr>
      <w:r>
        <w:t xml:space="preserve">Ziel der</w:t>
      </w:r>
      <w:r>
        <w:t xml:space="preserve"> </w:t>
      </w:r>
      <w:r>
        <w:rPr>
          <w:bCs/>
          <w:b/>
        </w:rPr>
        <w:t xml:space="preserve">Extraktion</w:t>
      </w:r>
      <w:r>
        <w:t xml:space="preserve"> </w:t>
      </w:r>
      <w:r>
        <w:t xml:space="preserve">(Extract) ist die Auswahl und der Abzug</w:t>
      </w:r>
      <w:r>
        <w:t xml:space="preserve"> </w:t>
      </w:r>
      <w:r>
        <w:t xml:space="preserve">relevanter Daten aus verschiedenen Datenquellen. Hierbei handelt es sich</w:t>
      </w:r>
      <w:r>
        <w:t xml:space="preserve"> </w:t>
      </w:r>
      <w:r>
        <w:t xml:space="preserve">primär um einen technischen Vorgang, dem sogenannten</w:t>
      </w:r>
      <w:r>
        <w:t xml:space="preserve"> </w:t>
      </w:r>
      <w:r>
        <w:rPr>
          <w:bCs/>
          <w:b/>
        </w:rPr>
        <w:t xml:space="preserve">Harvesting</w:t>
      </w:r>
      <w:r>
        <w:t xml:space="preserve">,</w:t>
      </w:r>
      <w:r>
        <w:t xml:space="preserve"> </w:t>
      </w:r>
      <w:r>
        <w:t xml:space="preserve">welcher automatisiert oder manuell gestartet werden kann. Der Aufwand</w:t>
      </w:r>
      <w:r>
        <w:t xml:space="preserve"> </w:t>
      </w:r>
      <w:r>
        <w:t xml:space="preserve">und die Qualität des Harvesting können je nach Datenquelle sehr</w:t>
      </w:r>
      <w:r>
        <w:t xml:space="preserve"> </w:t>
      </w:r>
      <w:r>
        <w:t xml:space="preserve">unterschiedlich ausfallen. Denkbare Datenquellen sind Dateien,</w:t>
      </w:r>
      <w:r>
        <w:t xml:space="preserve"> </w:t>
      </w:r>
      <w:r>
        <w:t xml:space="preserve">Datenbanken bzw. Datenbankabzüge,</w:t>
      </w:r>
      <w:r>
        <w:t xml:space="preserve"> </w:t>
      </w:r>
      <w:hyperlink w:anchor="schnittstellen">
        <w:r>
          <w:rPr>
            <w:rStyle w:val="Hyperlink"/>
          </w:rPr>
          <w:t xml:space="preserve">Schnittstellen</w:t>
        </w:r>
      </w:hyperlink>
      <w:r>
        <w:t xml:space="preserve"> </w:t>
      </w:r>
      <w:r>
        <w:t xml:space="preserve">oder eher unstrukturierte Quellen wie Websites, die zunächst mittels</w:t>
      </w:r>
      <w:r>
        <w:t xml:space="preserve"> </w:t>
      </w:r>
      <w:r>
        <w:t xml:space="preserve">Screenscraping erschlossen werden müssen.</w:t>
      </w:r>
    </w:p>
    <w:p>
      <w:pPr>
        <w:pStyle w:val="BodyText"/>
      </w:pPr>
      <w:r>
        <w:t xml:space="preserve">Der Extraktionsvorgang erfolgt bei Bedarf regelmäßig, um die Daten im</w:t>
      </w:r>
      <w:r>
        <w:t xml:space="preserve"> </w:t>
      </w:r>
      <w:r>
        <w:t xml:space="preserve">Zielsystem aktuell zu halten. Mögliche Aktualisierungsintervalle sind:</w:t>
      </w:r>
    </w:p>
    <w:p>
      <w:pPr>
        <w:numPr>
          <w:ilvl w:val="0"/>
          <w:numId w:val="1071"/>
        </w:numPr>
      </w:pPr>
      <w:r>
        <w:rPr>
          <w:bCs/>
          <w:b/>
        </w:rPr>
        <w:t xml:space="preserve">periodisch</w:t>
      </w:r>
      <w:r>
        <w:t xml:space="preserve">, das heißt in zeitlich regelmäßigen Abständen</w:t>
      </w:r>
      <w:r>
        <w:t xml:space="preserve"> </w:t>
      </w:r>
      <w:r>
        <w:t xml:space="preserve">unabhängig von der jeweiligen Aktualisierungen der Daten in den</w:t>
      </w:r>
      <w:r>
        <w:t xml:space="preserve"> </w:t>
      </w:r>
      <w:r>
        <w:t xml:space="preserve">Quellsystemen</w:t>
      </w:r>
    </w:p>
    <w:p>
      <w:pPr>
        <w:numPr>
          <w:ilvl w:val="0"/>
          <w:numId w:val="1071"/>
        </w:numPr>
      </w:pPr>
      <w:r>
        <w:rPr>
          <w:bCs/>
          <w:b/>
        </w:rPr>
        <w:t xml:space="preserve">ereignisgesteuert</w:t>
      </w:r>
      <w:r>
        <w:t xml:space="preserve"> </w:t>
      </w:r>
      <w:r>
        <w:t xml:space="preserve">immer wenn bestimmte Bedingungen wie zum</w:t>
      </w:r>
      <w:r>
        <w:t xml:space="preserve"> </w:t>
      </w:r>
      <w:r>
        <w:t xml:space="preserve">Beispiel die Änderung von Daten in den Quellsystemen eintreten</w:t>
      </w:r>
    </w:p>
    <w:p>
      <w:pPr>
        <w:numPr>
          <w:ilvl w:val="0"/>
          <w:numId w:val="1071"/>
        </w:numPr>
      </w:pPr>
      <w:r>
        <w:rPr>
          <w:bCs/>
          <w:b/>
        </w:rPr>
        <w:t xml:space="preserve">manuell</w:t>
      </w:r>
      <w:r>
        <w:t xml:space="preserve"> </w:t>
      </w:r>
      <w:r>
        <w:t xml:space="preserve">beispielsweise, wenn Daten aus Quellsystemen ad hoc</w:t>
      </w:r>
      <w:r>
        <w:t xml:space="preserve"> </w:t>
      </w:r>
      <w:r>
        <w:t xml:space="preserve">importiert werden sollen. Manuelle Aktualisierungen bieten sich</w:t>
      </w:r>
      <w:r>
        <w:t xml:space="preserve"> </w:t>
      </w:r>
      <w:r>
        <w:t xml:space="preserve">vor allem an, wenn der Inhalt der Datenquellen weitestgehend</w:t>
      </w:r>
      <w:r>
        <w:t xml:space="preserve"> </w:t>
      </w:r>
      <w:r>
        <w:t xml:space="preserve">statisch ist, da die dauerhaft verlässliche Aktualisierung im</w:t>
      </w:r>
      <w:r>
        <w:t xml:space="preserve"> </w:t>
      </w:r>
      <w:r>
        <w:t xml:space="preserve">Zielsystem ohne Automatismus nicht garantiert ist.</w:t>
      </w:r>
    </w:p>
    <w:p>
      <w:pPr>
        <w:pStyle w:val="FirstParagraph"/>
      </w:pPr>
      <w:r>
        <w:t xml:space="preserve">Der Extraktionsvorgang ist technisch relativ einfach handhabbar, wenn</w:t>
      </w:r>
      <w:r>
        <w:t xml:space="preserve"> </w:t>
      </w:r>
      <w:r>
        <w:t xml:space="preserve">strukturierte</w:t>
      </w:r>
      <w:r>
        <w:t xml:space="preserve"> </w:t>
      </w:r>
      <w:hyperlink w:anchor="datenformate">
        <w:r>
          <w:rPr>
            <w:rStyle w:val="Hyperlink"/>
          </w:rPr>
          <w:t xml:space="preserve">Datenformate</w:t>
        </w:r>
      </w:hyperlink>
      <w:r>
        <w:t xml:space="preserve"> </w:t>
      </w:r>
      <w:r>
        <w:t xml:space="preserve">und/oder</w:t>
      </w:r>
      <w:r>
        <w:t xml:space="preserve"> </w:t>
      </w:r>
      <w:hyperlink w:anchor="schnittstellen">
        <w:r>
          <w:rPr>
            <w:rStyle w:val="Hyperlink"/>
          </w:rPr>
          <w:t xml:space="preserve">Schnittstellen</w:t>
        </w:r>
      </w:hyperlink>
      <w:r>
        <w:t xml:space="preserve"> </w:t>
      </w:r>
      <w:r>
        <w:t xml:space="preserve">existieren — die wesentlichen Aufwände</w:t>
      </w:r>
      <w:r>
        <w:t xml:space="preserve"> </w:t>
      </w:r>
      <w:r>
        <w:t xml:space="preserve">finden sich dann im nachfolgenden Transformationsschritt. Anders sieht es aus,</w:t>
      </w:r>
      <w:r>
        <w:t xml:space="preserve"> </w:t>
      </w:r>
      <w:r>
        <w:t xml:space="preserve">wenn beispielsweise Daten manuell eingesammelt werden müssen oder</w:t>
      </w:r>
      <w:r>
        <w:t xml:space="preserve"> </w:t>
      </w:r>
      <w:r>
        <w:t xml:space="preserve">Screenscraping notwendig ist. Beim</w:t>
      </w:r>
      <w:r>
        <w:t xml:space="preserve"> </w:t>
      </w:r>
      <w:r>
        <w:rPr>
          <w:iCs/>
          <w:i/>
        </w:rPr>
        <w:t xml:space="preserve">Screenscraping</w:t>
      </w:r>
      <w:r>
        <w:t xml:space="preserve"> </w:t>
      </w:r>
      <w:r>
        <w:t xml:space="preserve">müssen aufwändig</w:t>
      </w:r>
      <w:r>
        <w:t xml:space="preserve"> </w:t>
      </w:r>
      <w:r>
        <w:t xml:space="preserve">Extraktionsskripte erstellt werden um Daten aus Webseiten in ein strukturiertes</w:t>
      </w:r>
      <w:r>
        <w:t xml:space="preserve"> </w:t>
      </w:r>
      <w:r>
        <w:t xml:space="preserve">Format zu überführen. Diese Skripte sind zudem sehr fehleranfällig und müssen</w:t>
      </w:r>
      <w:r>
        <w:t xml:space="preserve"> </w:t>
      </w:r>
      <w:r>
        <w:t xml:space="preserve">jedes mal angepasst werden wenn die Betreiber der Datenquelle Veränderungen</w:t>
      </w:r>
      <w:r>
        <w:t xml:space="preserve"> </w:t>
      </w:r>
      <w:r>
        <w:t xml:space="preserve">vornehmen.</w:t>
      </w:r>
    </w:p>
    <w:p>
      <w:pPr>
        <w:pStyle w:val="BodyText"/>
      </w:pPr>
      <w:r>
        <w:t xml:space="preserve">Die extrahierten Daten werden in einem sogenannten Arbeitsbereich abgelegt und</w:t>
      </w:r>
      <w:r>
        <w:t xml:space="preserve"> </w:t>
      </w:r>
      <w:r>
        <w:t xml:space="preserve">dort im nächsten Prozessschritt aufbereitet.</w:t>
      </w:r>
    </w:p>
    <w:bookmarkEnd w:id="314"/>
    <w:bookmarkStart w:id="315" w:name="transformation"/>
    <w:p>
      <w:pPr>
        <w:pStyle w:val="Heading4"/>
      </w:pPr>
      <w:r>
        <w:t xml:space="preserve">Transformation</w:t>
      </w:r>
    </w:p>
    <w:p>
      <w:pPr>
        <w:pStyle w:val="FirstParagraph"/>
      </w:pPr>
      <w:r>
        <w:t xml:space="preserve">Daten aus verschiedenen Quellsystemen liegen zumeist in unterschiedlichen</w:t>
      </w:r>
      <w:r>
        <w:t xml:space="preserve"> </w:t>
      </w:r>
      <w:r>
        <w:t xml:space="preserve">Formaten mit unterschiedlichen Datenmodellen vor. Neben Unterschieden in der</w:t>
      </w:r>
      <w:r>
        <w:t xml:space="preserve"> </w:t>
      </w:r>
      <w:r>
        <w:t xml:space="preserve">Syntax können gleiche Sachverhalte auch auf semantischer Ebene unterschiedlich</w:t>
      </w:r>
      <w:r>
        <w:t xml:space="preserve"> </w:t>
      </w:r>
      <w:r>
        <w:t xml:space="preserve">beschrieben sein, da die Daten mitunter für abweichende Anwendungsfälle erfasst</w:t>
      </w:r>
      <w:r>
        <w:t xml:space="preserve"> </w:t>
      </w:r>
      <w:r>
        <w:t xml:space="preserve">wurden. So müssen beispielsweise in einem Discovery-System Metadaten zur</w:t>
      </w:r>
      <w:r>
        <w:t xml:space="preserve"> </w:t>
      </w:r>
      <w:r>
        <w:t xml:space="preserve">einfachen Beschreibung so aufbereitet werden, dass sie auch erweiterte</w:t>
      </w:r>
      <w:r>
        <w:t xml:space="preserve"> </w:t>
      </w:r>
      <w:r>
        <w:t xml:space="preserve">Suchstrategien unterstützen.</w:t>
      </w:r>
    </w:p>
    <w:p>
      <w:pPr>
        <w:pStyle w:val="BodyText"/>
      </w:pPr>
      <w:r>
        <w:t xml:space="preserve">Ziel der</w:t>
      </w:r>
      <w:r>
        <w:t xml:space="preserve"> </w:t>
      </w:r>
      <w:r>
        <w:rPr>
          <w:bCs/>
          <w:b/>
        </w:rPr>
        <w:t xml:space="preserve">Transformation</w:t>
      </w:r>
      <w:r>
        <w:t xml:space="preserve"> </w:t>
      </w:r>
      <w:r>
        <w:t xml:space="preserve">ist es, alle Daten in ein einheitliches Format mit</w:t>
      </w:r>
      <w:r>
        <w:t xml:space="preserve"> </w:t>
      </w:r>
      <w:r>
        <w:t xml:space="preserve">gemeinsamen Datenmodell zu überführen. Dieses Zielformat wird beim ETL-Prozess</w:t>
      </w:r>
      <w:r>
        <w:t xml:space="preserve"> </w:t>
      </w:r>
      <w:r>
        <w:t xml:space="preserve">auch als</w:t>
      </w:r>
      <w:r>
        <w:t xml:space="preserve"> </w:t>
      </w:r>
      <w:r>
        <w:rPr>
          <w:iCs/>
          <w:i/>
        </w:rPr>
        <w:t xml:space="preserve">Schema</w:t>
      </w:r>
      <w:r>
        <w:t xml:space="preserve"> </w:t>
      </w:r>
      <w:r>
        <w:t xml:space="preserve">bezeichnet. Die Vereinheitlichung des Schemas (</w:t>
      </w:r>
      <w:r>
        <w:rPr>
          <w:iCs/>
          <w:i/>
        </w:rPr>
        <w:t xml:space="preserve">Mapping</w:t>
      </w:r>
      <w:r>
        <w:t xml:space="preserve">) ist</w:t>
      </w:r>
      <w:r>
        <w:t xml:space="preserve"> </w:t>
      </w:r>
      <w:r>
        <w:t xml:space="preserve">ein wesentlicher Schritt jeder Datenkonvertierung. Zur Minimierung</w:t>
      </w:r>
      <w:r>
        <w:t xml:space="preserve"> </w:t>
      </w:r>
      <w:r>
        <w:t xml:space="preserve">Transformationsaufwand dienen gemeinsame Standards wie</w:t>
      </w:r>
      <w:r>
        <w:t xml:space="preserve"> </w:t>
      </w:r>
      <w:r>
        <w:rPr>
          <w:iCs/>
          <w:i/>
        </w:rPr>
        <w:t xml:space="preserve">MARC21</w:t>
      </w:r>
      <w:r>
        <w:t xml:space="preserve"> </w:t>
      </w:r>
      <w:r>
        <w:t xml:space="preserve">als</w:t>
      </w:r>
      <w:r>
        <w:t xml:space="preserve"> </w:t>
      </w:r>
      <w:r>
        <w:t xml:space="preserve">Austauschformat oder die einheitliche Verwendung von RDF-Ontologien.</w:t>
      </w:r>
    </w:p>
    <w:p>
      <w:pPr>
        <w:pStyle w:val="BodyText"/>
      </w:pPr>
      <w:r>
        <w:t xml:space="preserve">Über die einfache Konvertierung hinaus sind im Rahmen der Transformation oft</w:t>
      </w:r>
      <w:r>
        <w:t xml:space="preserve"> </w:t>
      </w:r>
      <w:r>
        <w:t xml:space="preserve">weitere Aufbereitungen zur Vereinheitlichung und Verbesserung der Datenqualität</w:t>
      </w:r>
      <w:r>
        <w:t xml:space="preserve"> </w:t>
      </w:r>
      <w:r>
        <w:t xml:space="preserve">notwendig. Beispiele hierfür sind:</w:t>
      </w:r>
    </w:p>
    <w:p>
      <w:pPr>
        <w:numPr>
          <w:ilvl w:val="0"/>
          <w:numId w:val="1072"/>
        </w:numPr>
      </w:pPr>
      <w:r>
        <w:t xml:space="preserve">Prüfung und</w:t>
      </w:r>
      <w:r>
        <w:t xml:space="preserve"> </w:t>
      </w:r>
      <w:r>
        <w:rPr>
          <w:bCs/>
          <w:b/>
        </w:rPr>
        <w:t xml:space="preserve">Vereinheitlichung</w:t>
      </w:r>
      <w:r>
        <w:t xml:space="preserve"> </w:t>
      </w:r>
      <w:r>
        <w:t xml:space="preserve">der Zeichencodierung auf normalisierten Unicode</w:t>
      </w:r>
    </w:p>
    <w:p>
      <w:pPr>
        <w:numPr>
          <w:ilvl w:val="0"/>
          <w:numId w:val="1072"/>
        </w:numPr>
      </w:pPr>
      <w:r>
        <w:t xml:space="preserve">formale</w:t>
      </w:r>
      <w:r>
        <w:t xml:space="preserve"> </w:t>
      </w:r>
      <w:r>
        <w:rPr>
          <w:bCs/>
          <w:b/>
        </w:rPr>
        <w:t xml:space="preserve">Anpassungen</w:t>
      </w:r>
      <w:r>
        <w:t xml:space="preserve"> </w:t>
      </w:r>
      <w:r>
        <w:t xml:space="preserve">von Daten wie die Vereinheitlichung von</w:t>
      </w:r>
      <w:r>
        <w:t xml:space="preserve"> </w:t>
      </w:r>
      <w:r>
        <w:t xml:space="preserve">Datumsformaten, Ländercodierungen etc.</w:t>
      </w:r>
    </w:p>
    <w:p>
      <w:pPr>
        <w:numPr>
          <w:ilvl w:val="0"/>
          <w:numId w:val="1072"/>
        </w:numPr>
      </w:pPr>
      <w:r>
        <w:t xml:space="preserve">Erkennung und Eliminierung von</w:t>
      </w:r>
      <w:r>
        <w:t xml:space="preserve"> </w:t>
      </w:r>
      <w:r>
        <w:rPr>
          <w:bCs/>
          <w:b/>
        </w:rPr>
        <w:t xml:space="preserve">Duplikaten</w:t>
      </w:r>
    </w:p>
    <w:p>
      <w:pPr>
        <w:numPr>
          <w:ilvl w:val="0"/>
          <w:numId w:val="1072"/>
        </w:numPr>
      </w:pPr>
      <w:r>
        <w:t xml:space="preserve">Abgleich, Vereinheitlichung und</w:t>
      </w:r>
      <w:r>
        <w:t xml:space="preserve"> </w:t>
      </w:r>
      <w:r>
        <w:rPr>
          <w:bCs/>
          <w:b/>
        </w:rPr>
        <w:t xml:space="preserve">Konsistenzprüfung</w:t>
      </w:r>
      <w:r>
        <w:t xml:space="preserve"> </w:t>
      </w:r>
      <w:r>
        <w:t xml:space="preserve">von Aussagen</w:t>
      </w:r>
      <w:r>
        <w:t xml:space="preserve"> </w:t>
      </w:r>
      <w:r>
        <w:t xml:space="preserve">über dieselben Objekte aus verschiedenen Datenquellen</w:t>
      </w:r>
    </w:p>
    <w:p>
      <w:pPr>
        <w:numPr>
          <w:ilvl w:val="0"/>
          <w:numId w:val="1072"/>
        </w:numPr>
      </w:pPr>
      <w:r>
        <w:rPr>
          <w:bCs/>
          <w:b/>
        </w:rPr>
        <w:t xml:space="preserve">Anreicherung</w:t>
      </w:r>
      <w:r>
        <w:t xml:space="preserve"> </w:t>
      </w:r>
      <w:r>
        <w:t xml:space="preserve">oder Korrektur von Datensätzen mittels</w:t>
      </w:r>
      <w:r>
        <w:t xml:space="preserve"> </w:t>
      </w:r>
      <w:r>
        <w:t xml:space="preserve">Zusatzinformationen aus Normdaten oder anderer zusätzlicher</w:t>
      </w:r>
      <w:r>
        <w:t xml:space="preserve"> </w:t>
      </w:r>
      <w:r>
        <w:t xml:space="preserve">Datenquellen</w:t>
      </w:r>
    </w:p>
    <w:p>
      <w:pPr>
        <w:pStyle w:val="FirstParagraph"/>
      </w:pPr>
      <w:r>
        <w:t xml:space="preserve">Der Aufwand der Transformation sollte nicht unterschätzt werden, da die</w:t>
      </w:r>
      <w:r>
        <w:t xml:space="preserve"> </w:t>
      </w:r>
      <w:r>
        <w:t xml:space="preserve">Datenqualität verschiedener Datenquellen stark variieren kann und</w:t>
      </w:r>
      <w:r>
        <w:t xml:space="preserve"> </w:t>
      </w:r>
      <w:r>
        <w:t xml:space="preserve">Qualitätsprobleme oft erst spät entdeckt werden. Zudem können sich Datenquellen</w:t>
      </w:r>
      <w:r>
        <w:t xml:space="preserve"> </w:t>
      </w:r>
      <w:r>
        <w:t xml:space="preserve">und ihre Qualität zwischen Aktualisierungen ändern. Sofern die Datenübernahme</w:t>
      </w:r>
      <w:r>
        <w:t xml:space="preserve"> </w:t>
      </w:r>
      <w:r>
        <w:t xml:space="preserve">nicht nur einmalig stattfinden soll (</w:t>
      </w:r>
      <w:r>
        <w:rPr>
          <w:iCs/>
          <w:i/>
        </w:rPr>
        <w:t xml:space="preserve">Konversion</w:t>
      </w:r>
      <w:r>
        <w:t xml:space="preserve">), ist die Betreuung des</w:t>
      </w:r>
      <w:r>
        <w:t xml:space="preserve"> </w:t>
      </w:r>
      <w:r>
        <w:t xml:space="preserve">Transformationsschrittes eine Daueraufgabe.</w:t>
      </w:r>
    </w:p>
    <w:p>
      <w:pPr>
        <w:pStyle w:val="BodyText"/>
      </w:pPr>
      <w:r>
        <w:t xml:space="preserve">Da im Transformationsschritt regelmäßig Massendaten analysiert und modifiziert</w:t>
      </w:r>
      <w:r>
        <w:t xml:space="preserve"> </w:t>
      </w:r>
      <w:r>
        <w:t xml:space="preserve">werden müssen, ist der Einsatz von IT-gestützten</w:t>
      </w:r>
      <w:r>
        <w:t xml:space="preserve"> </w:t>
      </w:r>
      <w:hyperlink w:anchor="werkzeuge">
        <w:r>
          <w:rPr>
            <w:rStyle w:val="Hyperlink"/>
          </w:rPr>
          <w:t xml:space="preserve">Werkzeugen</w:t>
        </w:r>
      </w:hyperlink>
      <w:r>
        <w:t xml:space="preserve"> </w:t>
      </w:r>
      <w:r>
        <w:t xml:space="preserve">und</w:t>
      </w:r>
      <w:r>
        <w:t xml:space="preserve"> </w:t>
      </w:r>
      <w:r>
        <w:t xml:space="preserve">Verfahren der</w:t>
      </w:r>
      <w:r>
        <w:t xml:space="preserve"> </w:t>
      </w:r>
      <w:hyperlink w:anchor="datenanalyse">
        <w:r>
          <w:rPr>
            <w:rStyle w:val="Hyperlink"/>
          </w:rPr>
          <w:t xml:space="preserve">Datenanalyse</w:t>
        </w:r>
      </w:hyperlink>
      <w:r>
        <w:t xml:space="preserve"> </w:t>
      </w:r>
      <w:r>
        <w:t xml:space="preserve">unerlässlich. Die aus der Analyse</w:t>
      </w:r>
      <w:r>
        <w:t xml:space="preserve"> </w:t>
      </w:r>
      <w:r>
        <w:t xml:space="preserve">gewonnenen Erkenntnisse müssen wiederum kontinuierlich in die Anpassung des</w:t>
      </w:r>
      <w:r>
        <w:t xml:space="preserve"> </w:t>
      </w:r>
      <w:r>
        <w:t xml:space="preserve">Schema-Mappings einfließen, damit der Transformationsprozess nicht ins Stocken</w:t>
      </w:r>
      <w:r>
        <w:t xml:space="preserve"> </w:t>
      </w:r>
      <w:r>
        <w:t xml:space="preserve">gerät.</w:t>
      </w:r>
    </w:p>
    <w:bookmarkEnd w:id="315"/>
    <w:bookmarkStart w:id="316" w:name="laden"/>
    <w:p>
      <w:pPr>
        <w:pStyle w:val="Heading4"/>
      </w:pPr>
      <w:r>
        <w:t xml:space="preserve">Laden</w:t>
      </w:r>
    </w:p>
    <w:p>
      <w:pPr>
        <w:pStyle w:val="FirstParagraph"/>
      </w:pPr>
      <w:r>
        <w:t xml:space="preserve">Auf die Transformation folgt beim</w:t>
      </w:r>
      <w:r>
        <w:t xml:space="preserve"> </w:t>
      </w:r>
      <w:r>
        <w:rPr>
          <w:bCs/>
          <w:b/>
        </w:rPr>
        <w:t xml:space="preserve">Laden</w:t>
      </w:r>
      <w:r>
        <w:t xml:space="preserve"> </w:t>
      </w:r>
      <w:r>
        <w:t xml:space="preserve">(load) die Überführung der</w:t>
      </w:r>
      <w:r>
        <w:t xml:space="preserve"> </w:t>
      </w:r>
      <w:r>
        <w:t xml:space="preserve">vereinheitlichten Daten in das Zielsystem – beispielsweise in den Suchindex</w:t>
      </w:r>
      <w:r>
        <w:t xml:space="preserve"> </w:t>
      </w:r>
      <w:r>
        <w:t xml:space="preserve">eines Discovery-Systems. Dabei dürfen nur Datensätze in Produktivsysteme</w:t>
      </w:r>
      <w:r>
        <w:t xml:space="preserve"> </w:t>
      </w:r>
      <w:r>
        <w:t xml:space="preserve">übernommen werden, die den Transformationsschritt erfolgreich durchlaufen</w:t>
      </w:r>
      <w:r>
        <w:t xml:space="preserve"> </w:t>
      </w:r>
      <w:r>
        <w:t xml:space="preserve">haben, während für Test- und Entwicklungssysteme andere Regeln möglich sind.</w:t>
      </w:r>
    </w:p>
    <w:p>
      <w:pPr>
        <w:pStyle w:val="BodyText"/>
      </w:pPr>
      <w:r>
        <w:t xml:space="preserve">Das Laden selbst ist ein technisch beherrschbarer Schritt, welcher</w:t>
      </w:r>
      <w:r>
        <w:t xml:space="preserve"> </w:t>
      </w:r>
      <w:r>
        <w:t xml:space="preserve">optimalerweise darauf abzielt, das Zielsystem ohne Ausfallzeiten aktuell zu</w:t>
      </w:r>
      <w:r>
        <w:t xml:space="preserve"> </w:t>
      </w:r>
      <w:r>
        <w:t xml:space="preserve">halten. Bei Änderungen des Schemas muss deshalb besonders darauf geachtet</w:t>
      </w:r>
      <w:r>
        <w:t xml:space="preserve"> </w:t>
      </w:r>
      <w:r>
        <w:t xml:space="preserve">werden, gleichzeitig entsprechende Anpassungen im Zielsystem vorzunehmen.</w:t>
      </w:r>
      <w:r>
        <w:t xml:space="preserve"> </w:t>
      </w:r>
      <w:r>
        <w:t xml:space="preserve">Daneben ist es bei absehbaren Änderungen ratsam, das Schema und die</w:t>
      </w:r>
      <w:r>
        <w:t xml:space="preserve"> </w:t>
      </w:r>
      <w:r>
        <w:t xml:space="preserve">Verarbeitung von Daten im Zielsystem von vornherein flexibel zu gestalten.</w:t>
      </w:r>
    </w:p>
    <w:bookmarkEnd w:id="316"/>
    <w:bookmarkStart w:id="317" w:name="umsetzung-des-etl-prozess"/>
    <w:p>
      <w:pPr>
        <w:pStyle w:val="Heading4"/>
      </w:pPr>
      <w:r>
        <w:t xml:space="preserve">Umsetzung des ETL-Prozess</w:t>
      </w:r>
    </w:p>
    <w:p>
      <w:pPr>
        <w:pStyle w:val="FirstParagraph"/>
      </w:pPr>
      <w:r>
        <w:t xml:space="preserve">Die Umsetzung von Datenkonvertierung und ETL-Prozessen erfolgt im</w:t>
      </w:r>
      <w:r>
        <w:t xml:space="preserve"> </w:t>
      </w:r>
      <w:r>
        <w:t xml:space="preserve">bibliothekarischen Umfeld oft über selbst entwickelte Skripte für das</w:t>
      </w:r>
      <w:r>
        <w:t xml:space="preserve"> </w:t>
      </w:r>
      <w:r>
        <w:t xml:space="preserve">Harvesting und die Transformation. Das entsprechende Know-How ist in der Regel</w:t>
      </w:r>
      <w:r>
        <w:t xml:space="preserve"> </w:t>
      </w:r>
      <w:r>
        <w:t xml:space="preserve">auf wenige Köpfe verteilt und kann auch nicht leicht durch das Hinzuziehen</w:t>
      </w:r>
      <w:r>
        <w:t xml:space="preserve"> </w:t>
      </w:r>
      <w:r>
        <w:t xml:space="preserve">externer Expertise verfügbar gemacht werden.</w:t>
      </w:r>
    </w:p>
    <w:p>
      <w:pPr>
        <w:pStyle w:val="BodyText"/>
      </w:pPr>
      <w:r>
        <w:t xml:space="preserve">Es gibt einige kommerzielle ETL-Komplettlösungen mit Data-Warehouse- oder</w:t>
      </w:r>
      <w:r>
        <w:t xml:space="preserve"> </w:t>
      </w:r>
      <w:r>
        <w:t xml:space="preserve">Business-Intelligence-Hintergrund. Angesichts der teils erheblichen</w:t>
      </w:r>
      <w:r>
        <w:t xml:space="preserve"> </w:t>
      </w:r>
      <w:r>
        <w:t xml:space="preserve">Einstiegskosten und zur Vermeidung von</w:t>
      </w:r>
      <w:r>
        <w:t xml:space="preserve"> </w:t>
      </w:r>
      <w:r>
        <w:rPr>
          <w:iCs/>
          <w:i/>
        </w:rPr>
        <w:t xml:space="preserve">vendor-lock-in</w:t>
      </w:r>
      <w:r>
        <w:t xml:space="preserve"> </w:t>
      </w:r>
      <w:r>
        <w:t xml:space="preserve">sind für Bibliotheken</w:t>
      </w:r>
      <w:r>
        <w:t xml:space="preserve"> </w:t>
      </w:r>
      <w:r>
        <w:t xml:space="preserve">möglichst einfache und allgemeine</w:t>
      </w:r>
      <w:r>
        <w:t xml:space="preserve"> </w:t>
      </w:r>
      <w:hyperlink w:anchor="werkzeuge">
        <w:r>
          <w:rPr>
            <w:rStyle w:val="Hyperlink"/>
          </w:rPr>
          <w:t xml:space="preserve">Werkzeuge zur Datenverarbeitung</w:t>
        </w:r>
      </w:hyperlink>
      <w:r>
        <w:t xml:space="preserve"> </w:t>
      </w:r>
      <w:r>
        <w:t xml:space="preserve">jedoch meist die bessere Wahl. Die Vorteile etablierter ETL-Werkzeuge liegen in</w:t>
      </w:r>
      <w:r>
        <w:t xml:space="preserve"> </w:t>
      </w:r>
      <w:r>
        <w:t xml:space="preserve">Schulungsmöglichkeiten und der Verfügbarkeit externer Expertise. Mit</w:t>
      </w:r>
      <w:r>
        <w:t xml:space="preserve"> </w:t>
      </w:r>
      <w:r>
        <w:rPr>
          <w:iCs/>
          <w:i/>
        </w:rPr>
        <w:t xml:space="preserve">Catmandu</w:t>
      </w:r>
      <w:r>
        <w:t xml:space="preserve">,</w:t>
      </w:r>
      <w:r>
        <w:t xml:space="preserve"> </w:t>
      </w:r>
      <w:r>
        <w:rPr>
          <w:iCs/>
          <w:i/>
        </w:rPr>
        <w:t xml:space="preserve">Metafacture</w:t>
      </w:r>
      <w:r>
        <w:t xml:space="preserve"> </w:t>
      </w:r>
      <w:r>
        <w:t xml:space="preserve">und</w:t>
      </w:r>
      <w:r>
        <w:t xml:space="preserve"> </w:t>
      </w:r>
      <w:r>
        <w:rPr>
          <w:iCs/>
          <w:i/>
        </w:rPr>
        <w:t xml:space="preserve">OpenRefine</w:t>
      </w:r>
      <w:r>
        <w:t xml:space="preserve"> </w:t>
      </w:r>
      <w:r>
        <w:t xml:space="preserve">gibt es mehrere Open-Source</w:t>
      </w:r>
      <w:r>
        <w:t xml:space="preserve"> </w:t>
      </w:r>
      <w:r>
        <w:t xml:space="preserve">ETL-Frameworks, deren eingeschränkter Funktionsumfang und Usability durch</w:t>
      </w:r>
      <w:r>
        <w:t xml:space="preserve"> </w:t>
      </w:r>
      <w:r>
        <w:t xml:space="preserve">Anpassungen für bibliothekarische Datenformate und Schnittstellen</w:t>
      </w:r>
      <w:r>
        <w:t xml:space="preserve"> </w:t>
      </w:r>
      <w:r>
        <w:t xml:space="preserve">möglicherweise aufgewogen werden.</w:t>
      </w:r>
    </w:p>
    <w:p>
      <w:pPr>
        <w:pStyle w:val="BodyText"/>
      </w:pPr>
      <w:r>
        <w:t xml:space="preserve">Grundsätzlich lassen sich die kontinuierlich anfallenden Aufwände der</w:t>
      </w:r>
      <w:r>
        <w:t xml:space="preserve"> </w:t>
      </w:r>
      <w:r>
        <w:t xml:space="preserve">Transformation und Qualitätssicherung durch ein ETL-Werkzeug nicht vermeiden,</w:t>
      </w:r>
      <w:r>
        <w:t xml:space="preserve"> </w:t>
      </w:r>
      <w:r>
        <w:t xml:space="preserve">sondern nur besser handhabbar machen. Dazu sollten die einzelnen</w:t>
      </w:r>
      <w:r>
        <w:t xml:space="preserve"> </w:t>
      </w:r>
      <w:r>
        <w:t xml:space="preserve">Arbeitsschritte zentral verwaltet und dokumentiert werden, beispielsweise durch</w:t>
      </w:r>
      <w:r>
        <w:t xml:space="preserve"> </w:t>
      </w:r>
      <w:r>
        <w:t xml:space="preserve">ein Versionskontrollsystem. Durch den Fokus auf Usability kann mittels</w:t>
      </w:r>
      <w:r>
        <w:t xml:space="preserve"> </w:t>
      </w:r>
      <w:r>
        <w:t xml:space="preserve">ETL-Werkzeugen bibliothekarisches Personal stärker eingebunden werden. Da hier</w:t>
      </w:r>
      <w:r>
        <w:t xml:space="preserve"> </w:t>
      </w:r>
      <w:r>
        <w:t xml:space="preserve">insbesondere im Bereich der Programmierung die Einstiegshürden niedriger sind,</w:t>
      </w:r>
      <w:r>
        <w:t xml:space="preserve"> </w:t>
      </w:r>
      <w:r>
        <w:t xml:space="preserve">ist es Fachpersonal leichter möglich, direkt Änderungen und Optimierungen am</w:t>
      </w:r>
      <w:r>
        <w:t xml:space="preserve"> </w:t>
      </w:r>
      <w:r>
        <w:t xml:space="preserve">ETL-Prozess vorzunehmen. Bei einer reinen Verankerung von ETL im IT-Bereich</w:t>
      </w:r>
      <w:r>
        <w:t xml:space="preserve"> </w:t>
      </w:r>
      <w:r>
        <w:t xml:space="preserve">sind solche Eingriffe dagegen nur in Zusammenarbeit von IT und</w:t>
      </w:r>
      <w:r>
        <w:t xml:space="preserve"> </w:t>
      </w:r>
      <w:r>
        <w:t xml:space="preserve">Metadaten-Expert*innen umsetzbar.</w:t>
      </w:r>
    </w:p>
    <w:p>
      <w:pPr>
        <w:pStyle w:val="BodyText"/>
      </w:pPr>
      <w:r>
        <w:t xml:space="preserve">In jedem Fall gehen mit der Einführung von ETL-Werkzeugen in die</w:t>
      </w:r>
      <w:r>
        <w:t xml:space="preserve"> </w:t>
      </w:r>
      <w:r>
        <w:t xml:space="preserve">bibliothekarische Arbeit immer auch individuelle Anpassungen im Prozess von</w:t>
      </w:r>
      <w:r>
        <w:t xml:space="preserve"> </w:t>
      </w:r>
      <w:r>
        <w:t xml:space="preserve">Extraktion, Transformation und Laden einher. Dieser Aufwand kann sowohl gegen</w:t>
      </w:r>
      <w:r>
        <w:t xml:space="preserve"> </w:t>
      </w:r>
      <w:r>
        <w:t xml:space="preserve">die Einführung solcher Werkzeuge sprechen als auch dafür, vorhandene</w:t>
      </w:r>
      <w:r>
        <w:t xml:space="preserve"> </w:t>
      </w:r>
      <w:r>
        <w:t xml:space="preserve">„Bastellösungen“ zu evaluieren und zu konsolidieren.</w:t>
      </w:r>
    </w:p>
    <w:bookmarkEnd w:id="317"/>
    <w:bookmarkEnd w:id="318"/>
    <w:bookmarkStart w:id="322" w:name="werkzeuge"/>
    <w:p>
      <w:pPr>
        <w:pStyle w:val="Heading3"/>
      </w:pPr>
      <w:r>
        <w:t xml:space="preserve">Werkzeuge</w:t>
      </w:r>
    </w:p>
    <w:p>
      <w:pPr>
        <w:pStyle w:val="FirstParagraph"/>
      </w:pPr>
      <w:r>
        <w:t xml:space="preserve">Für die Verarbeitung von Daten im Rahmen bibliothekarischer IT-Systeme</w:t>
      </w:r>
      <w:r>
        <w:t xml:space="preserve"> </w:t>
      </w:r>
      <w:r>
        <w:t xml:space="preserve">werden grundsätzlich die gleichen Werkzeuge verwendet wie außerhalb des</w:t>
      </w:r>
      <w:r>
        <w:t xml:space="preserve"> </w:t>
      </w:r>
      <w:r>
        <w:t xml:space="preserve">Bibliothekswesens, daher wird an dieser Stelle auf eine allgemeine</w:t>
      </w:r>
      <w:r>
        <w:t xml:space="preserve"> </w:t>
      </w:r>
      <w:r>
        <w:t xml:space="preserve">Einführung in die Datenverarbeitung verzichtet. Ganz allgemein sind hier</w:t>
      </w:r>
      <w:r>
        <w:t xml:space="preserve"> </w:t>
      </w:r>
      <w:r>
        <w:t xml:space="preserve">als Werkzeuge</w:t>
      </w:r>
    </w:p>
    <w:p>
      <w:pPr>
        <w:numPr>
          <w:ilvl w:val="0"/>
          <w:numId w:val="1073"/>
        </w:numPr>
      </w:pPr>
      <w:r>
        <w:t xml:space="preserve">Mittel zur</w:t>
      </w:r>
      <w:r>
        <w:t xml:space="preserve"> </w:t>
      </w:r>
      <w:r>
        <w:rPr>
          <w:bCs/>
          <w:b/>
        </w:rPr>
        <w:t xml:space="preserve">Dateiverwaltung</w:t>
      </w:r>
      <w:r>
        <w:t xml:space="preserve"> </w:t>
      </w:r>
      <w:r>
        <w:t xml:space="preserve">und ein Texteditor unabdingbar,</w:t>
      </w:r>
    </w:p>
    <w:p>
      <w:pPr>
        <w:numPr>
          <w:ilvl w:val="0"/>
          <w:numId w:val="1073"/>
        </w:numPr>
      </w:pPr>
      <w:r>
        <w:t xml:space="preserve">allgemeine</w:t>
      </w:r>
      <w:r>
        <w:t xml:space="preserve"> </w:t>
      </w:r>
      <w:r>
        <w:rPr>
          <w:bCs/>
          <w:b/>
        </w:rPr>
        <w:t xml:space="preserve">Kommandozeilenprogramme</w:t>
      </w:r>
      <w:r>
        <w:t xml:space="preserve"> </w:t>
      </w:r>
      <w:r>
        <w:t xml:space="preserve">(</w:t>
      </w:r>
      <w:r>
        <w:rPr>
          <w:rStyle w:val="VerbatimChar"/>
        </w:rPr>
        <w:t xml:space="preserve">curl</w:t>
      </w:r>
      <w:r>
        <w:t xml:space="preserve">,</w:t>
      </w:r>
      <w:r>
        <w:t xml:space="preserve"> </w:t>
      </w:r>
      <w:r>
        <w:rPr>
          <w:rStyle w:val="VerbatimChar"/>
        </w:rPr>
        <w:t xml:space="preserve">sort</w:t>
      </w:r>
      <w:r>
        <w:t xml:space="preserve">,</w:t>
      </w:r>
      <w:r>
        <w:t xml:space="preserve"> </w:t>
      </w:r>
      <w:r>
        <w:rPr>
          <w:rStyle w:val="VerbatimChar"/>
        </w:rPr>
        <w:t xml:space="preserve">grep</w:t>
      </w:r>
      <w:r>
        <w:t xml:space="preserve">…) sehr zu empfehlen</w:t>
      </w:r>
    </w:p>
    <w:p>
      <w:pPr>
        <w:numPr>
          <w:ilvl w:val="0"/>
          <w:numId w:val="1073"/>
        </w:numPr>
      </w:pPr>
      <w:r>
        <w:t xml:space="preserve">und</w:t>
      </w:r>
      <w:r>
        <w:t xml:space="preserve"> </w:t>
      </w:r>
      <w:r>
        <w:rPr>
          <w:bCs/>
          <w:b/>
        </w:rPr>
        <w:t xml:space="preserve">Programmiersprachen</w:t>
      </w:r>
      <w:r>
        <w:t xml:space="preserve"> </w:t>
      </w:r>
      <w:r>
        <w:t xml:space="preserve">vor allem für komplexere Aufgaben hilfreich.</w:t>
      </w:r>
    </w:p>
    <w:p>
      <w:pPr>
        <w:pStyle w:val="FirstParagraph"/>
      </w:pPr>
      <w:r>
        <w:t xml:space="preserve">Material und Kurse für die praktischen Grundkenntnisse mit Bibliotheksbezug</w:t>
      </w:r>
      <w:r>
        <w:t xml:space="preserve"> </w:t>
      </w:r>
      <w:r>
        <w:t xml:space="preserve">finden sich insbesondere in den Bereichen</w:t>
      </w:r>
      <w:r>
        <w:t xml:space="preserve"> </w:t>
      </w:r>
      <w:r>
        <w:rPr>
          <w:iCs/>
          <w:i/>
        </w:rPr>
        <w:t xml:space="preserve">Data Librarianship</w:t>
      </w:r>
      <w:r>
        <w:t xml:space="preserve"> </w:t>
      </w:r>
      <w:r>
        <w:t xml:space="preserve">und</w:t>
      </w:r>
      <w:r>
        <w:t xml:space="preserve"> </w:t>
      </w:r>
      <w:r>
        <w:rPr>
          <w:iCs/>
          <w:i/>
        </w:rPr>
        <w:t xml:space="preserve">Data</w:t>
      </w:r>
      <w:r>
        <w:rPr>
          <w:iCs/>
          <w:i/>
        </w:rPr>
        <w:t xml:space="preserve"> </w:t>
      </w:r>
      <w:r>
        <w:rPr>
          <w:iCs/>
          <w:i/>
        </w:rPr>
        <w:t xml:space="preserve">Science</w:t>
      </w:r>
      <w:r>
        <w:t xml:space="preserve">.</w:t>
      </w:r>
    </w:p>
    <w:p>
      <w:pPr>
        <w:pStyle w:val="BodyText"/>
      </w:pPr>
      <w:r>
        <w:t xml:space="preserve">Werkzeuge für konkrete Datenformate orientieren sich an den zugrunde liegenden</w:t>
      </w:r>
      <w:r>
        <w:t xml:space="preserve"> </w:t>
      </w:r>
      <w:hyperlink w:anchor="daten">
        <w:r>
          <w:rPr>
            <w:rStyle w:val="Hyperlink"/>
          </w:rPr>
          <w:t xml:space="preserve">Strukturierungssprachen</w:t>
        </w:r>
      </w:hyperlink>
      <w:r>
        <w:t xml:space="preserve">: so gibt es beispielsweise eigene Editoren</w:t>
      </w:r>
      <w:r>
        <w:t xml:space="preserve"> </w:t>
      </w:r>
      <w:r>
        <w:t xml:space="preserve">oder Editor-Plugins für XML-Daten und JSON-Daten und entsprechende</w:t>
      </w:r>
      <w:r>
        <w:t xml:space="preserve"> </w:t>
      </w:r>
      <w:r>
        <w:t xml:space="preserve">Kommandozeilentools wie xmlstarlet für XML und jq für JSON. Für tabellarische</w:t>
      </w:r>
      <w:r>
        <w:t xml:space="preserve"> </w:t>
      </w:r>
      <w:r>
        <w:t xml:space="preserve">Daten eignet sich etwa eine Tabellenkalkulation oder das tabellenbasierte</w:t>
      </w:r>
      <w:r>
        <w:t xml:space="preserve"> </w:t>
      </w:r>
      <w:r>
        <w:t xml:space="preserve">Werkzeug</w:t>
      </w:r>
      <w:r>
        <w:t xml:space="preserve"> </w:t>
      </w:r>
      <w:r>
        <w:rPr>
          <w:iCs/>
          <w:i/>
        </w:rPr>
        <w:t xml:space="preserve">OpenRefine</w:t>
      </w:r>
      <w:r>
        <w:t xml:space="preserve"> </w:t>
      </w:r>
      <w:r>
        <w:t xml:space="preserve">(</w:t>
      </w:r>
      <w:hyperlink r:id="rId319">
        <w:r>
          <w:rPr>
            <w:rStyle w:val="Hyperlink"/>
          </w:rPr>
          <w:t xml:space="preserve">openrefine.org</w:t>
        </w:r>
      </w:hyperlink>
      <w:r>
        <w:t xml:space="preserve">).</w:t>
      </w:r>
    </w:p>
    <w:p>
      <w:pPr>
        <w:pStyle w:val="BodyText"/>
      </w:pPr>
      <w:r>
        <w:t xml:space="preserve">Für bibliothekarische Datenformate und Schnittstellen gibt es darüber hinaus</w:t>
      </w:r>
      <w:r>
        <w:t xml:space="preserve"> </w:t>
      </w:r>
      <w:r>
        <w:t xml:space="preserve">einige speziellere Werkzeuge:</w:t>
      </w:r>
    </w:p>
    <w:p>
      <w:pPr>
        <w:numPr>
          <w:ilvl w:val="0"/>
          <w:numId w:val="1074"/>
        </w:numPr>
      </w:pPr>
      <w:r>
        <w:t xml:space="preserve">Programmierbibliotheken wie</w:t>
      </w:r>
      <w:r>
        <w:t xml:space="preserve"> </w:t>
      </w:r>
      <w:r>
        <w:rPr>
          <w:iCs/>
          <w:i/>
        </w:rPr>
        <w:t xml:space="preserve">MARC4J</w:t>
      </w:r>
      <w:r>
        <w:t xml:space="preserve"> </w:t>
      </w:r>
      <w:r>
        <w:t xml:space="preserve">und</w:t>
      </w:r>
      <w:r>
        <w:t xml:space="preserve"> </w:t>
      </w:r>
      <w:r>
        <w:rPr>
          <w:iCs/>
          <w:i/>
        </w:rPr>
        <w:t xml:space="preserve">YAZ</w:t>
      </w:r>
      <w:r>
        <w:t xml:space="preserve"> </w:t>
      </w:r>
      <w:r>
        <w:t xml:space="preserve">erleichtern die</w:t>
      </w:r>
      <w:r>
        <w:t xml:space="preserve"> </w:t>
      </w:r>
      <w:r>
        <w:t xml:space="preserve">Datenverarbeitung im Rahmen eigener Programme.</w:t>
      </w:r>
    </w:p>
    <w:p>
      <w:pPr>
        <w:numPr>
          <w:ilvl w:val="0"/>
          <w:numId w:val="1074"/>
        </w:numPr>
      </w:pPr>
      <w:r>
        <w:t xml:space="preserve">Anwendungsprogramme wie</w:t>
      </w:r>
      <w:r>
        <w:t xml:space="preserve"> </w:t>
      </w:r>
      <w:r>
        <w:rPr>
          <w:iCs/>
          <w:i/>
        </w:rPr>
        <w:t xml:space="preserve">WinIBW</w:t>
      </w:r>
      <w:r>
        <w:t xml:space="preserve"> </w:t>
      </w:r>
      <w:r>
        <w:t xml:space="preserve">und</w:t>
      </w:r>
      <w:r>
        <w:t xml:space="preserve"> </w:t>
      </w:r>
      <w:r>
        <w:rPr>
          <w:iCs/>
          <w:i/>
        </w:rPr>
        <w:t xml:space="preserve">BibControl</w:t>
      </w:r>
      <w:r>
        <w:t xml:space="preserve"> </w:t>
      </w:r>
      <w:r>
        <w:t xml:space="preserve">erfordern zwar</w:t>
      </w:r>
      <w:r>
        <w:t xml:space="preserve"> </w:t>
      </w:r>
      <w:r>
        <w:t xml:space="preserve">weniger IT-Kenntnisse, sind dafür aber nur eingeschränkt und/oder</w:t>
      </w:r>
      <w:r>
        <w:t xml:space="preserve"> </w:t>
      </w:r>
      <w:r>
        <w:t xml:space="preserve">nur für sehr spezielle Aufgaben verfügbar.</w:t>
      </w:r>
    </w:p>
    <w:p>
      <w:pPr>
        <w:numPr>
          <w:ilvl w:val="0"/>
          <w:numId w:val="1074"/>
        </w:numPr>
      </w:pPr>
      <w:r>
        <w:t xml:space="preserve">Freie Werkzeuge zum Metadatenmanagement wie die Frameworks</w:t>
      </w:r>
      <w:r>
        <w:t xml:space="preserve"> </w:t>
      </w:r>
      <w:r>
        <w:rPr>
          <w:iCs/>
          <w:i/>
        </w:rPr>
        <w:t xml:space="preserve">Catmandu</w:t>
      </w:r>
      <w:r>
        <w:t xml:space="preserve"> </w:t>
      </w:r>
      <w:r>
        <w:t xml:space="preserve">(</w:t>
      </w:r>
      <w:hyperlink r:id="rId320">
        <w:r>
          <w:rPr>
            <w:rStyle w:val="Hyperlink"/>
          </w:rPr>
          <w:t xml:space="preserve">librecat.org/Catmandu</w:t>
        </w:r>
      </w:hyperlink>
      <w:r>
        <w:t xml:space="preserve">)</w:t>
      </w:r>
      <w:r>
        <w:t xml:space="preserve"> </w:t>
      </w:r>
      <w:r>
        <w:t xml:space="preserve">und</w:t>
      </w:r>
      <w:r>
        <w:t xml:space="preserve"> </w:t>
      </w:r>
      <w:r>
        <w:rPr>
          <w:iCs/>
          <w:i/>
        </w:rPr>
        <w:t xml:space="preserve">Metafacture</w:t>
      </w:r>
      <w:r>
        <w:t xml:space="preserve"> </w:t>
      </w:r>
      <w:r>
        <w:t xml:space="preserve">(</w:t>
      </w:r>
      <w:hyperlink r:id="rId321">
        <w:r>
          <w:rPr>
            <w:rStyle w:val="Hyperlink"/>
          </w:rPr>
          <w:t xml:space="preserve">metafacture.org</w:t>
        </w:r>
      </w:hyperlink>
      <w:r>
        <w:t xml:space="preserve">).</w:t>
      </w:r>
    </w:p>
    <w:p>
      <w:pPr>
        <w:pStyle w:val="FirstParagraph"/>
      </w:pPr>
      <w:r>
        <w:t xml:space="preserve">Für einzelne Anwendungen und Formate gibt es einige weitere Werkzeuge und es</w:t>
      </w:r>
      <w:r>
        <w:t xml:space="preserve"> </w:t>
      </w:r>
      <w:r>
        <w:t xml:space="preserve">kann sich lohnen, solche Werkzeuge selbst zu entwickeln und als Open Source zur</w:t>
      </w:r>
      <w:r>
        <w:t xml:space="preserve"> </w:t>
      </w:r>
      <w:r>
        <w:t xml:space="preserve">Verfügung zu stellen. Für das PICA-Format sind solche Programme in der</w:t>
      </w:r>
      <w:r>
        <w:t xml:space="preserve"> </w:t>
      </w:r>
      <w:r>
        <w:rPr>
          <w:iCs/>
          <w:i/>
        </w:rPr>
        <w:t xml:space="preserve">Einführung in die Verarbeitung von PICA-Daten</w:t>
      </w:r>
      <w:r>
        <w:t xml:space="preserve"> </w:t>
      </w:r>
      <w:r>
        <w:t xml:space="preserve">(</w:t>
      </w:r>
      <w:r>
        <w:t xml:space="preserve">Voß (2022)</w:t>
      </w:r>
      <w:r>
        <w:t xml:space="preserve">)</w:t>
      </w:r>
      <w:r>
        <w:t xml:space="preserve"> </w:t>
      </w:r>
      <w:r>
        <w:t xml:space="preserve">aufgeführt.</w:t>
      </w:r>
    </w:p>
    <w:bookmarkEnd w:id="322"/>
    <w:bookmarkStart w:id="323" w:name="schnittstellen"/>
    <w:p>
      <w:pPr>
        <w:pStyle w:val="Heading3"/>
      </w:pPr>
      <w:r>
        <w:t xml:space="preserve">Schnittstellen</w:t>
      </w:r>
    </w:p>
    <w:p>
      <w:pPr>
        <w:pStyle w:val="FirstParagraph"/>
      </w:pPr>
      <w:r>
        <w:t xml:space="preserve">Eine API (Application Programming Interface, auch Programmierschnittstelle) ist</w:t>
      </w:r>
      <w:r>
        <w:t xml:space="preserve"> </w:t>
      </w:r>
      <w:r>
        <w:t xml:space="preserve">eine definierte Methode zur Abfrage und/oder Änderung von Daten in einem</w:t>
      </w:r>
      <w:r>
        <w:t xml:space="preserve"> </w:t>
      </w:r>
      <w:r>
        <w:t xml:space="preserve">Informationssystem. Wie die Daten innerhalb des Systems verwaltet werden, ist</w:t>
      </w:r>
      <w:r>
        <w:t xml:space="preserve"> </w:t>
      </w:r>
      <w:r>
        <w:t xml:space="preserve">dabei nebensächlich. Dieses Prinzip ermöglicht die Kombination</w:t>
      </w:r>
      <w:r>
        <w:t xml:space="preserve"> </w:t>
      </w:r>
      <w:r>
        <w:t xml:space="preserve">unterschiedlicher Softwarekomponenten. Wenn möglich, sollten</w:t>
      </w:r>
      <w:r>
        <w:t xml:space="preserve"> </w:t>
      </w:r>
      <w:r>
        <w:t xml:space="preserve">produkt-unabhängige, offen dokumentierte APIs verwendet werden. Im</w:t>
      </w:r>
      <w:r>
        <w:t xml:space="preserve"> </w:t>
      </w:r>
      <w:r>
        <w:t xml:space="preserve">Bibliotheksbereich sind insbesondere folgende APIs relevant:</w:t>
      </w:r>
    </w:p>
    <w:p>
      <w:pPr>
        <w:numPr>
          <w:ilvl w:val="0"/>
          <w:numId w:val="1075"/>
        </w:numPr>
      </w:pPr>
      <w:r>
        <w:rPr>
          <w:bCs/>
          <w:b/>
        </w:rPr>
        <w:t xml:space="preserve">Z39.50</w:t>
      </w:r>
      <w:r>
        <w:t xml:space="preserve"> </w:t>
      </w:r>
      <w:r>
        <w:t xml:space="preserve">wurde vor Erfindung des Web zur Suche in</w:t>
      </w:r>
      <w:r>
        <w:t xml:space="preserve"> </w:t>
      </w:r>
      <w:r>
        <w:t xml:space="preserve">Bibliotheksdatenbanken entwickelt. Nachfolger ist das XML-basierte</w:t>
      </w:r>
      <w:r>
        <w:t xml:space="preserve"> </w:t>
      </w:r>
      <w:r>
        <w:rPr>
          <w:iCs/>
          <w:i/>
        </w:rPr>
        <w:t xml:space="preserve">Search/Retrieve via URL</w:t>
      </w:r>
      <w:r>
        <w:t xml:space="preserve"> </w:t>
      </w:r>
      <w:r>
        <w:t xml:space="preserve">(</w:t>
      </w:r>
      <w:r>
        <w:rPr>
          <w:bCs/>
          <w:b/>
        </w:rPr>
        <w:t xml:space="preserve">SRU</w:t>
      </w:r>
      <w:r>
        <w:t xml:space="preserve">) mit der zugehörigen</w:t>
      </w:r>
      <w:r>
        <w:t xml:space="preserve"> </w:t>
      </w:r>
      <w:r>
        <w:t xml:space="preserve">Abfragesprache</w:t>
      </w:r>
      <w:r>
        <w:t xml:space="preserve"> </w:t>
      </w:r>
      <w:r>
        <w:rPr>
          <w:iCs/>
          <w:i/>
        </w:rPr>
        <w:t xml:space="preserve">Contextual Query Language</w:t>
      </w:r>
      <w:r>
        <w:t xml:space="preserve"> </w:t>
      </w:r>
      <w:r>
        <w:t xml:space="preserve">(</w:t>
      </w:r>
      <w:r>
        <w:rPr>
          <w:bCs/>
          <w:b/>
        </w:rPr>
        <w:t xml:space="preserve">CQL</w:t>
      </w:r>
      <w:r>
        <w:t xml:space="preserve">).</w:t>
      </w:r>
    </w:p>
    <w:p>
      <w:pPr>
        <w:numPr>
          <w:ilvl w:val="0"/>
          <w:numId w:val="1075"/>
        </w:numPr>
      </w:pPr>
      <w:r>
        <w:t xml:space="preserve">Das</w:t>
      </w:r>
      <w:r>
        <w:t xml:space="preserve"> </w:t>
      </w:r>
      <w:r>
        <w:rPr>
          <w:iCs/>
          <w:i/>
        </w:rPr>
        <w:t xml:space="preserve">Open Archives Initiative Protocol for Metadata Harvesting</w:t>
      </w:r>
      <w:r>
        <w:t xml:space="preserve"> </w:t>
      </w:r>
      <w:r>
        <w:t xml:space="preserve">(</w:t>
      </w:r>
      <w:r>
        <w:rPr>
          <w:bCs/>
          <w:b/>
        </w:rPr>
        <w:t xml:space="preserve">OAI-PMH</w:t>
      </w:r>
      <w:r>
        <w:t xml:space="preserve">) dient dem Abruf von Metadaten aus Repositorien. Die</w:t>
      </w:r>
      <w:r>
        <w:t xml:space="preserve"> </w:t>
      </w:r>
      <w:r>
        <w:t xml:space="preserve">Daten können nach Datum und Teilmengen gefiltert werden.</w:t>
      </w:r>
    </w:p>
    <w:p>
      <w:pPr>
        <w:numPr>
          <w:ilvl w:val="0"/>
          <w:numId w:val="1075"/>
        </w:numPr>
      </w:pPr>
      <w:r>
        <w:t xml:space="preserve">Das</w:t>
      </w:r>
      <w:r>
        <w:t xml:space="preserve"> </w:t>
      </w:r>
      <w:r>
        <w:rPr>
          <w:iCs/>
          <w:i/>
        </w:rPr>
        <w:t xml:space="preserve">NISO Circulation Interchange Protocol</w:t>
      </w:r>
      <w:r>
        <w:t xml:space="preserve"> </w:t>
      </w:r>
      <w:r>
        <w:t xml:space="preserve">(</w:t>
      </w:r>
      <w:r>
        <w:rPr>
          <w:bCs/>
          <w:b/>
        </w:rPr>
        <w:t xml:space="preserve">NCIP</w:t>
      </w:r>
      <w:r>
        <w:t xml:space="preserve">) und das</w:t>
      </w:r>
      <w:r>
        <w:t xml:space="preserve"> </w:t>
      </w:r>
      <w:r>
        <w:rPr>
          <w:iCs/>
          <w:i/>
        </w:rPr>
        <w:t xml:space="preserve">Standard Interchange Protocol</w:t>
      </w:r>
      <w:r>
        <w:t xml:space="preserve"> </w:t>
      </w:r>
      <w:r>
        <w:t xml:space="preserve">(</w:t>
      </w:r>
      <w:r>
        <w:rPr>
          <w:bCs/>
          <w:b/>
        </w:rPr>
        <w:t xml:space="preserve">SIP2</w:t>
      </w:r>
      <w:r>
        <w:t xml:space="preserve">) sind APIs zur Ausleihe</w:t>
      </w:r>
      <w:r>
        <w:t xml:space="preserve"> </w:t>
      </w:r>
      <w:r>
        <w:t xml:space="preserve">und Fernleihe. Sie werden intern zwischen Bibliotheken und zur</w:t>
      </w:r>
      <w:r>
        <w:t xml:space="preserve"> </w:t>
      </w:r>
      <w:r>
        <w:t xml:space="preserve">Anbindung von Verbuchungsautomaten eingesetzt.</w:t>
      </w:r>
    </w:p>
    <w:p>
      <w:pPr>
        <w:numPr>
          <w:ilvl w:val="0"/>
          <w:numId w:val="1075"/>
        </w:numPr>
      </w:pPr>
      <w:r>
        <w:t xml:space="preserve">Die</w:t>
      </w:r>
      <w:r>
        <w:t xml:space="preserve"> </w:t>
      </w:r>
      <w:r>
        <w:rPr>
          <w:iCs/>
          <w:i/>
        </w:rPr>
        <w:t xml:space="preserve">Patrons Account Information API</w:t>
      </w:r>
      <w:r>
        <w:t xml:space="preserve"> </w:t>
      </w:r>
      <w:r>
        <w:t xml:space="preserve">(</w:t>
      </w:r>
      <w:r>
        <w:rPr>
          <w:bCs/>
          <w:b/>
        </w:rPr>
        <w:t xml:space="preserve">PAIA</w:t>
      </w:r>
      <w:r>
        <w:t xml:space="preserve">) ist eine offene</w:t>
      </w:r>
      <w:r>
        <w:t xml:space="preserve"> </w:t>
      </w:r>
      <w:r>
        <w:t xml:space="preserve">Schnittstelle zum Zugriff auf Ausleihkonten.</w:t>
      </w:r>
    </w:p>
    <w:p>
      <w:pPr>
        <w:numPr>
          <w:ilvl w:val="0"/>
          <w:numId w:val="1075"/>
        </w:numPr>
      </w:pPr>
      <w:r>
        <w:t xml:space="preserve">Die</w:t>
      </w:r>
      <w:r>
        <w:t xml:space="preserve"> </w:t>
      </w:r>
      <w:r>
        <w:rPr>
          <w:iCs/>
          <w:i/>
        </w:rPr>
        <w:t xml:space="preserve">Document Availability Information API</w:t>
      </w:r>
      <w:r>
        <w:t xml:space="preserve"> </w:t>
      </w:r>
      <w:r>
        <w:t xml:space="preserve">(</w:t>
      </w:r>
      <w:r>
        <w:rPr>
          <w:bCs/>
          <w:b/>
        </w:rPr>
        <w:t xml:space="preserve">DAIA</w:t>
      </w:r>
      <w:r>
        <w:t xml:space="preserve">) ist eine</w:t>
      </w:r>
      <w:r>
        <w:t xml:space="preserve"> </w:t>
      </w:r>
      <w:r>
        <w:t xml:space="preserve">offene Schnittstelle zur Abfrage der Verfügbarkeit von Medien.</w:t>
      </w:r>
    </w:p>
    <w:p>
      <w:pPr>
        <w:numPr>
          <w:ilvl w:val="0"/>
          <w:numId w:val="1075"/>
        </w:numPr>
      </w:pPr>
      <w:r>
        <w:t xml:space="preserve">Mit</w:t>
      </w:r>
      <w:r>
        <w:t xml:space="preserve"> </w:t>
      </w:r>
      <w:r>
        <w:rPr>
          <w:bCs/>
          <w:b/>
        </w:rPr>
        <w:t xml:space="preserve">unAPI</w:t>
      </w:r>
      <w:r>
        <w:t xml:space="preserve"> </w:t>
      </w:r>
      <w:r>
        <w:t xml:space="preserve">können einzelne Datensätze in verschiedenen Formaten abgerufen werden.</w:t>
      </w:r>
    </w:p>
    <w:p>
      <w:pPr>
        <w:numPr>
          <w:ilvl w:val="0"/>
          <w:numId w:val="1075"/>
        </w:numPr>
      </w:pPr>
      <w:r>
        <w:t xml:space="preserve">Die</w:t>
      </w:r>
      <w:r>
        <w:t xml:space="preserve"> </w:t>
      </w:r>
      <w:r>
        <w:rPr>
          <w:bCs/>
          <w:b/>
        </w:rPr>
        <w:t xml:space="preserve">Reconciliation Service API</w:t>
      </w:r>
      <w:r>
        <w:t xml:space="preserve"> </w:t>
      </w:r>
      <w:r>
        <w:t xml:space="preserve">ermöglicht den Abgleich mit</w:t>
      </w:r>
      <w:r>
        <w:t xml:space="preserve"> </w:t>
      </w:r>
      <w:r>
        <w:t xml:space="preserve">Normdaten zur eindeutigen Referenzierung (siehe Abschnitt</w:t>
      </w:r>
      <w:r>
        <w:t xml:space="preserve"> </w:t>
      </w:r>
      <w:hyperlink w:anchor="identifikatoren-und-normdaten">
        <w:r>
          <w:rPr>
            <w:rStyle w:val="Hyperlink"/>
          </w:rPr>
          <w:t xml:space="preserve">Identifikatoren und Normdaten</w:t>
        </w:r>
      </w:hyperlink>
      <w:r>
        <w:t xml:space="preserve">).</w:t>
      </w:r>
    </w:p>
    <w:p>
      <w:pPr>
        <w:numPr>
          <w:ilvl w:val="0"/>
          <w:numId w:val="1075"/>
        </w:numPr>
      </w:pPr>
      <w:r>
        <w:t xml:space="preserve">Verschiedene Schnittstellen zur Authentifizierung und Autorisierung</w:t>
      </w:r>
      <w:r>
        <w:t xml:space="preserve"> </w:t>
      </w:r>
      <w:r>
        <w:t xml:space="preserve">wie</w:t>
      </w:r>
      <w:r>
        <w:t xml:space="preserve"> </w:t>
      </w:r>
      <w:r>
        <w:rPr>
          <w:iCs/>
          <w:i/>
        </w:rPr>
        <w:t xml:space="preserve">LDAP</w:t>
      </w:r>
      <w:r>
        <w:t xml:space="preserve">,</w:t>
      </w:r>
      <w:r>
        <w:t xml:space="preserve"> </w:t>
      </w:r>
      <w:r>
        <w:rPr>
          <w:iCs/>
          <w:i/>
        </w:rPr>
        <w:t xml:space="preserve">Shibboleth</w:t>
      </w:r>
      <w:r>
        <w:t xml:space="preserve"> </w:t>
      </w:r>
      <w:r>
        <w:t xml:space="preserve">und</w:t>
      </w:r>
      <w:r>
        <w:t xml:space="preserve"> </w:t>
      </w:r>
      <w:r>
        <w:rPr>
          <w:iCs/>
          <w:i/>
        </w:rPr>
        <w:t xml:space="preserve">OAuth</w:t>
      </w:r>
      <w:r>
        <w:t xml:space="preserve">.</w:t>
      </w:r>
    </w:p>
    <w:p>
      <w:pPr>
        <w:pStyle w:val="FirstParagraph"/>
      </w:pPr>
      <w:r>
        <w:t xml:space="preserve">Darüber hinaus bieten die meisten Anwendungen eigene Schnittstellen, zum</w:t>
      </w:r>
      <w:r>
        <w:t xml:space="preserve"> </w:t>
      </w:r>
      <w:r>
        <w:t xml:space="preserve">Beispiel die Solr-API der Suchplattform</w:t>
      </w:r>
      <w:r>
        <w:t xml:space="preserve"> </w:t>
      </w:r>
      <w:r>
        <w:rPr>
          <w:iCs/>
          <w:i/>
        </w:rPr>
        <w:t xml:space="preserve">Apache Solr</w:t>
      </w:r>
      <w:r>
        <w:t xml:space="preserve">. Weitere Schnittstellen</w:t>
      </w:r>
      <w:r>
        <w:t xml:space="preserve"> </w:t>
      </w:r>
      <w:r>
        <w:t xml:space="preserve">spielen eher im Bereich Digitalisierung und Forschungsnahe Dienste eine Rolle,</w:t>
      </w:r>
      <w:r>
        <w:t xml:space="preserve"> </w:t>
      </w:r>
      <w:r>
        <w:t xml:space="preserve">beispielsweise die APIs des International Image Interoperability Framework</w:t>
      </w:r>
      <w:r>
        <w:t xml:space="preserve"> </w:t>
      </w:r>
      <w:r>
        <w:t xml:space="preserve">(</w:t>
      </w:r>
      <w:r>
        <w:rPr>
          <w:iCs/>
          <w:i/>
        </w:rPr>
        <w:t xml:space="preserve">IIIF</w:t>
      </w:r>
      <w:r>
        <w:t xml:space="preserve">).</w:t>
      </w:r>
    </w:p>
    <w:bookmarkEnd w:id="323"/>
    <w:bookmarkEnd w:id="324"/>
    <w:bookmarkStart w:id="325" w:name="datenanalyse"/>
    <w:p>
      <w:pPr>
        <w:pStyle w:val="Heading2"/>
      </w:pPr>
      <w:r>
        <w:t xml:space="preserve">Datenanalyse</w:t>
      </w:r>
    </w:p>
    <w:p>
      <w:pPr>
        <w:pStyle w:val="FirstParagraph"/>
      </w:pPr>
      <w:r>
        <w:t xml:space="preserve">Im Gegensatz zu physischen Objekten sind Daten ihre Beschaffenheit nicht direkt</w:t>
      </w:r>
      <w:r>
        <w:t xml:space="preserve"> </w:t>
      </w:r>
      <w:r>
        <w:t xml:space="preserve">anzusehen. Lediglich der Umfang von Daten in Bytes und ggf. die Anzahl von</w:t>
      </w:r>
      <w:r>
        <w:t xml:space="preserve"> </w:t>
      </w:r>
      <w:r>
        <w:t xml:space="preserve">Dateien und Datensätzen kann einen ersten Anhaltspunkt liefern. Weitere</w:t>
      </w:r>
      <w:r>
        <w:t xml:space="preserve"> </w:t>
      </w:r>
      <w:r>
        <w:t xml:space="preserve">Einschätzungen, insbesondere darüber, ob Daten vollständig oder fehlerhaft</w:t>
      </w:r>
      <w:r>
        <w:t xml:space="preserve"> </w:t>
      </w:r>
      <w:r>
        <w:t xml:space="preserve">sind, setzen eine konkrete Analyse der Daten voraus. Dies beinhaltet auch die</w:t>
      </w:r>
      <w:r>
        <w:t xml:space="preserve"> </w:t>
      </w:r>
      <w:r>
        <w:t xml:space="preserve">Visualisierung von Daten zur Exploration, Kommunikation und Diskussion.</w:t>
      </w:r>
    </w:p>
    <w:p>
      <w:pPr>
        <w:pStyle w:val="BodyText"/>
      </w:pPr>
      <w:r>
        <w:t xml:space="preserve">Die Auswertung von Daten ist nicht nur für das Qualitätsmanagement relevant</w:t>
      </w:r>
      <w:r>
        <w:t xml:space="preserve"> </w:t>
      </w:r>
      <w:r>
        <w:t xml:space="preserve">(</w:t>
      </w:r>
      <w:r>
        <w:t xml:space="preserve">Voß (2021)</w:t>
      </w:r>
      <w:r>
        <w:t xml:space="preserve">), beispielsweise um im Rahmen des ETL-Prozesses</w:t>
      </w:r>
      <w:r>
        <w:t xml:space="preserve"> </w:t>
      </w:r>
      <w:r>
        <w:t xml:space="preserve">Verteilungen und Ausreißer zu erkennen, sondern auch um aus Daten weitere</w:t>
      </w:r>
      <w:r>
        <w:t xml:space="preserve"> </w:t>
      </w:r>
      <w:r>
        <w:t xml:space="preserve">Erkenntnisse zu gewinnen. So können beispielsweise Ausleihzahlen nach Medien</w:t>
      </w:r>
      <w:r>
        <w:t xml:space="preserve"> </w:t>
      </w:r>
      <w:r>
        <w:t xml:space="preserve">gruppiert für die Bestandsplanung eingesetzt werden. Voraussetzung dafür ist,</w:t>
      </w:r>
      <w:r>
        <w:t xml:space="preserve"> </w:t>
      </w:r>
      <w:r>
        <w:t xml:space="preserve">dass Daten überhaupt vorliegen, sowie Mittel und Kenntnisse zu ihrer</w:t>
      </w:r>
      <w:r>
        <w:t xml:space="preserve"> </w:t>
      </w:r>
      <w:r>
        <w:t xml:space="preserve">Auswertung. Bei fehlenden oder zu umfangreichen Daten können Stichproben</w:t>
      </w:r>
      <w:r>
        <w:t xml:space="preserve"> </w:t>
      </w:r>
      <w:r>
        <w:t xml:space="preserve">erhoben werden, wobei auf Zufälligkeit der Stichprobe und Konfidenzintervall</w:t>
      </w:r>
      <w:r>
        <w:t xml:space="preserve"> </w:t>
      </w:r>
      <w:r>
        <w:t xml:space="preserve">des Ergebnisses geachtet werden muss.</w:t>
      </w:r>
    </w:p>
    <w:p>
      <w:pPr>
        <w:pStyle w:val="BodyText"/>
      </w:pPr>
      <w:r>
        <w:t xml:space="preserve">Neben rudimentären Statistik-Kenntnissen helfen bei der Datenanalyse Werkzeuge</w:t>
      </w:r>
      <w:r>
        <w:t xml:space="preserve"> </w:t>
      </w:r>
      <w:r>
        <w:t xml:space="preserve">wie die</w:t>
      </w:r>
      <w:r>
        <w:t xml:space="preserve"> </w:t>
      </w:r>
      <w:hyperlink w:anchor="werkzeuge">
        <w:r>
          <w:rPr>
            <w:rStyle w:val="Hyperlink"/>
          </w:rPr>
          <w:t xml:space="preserve">im vorigen Abschnitt</w:t>
        </w:r>
      </w:hyperlink>
      <w:r>
        <w:t xml:space="preserve"> </w:t>
      </w:r>
      <w:r>
        <w:t xml:space="preserve">beschriebenen Mittel zur</w:t>
      </w:r>
      <w:r>
        <w:t xml:space="preserve"> </w:t>
      </w:r>
      <w:r>
        <w:t xml:space="preserve">Datenverarbeitung. Für allgemeine Analysen eignet sich vor allem eine</w:t>
      </w:r>
      <w:r>
        <w:t xml:space="preserve"> </w:t>
      </w:r>
      <w:r>
        <w:t xml:space="preserve">Tabellenkalkulation. Für komplexere Analysen gibt es spezielle</w:t>
      </w:r>
      <w:r>
        <w:t xml:space="preserve"> </w:t>
      </w:r>
      <w:r>
        <w:t xml:space="preserve">Statistik-Programme und Programmiersprachen wie</w:t>
      </w:r>
      <w:r>
        <w:t xml:space="preserve"> </w:t>
      </w:r>
      <w:r>
        <w:rPr>
          <w:iCs/>
          <w:i/>
        </w:rPr>
        <w:t xml:space="preserve">SAS</w:t>
      </w:r>
      <w:r>
        <w:t xml:space="preserve"> </w:t>
      </w:r>
      <w:r>
        <w:t xml:space="preserve">und</w:t>
      </w:r>
      <w:r>
        <w:t xml:space="preserve"> </w:t>
      </w:r>
      <w:r>
        <w:rPr>
          <w:iCs/>
          <w:i/>
        </w:rPr>
        <w:t xml:space="preserve">R</w:t>
      </w:r>
      <w:r>
        <w:t xml:space="preserve">. Für explorative</w:t>
      </w:r>
      <w:r>
        <w:t xml:space="preserve"> </w:t>
      </w:r>
      <w:r>
        <w:t xml:space="preserve">Analysen und um bei geänderter Datenlage automatisch aktuelle Ergebnisse zu</w:t>
      </w:r>
      <w:r>
        <w:t xml:space="preserve"> </w:t>
      </w:r>
      <w:r>
        <w:t xml:space="preserve">bekommen, bieten sich interaktive Umgebungen wie</w:t>
      </w:r>
      <w:r>
        <w:t xml:space="preserve"> </w:t>
      </w:r>
      <w:r>
        <w:rPr>
          <w:iCs/>
          <w:i/>
        </w:rPr>
        <w:t xml:space="preserve">Jupyter Notebooks</w:t>
      </w:r>
      <w:r>
        <w:t xml:space="preserve"> </w:t>
      </w:r>
      <w:r>
        <w:t xml:space="preserve">oder</w:t>
      </w:r>
      <w:r>
        <w:t xml:space="preserve"> </w:t>
      </w:r>
      <w:r>
        <w:rPr>
          <w:iCs/>
          <w:i/>
        </w:rPr>
        <w:t xml:space="preserve">Observable</w:t>
      </w:r>
      <w:r>
        <w:t xml:space="preserve"> </w:t>
      </w:r>
      <w:r>
        <w:t xml:space="preserve">an</w:t>
      </w:r>
      <w:r>
        <w:rPr>
          <w:iCs/>
          <w:i/>
        </w:rPr>
        <w:t xml:space="preserve">.</w:t>
      </w:r>
      <w:r>
        <w:t xml:space="preserve"> </w:t>
      </w:r>
      <w:r>
        <w:t xml:space="preserve">Für spezielle, wiederkehrende Analysen und Aufbereitungen</w:t>
      </w:r>
      <w:r>
        <w:t xml:space="preserve"> </w:t>
      </w:r>
      <w:r>
        <w:t xml:space="preserve">kann es auch sinnvoll sein, eigene Anwendungen zu entwickeln bzw. entwickeln zu</w:t>
      </w:r>
      <w:r>
        <w:t xml:space="preserve"> </w:t>
      </w:r>
      <w:r>
        <w:t xml:space="preserve">lassen. Beispiele hierfür sind</w:t>
      </w:r>
      <w:r>
        <w:t xml:space="preserve"> </w:t>
      </w:r>
      <w:r>
        <w:rPr>
          <w:iCs/>
          <w:i/>
        </w:rPr>
        <w:t xml:space="preserve">BibControl</w:t>
      </w:r>
      <w:r>
        <w:t xml:space="preserve">, das</w:t>
      </w:r>
      <w:r>
        <w:t xml:space="preserve"> </w:t>
      </w:r>
      <w:r>
        <w:rPr>
          <w:iCs/>
          <w:i/>
        </w:rPr>
        <w:t xml:space="preserve">Metadata Quality Assessment</w:t>
      </w:r>
      <w:r>
        <w:rPr>
          <w:iCs/>
          <w:i/>
        </w:rPr>
        <w:t xml:space="preserve"> </w:t>
      </w:r>
      <w:r>
        <w:rPr>
          <w:iCs/>
          <w:i/>
        </w:rPr>
        <w:t xml:space="preserve">Framework</w:t>
      </w:r>
      <w:r>
        <w:t xml:space="preserve"> </w:t>
      </w:r>
      <w:r>
        <w:t xml:space="preserve">(</w:t>
      </w:r>
      <w:r>
        <w:rPr>
          <w:iCs/>
          <w:i/>
        </w:rPr>
        <w:t xml:space="preserve">MQA</w:t>
      </w:r>
      <w:r>
        <w:t xml:space="preserve">), die Deutsche Bibliotheksstatistik sowie Statistikfunktionen</w:t>
      </w:r>
      <w:r>
        <w:t xml:space="preserve"> </w:t>
      </w:r>
      <w:r>
        <w:t xml:space="preserve">als Teil anderer Programme (zum Beispiel</w:t>
      </w:r>
      <w:r>
        <w:t xml:space="preserve"> </w:t>
      </w:r>
      <w:hyperlink w:anchor="statistik-und-reporting">
        <w:r>
          <w:rPr>
            <w:rStyle w:val="Hyperlink"/>
          </w:rPr>
          <w:t xml:space="preserve">Statistik und</w:t>
        </w:r>
        <w:r>
          <w:rPr>
            <w:rStyle w:val="Hyperlink"/>
          </w:rPr>
          <w:t xml:space="preserve"> </w:t>
        </w:r>
        <w:r>
          <w:rPr>
            <w:rStyle w:val="Hyperlink"/>
          </w:rPr>
          <w:t xml:space="preserve">Reporting</w:t>
        </w:r>
      </w:hyperlink>
      <w:r>
        <w:t xml:space="preserve"> </w:t>
      </w:r>
      <w:r>
        <w:t xml:space="preserve">als Teil</w:t>
      </w:r>
      <w:r>
        <w:t xml:space="preserve"> </w:t>
      </w:r>
      <w:r>
        <w:t xml:space="preserve">des BMS).</w:t>
      </w:r>
    </w:p>
    <w:bookmarkEnd w:id="325"/>
    <w:bookmarkEnd w:id="326"/>
    <w:bookmarkStart w:id="360"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327">
        <w:r>
          <w:rPr>
            <w:rStyle w:val="Hyperlink"/>
          </w:rPr>
          <w:t xml:space="preserve">in einer gemeinsamen Zotero-Gruppe</w:t>
        </w:r>
      </w:hyperlink>
      <w:r>
        <w:t xml:space="preserve"> </w:t>
      </w:r>
      <w:r>
        <w:t xml:space="preserve">verwaltet.</w:t>
      </w:r>
    </w:p>
    <w:bookmarkStart w:id="359" w:name="refs"/>
    <w:bookmarkStart w:id="32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328">
        <w:r>
          <w:rPr>
            <w:rStyle w:val="Hyperlink"/>
          </w:rPr>
          <w:t xml:space="preserve">https://www.jstor.org/stable/40039721</w:t>
        </w:r>
      </w:hyperlink>
      <w:r>
        <w:t xml:space="preserve">.</w:t>
      </w:r>
    </w:p>
    <w:bookmarkEnd w:id="329"/>
    <w:bookmarkStart w:id="331"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330">
        <w:r>
          <w:rPr>
            <w:rStyle w:val="Hyperlink"/>
          </w:rPr>
          <w:t xml:space="preserve">https://www.infotoday.com/cilmag/jan22/Breeding--How-to-Secure-Library-Systems-From-Malware-Ransomware-and-Other-Cyberthreats.shtml</w:t>
        </w:r>
      </w:hyperlink>
      <w:r>
        <w:t xml:space="preserve">.</w:t>
      </w:r>
    </w:p>
    <w:bookmarkEnd w:id="331"/>
    <w:bookmarkStart w:id="333"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332">
        <w:r>
          <w:rPr>
            <w:rStyle w:val="Hyperlink"/>
          </w:rPr>
          <w:t xml:space="preserve">http://librarytechnology.org/mergers/</w:t>
        </w:r>
      </w:hyperlink>
      <w:r>
        <w:t xml:space="preserve">.</w:t>
      </w:r>
    </w:p>
    <w:bookmarkEnd w:id="333"/>
    <w:bookmarkStart w:id="335"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334">
        <w:r>
          <w:rPr>
            <w:rStyle w:val="Hyperlink"/>
          </w:rPr>
          <w:t xml:space="preserve">https://www.din.de/de/mitwirken/normenausschuesse/naerg/veroeffentlichungen/wdc-beuth:din21:320862700</w:t>
        </w:r>
      </w:hyperlink>
      <w:r>
        <w:t xml:space="preserve">.</w:t>
      </w:r>
    </w:p>
    <w:bookmarkEnd w:id="335"/>
    <w:bookmarkStart w:id="337"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36">
        <w:r>
          <w:rPr>
            <w:rStyle w:val="Hyperlink"/>
          </w:rPr>
          <w:t xml:space="preserve">https://publikationen.dguv.de/widgets/pdf/download/article/409</w:t>
        </w:r>
      </w:hyperlink>
      <w:r>
        <w:t xml:space="preserve">.</w:t>
      </w:r>
    </w:p>
    <w:bookmarkEnd w:id="337"/>
    <w:bookmarkStart w:id="33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38"/>
    <w:bookmarkStart w:id="340"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39">
        <w:r>
          <w:rPr>
            <w:rStyle w:val="Hyperlink"/>
          </w:rPr>
          <w:t xml:space="preserve">https://www.gov.uk/guidance/government-design-principles</w:t>
        </w:r>
      </w:hyperlink>
      <w:r>
        <w:t xml:space="preserve">.</w:t>
      </w:r>
    </w:p>
    <w:bookmarkEnd w:id="340"/>
    <w:bookmarkStart w:id="342"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41">
        <w:r>
          <w:rPr>
            <w:rStyle w:val="Hyperlink"/>
          </w:rPr>
          <w:t xml:space="preserve">https://www.codyh.com/writing/software.html</w:t>
        </w:r>
      </w:hyperlink>
      <w:r>
        <w:t xml:space="preserve">.</w:t>
      </w:r>
    </w:p>
    <w:bookmarkEnd w:id="342"/>
    <w:bookmarkStart w:id="344"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43">
        <w:r>
          <w:rPr>
            <w:rStyle w:val="Hyperlink"/>
          </w:rPr>
          <w:t xml:space="preserve">https://www.nngroup.com/articles/why-you-only-need-to-test-with-5-users/</w:t>
        </w:r>
      </w:hyperlink>
      <w:r>
        <w:t xml:space="preserve">.</w:t>
      </w:r>
    </w:p>
    <w:bookmarkEnd w:id="344"/>
    <w:bookmarkStart w:id="34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45">
        <w:r>
          <w:rPr>
            <w:rStyle w:val="Hyperlink"/>
          </w:rPr>
          <w:t xml:space="preserve">https://doi.org/10.1145/277351.277356</w:t>
        </w:r>
      </w:hyperlink>
      <w:r>
        <w:t xml:space="preserve">.</w:t>
      </w:r>
    </w:p>
    <w:bookmarkEnd w:id="346"/>
    <w:bookmarkStart w:id="348"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47">
        <w:r>
          <w:rPr>
            <w:rStyle w:val="Hyperlink"/>
          </w:rPr>
          <w:t xml:space="preserve">https://www.oebib.de/fileadmin/redaktion/2_bau_einrichtung_it/2_3_it_internet/Bibliothekssoftware/2_edv_anbieter_bibliothekssoftware_auswahl_2022_kl.pdf</w:t>
        </w:r>
      </w:hyperlink>
      <w:r>
        <w:t xml:space="preserve">.</w:t>
      </w:r>
    </w:p>
    <w:bookmarkEnd w:id="348"/>
    <w:bookmarkStart w:id="34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49"/>
    <w:bookmarkStart w:id="35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50">
        <w:r>
          <w:rPr>
            <w:rStyle w:val="Hyperlink"/>
          </w:rPr>
          <w:t xml:space="preserve">https://docplayer.org/61296444-Anforderungen-an-ein-bibliothekssystem-der-neuen-generation.html</w:t>
        </w:r>
      </w:hyperlink>
      <w:r>
        <w:t xml:space="preserve">.</w:t>
      </w:r>
    </w:p>
    <w:bookmarkEnd w:id="351"/>
    <w:bookmarkStart w:id="35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52"/>
    <w:bookmarkStart w:id="35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53">
        <w:r>
          <w:rPr>
            <w:rStyle w:val="Hyperlink"/>
          </w:rPr>
          <w:t xml:space="preserve">https://doi.org/10.5282/o-bib/5797</w:t>
        </w:r>
      </w:hyperlink>
      <w:r>
        <w:t xml:space="preserve">.</w:t>
      </w:r>
    </w:p>
    <w:bookmarkEnd w:id="354"/>
    <w:bookmarkStart w:id="356" w:name="ref-vos_jakob_datenqualitat_2021"/>
    <w:p>
      <w:pPr>
        <w:pStyle w:val="Bibliography"/>
      </w:pPr>
      <w:r>
        <w:t xml:space="preserve">Voß, Jakob. 2021.</w:t>
      </w:r>
      <w:r>
        <w:t xml:space="preserve"> </w:t>
      </w:r>
      <w:r>
        <w:t xml:space="preserve">„Datenqualität als Grundlage qualitativer Inhaltserschließung“</w:t>
      </w:r>
      <w:r>
        <w:t xml:space="preserve">. In</w:t>
      </w:r>
      <w:r>
        <w:t xml:space="preserve"> </w:t>
      </w:r>
      <w:r>
        <w:rPr>
          <w:iCs/>
          <w:i/>
        </w:rPr>
        <w:t xml:space="preserve">Qualität in der Inhaltserschließung</w:t>
      </w:r>
      <w:r>
        <w:t xml:space="preserve">, 167–76. De Gruyter Saur.</w:t>
      </w:r>
      <w:r>
        <w:t xml:space="preserve"> </w:t>
      </w:r>
      <w:hyperlink r:id="rId355">
        <w:r>
          <w:rPr>
            <w:rStyle w:val="Hyperlink"/>
          </w:rPr>
          <w:t xml:space="preserve">https://doi.org/10.1515/9783110691597-010</w:t>
        </w:r>
      </w:hyperlink>
      <w:r>
        <w:t xml:space="preserve">.</w:t>
      </w:r>
    </w:p>
    <w:bookmarkEnd w:id="356"/>
    <w:bookmarkStart w:id="358" w:name="ref-vos_einfuhrung_2022"/>
    <w:p>
      <w:pPr>
        <w:pStyle w:val="Bibliography"/>
      </w:pPr>
      <w:r>
        <w:t xml:space="preserve">———. 2022.</w:t>
      </w:r>
      <w:r>
        <w:t xml:space="preserve"> </w:t>
      </w:r>
      <w:r>
        <w:t xml:space="preserve">„Einführung in die Verarbeitung von</w:t>
      </w:r>
      <w:r>
        <w:t xml:space="preserve"> </w:t>
      </w:r>
      <w:r>
        <w:t xml:space="preserve">PICA</w:t>
      </w:r>
      <w:r>
        <w:t xml:space="preserve">-Daten“</w:t>
      </w:r>
      <w:r>
        <w:t xml:space="preserve">. 2022.</w:t>
      </w:r>
      <w:r>
        <w:t xml:space="preserve"> </w:t>
      </w:r>
      <w:hyperlink r:id="rId357">
        <w:r>
          <w:rPr>
            <w:rStyle w:val="Hyperlink"/>
          </w:rPr>
          <w:t xml:space="preserve">https://pro4bib.github.io/pica/</w:t>
        </w:r>
      </w:hyperlink>
      <w:r>
        <w:t xml:space="preserve">.</w:t>
      </w:r>
    </w:p>
    <w:bookmarkEnd w:id="358"/>
    <w:bookmarkEnd w:id="359"/>
    <w:bookmarkEnd w:id="360"/>
    <w:bookmarkStart w:id="379" w:name="glossar"/>
    <w:p>
      <w:pPr>
        <w:pStyle w:val="Heading1"/>
      </w:pPr>
      <w:r>
        <w:t xml:space="preserve">Glossar</w:t>
      </w:r>
    </w:p>
    <w:p>
      <w:pPr>
        <w:pStyle w:val="DefinitionTerm"/>
      </w:pPr>
      <w:hyperlink r:id="rId361">
        <w:r>
          <w:rPr>
            <w:rStyle w:val="Hyperlink"/>
          </w:rPr>
          <w:t xml:space="preserve">API</w:t>
        </w:r>
      </w:hyperlink>
    </w:p>
    <w:p>
      <w:pPr>
        <w:pStyle w:val="Definition"/>
      </w:pPr>
      <w:r>
        <w:t xml:space="preserve">Application Programming Interface, Programmierschnittstelle</w:t>
      </w:r>
    </w:p>
    <w:p>
      <w:pPr>
        <w:pStyle w:val="DefinitionTerm"/>
      </w:pPr>
      <w:hyperlink r:id="rId362">
        <w:r>
          <w:rPr>
            <w:rStyle w:val="Hyperlink"/>
          </w:rPr>
          <w:t xml:space="preserve">Avram</w:t>
        </w:r>
      </w:hyperlink>
    </w:p>
    <w:p>
      <w:pPr>
        <w:pStyle w:val="Definition"/>
      </w:pPr>
      <w:r>
        <w:t xml:space="preserve">Schemasprache für feldbasierte Datenformate, insbesondere MARC und PICA+</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63">
        <w:r>
          <w:rPr>
            <w:rStyle w:val="Hyperlink"/>
          </w:rPr>
          <w:t xml:space="preserve">COUNTER</w:t>
        </w:r>
      </w:hyperlink>
    </w:p>
    <w:p>
      <w:pPr>
        <w:pStyle w:val="Definition"/>
      </w:pPr>
      <w:r>
        <w:t xml:space="preserve">Counting Online Usage of NeTworked Electronic Resources</w:t>
      </w:r>
    </w:p>
    <w:p>
      <w:pPr>
        <w:pStyle w:val="DefinitionTerm"/>
      </w:pPr>
      <w:hyperlink r:id="rId36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65">
        <w:r>
          <w:rPr>
            <w:rStyle w:val="Hyperlink"/>
          </w:rPr>
          <w:t xml:space="preserve">ERM</w:t>
        </w:r>
      </w:hyperlink>
    </w:p>
    <w:p>
      <w:pPr>
        <w:pStyle w:val="Definition"/>
      </w:pPr>
      <w:r>
        <w:t xml:space="preserve">Electronic Resource Management, Verwaltung von Lizenzinformationen zu E-Ressourcen</w:t>
      </w:r>
    </w:p>
    <w:p>
      <w:pPr>
        <w:pStyle w:val="DefinitionTerm"/>
      </w:pPr>
      <w:hyperlink r:id="rId36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67">
        <w:r>
          <w:rPr>
            <w:rStyle w:val="Hyperlink"/>
          </w:rPr>
          <w:t xml:space="preserve">GOKb</w:t>
        </w:r>
      </w:hyperlink>
    </w:p>
    <w:p>
      <w:pPr>
        <w:pStyle w:val="Definition"/>
      </w:pPr>
      <w:r>
        <w:t xml:space="preserve">Global Open Knowledgebase, Freie Datenbank zu E-Ressourcen, insbesondere für ERM</w:t>
      </w:r>
    </w:p>
    <w:p>
      <w:pPr>
        <w:pStyle w:val="DefinitionTerm"/>
      </w:pPr>
      <w:r>
        <w:t xml:space="preserve">ID</w:t>
      </w:r>
    </w:p>
    <w:p>
      <w:pPr>
        <w:pStyle w:val="Definition"/>
      </w:pPr>
      <w:r>
        <w:t xml:space="preserve">Eindeutige Referenz auf einen Datensatz (Identifikator)</w:t>
      </w:r>
    </w:p>
    <w:p>
      <w:pPr>
        <w:pStyle w:val="DefinitionTerm"/>
      </w:pPr>
      <w:hyperlink r:id="rId368">
        <w:r>
          <w:rPr>
            <w:rStyle w:val="Hyperlink"/>
          </w:rPr>
          <w:t xml:space="preserve">IDM</w:t>
        </w:r>
      </w:hyperlink>
    </w:p>
    <w:p>
      <w:pPr>
        <w:pStyle w:val="Definition"/>
      </w:pPr>
      <w:r>
        <w:t xml:space="preserve">Identity Management, das Speichern von Metadaten zu Personen</w:t>
      </w:r>
    </w:p>
    <w:p>
      <w:pPr>
        <w:pStyle w:val="DefinitionTerm"/>
      </w:pPr>
      <w:hyperlink r:id="rId369">
        <w:r>
          <w:rPr>
            <w:rStyle w:val="Hyperlink"/>
          </w:rPr>
          <w:t xml:space="preserve">KBART</w:t>
        </w:r>
      </w:hyperlink>
    </w:p>
    <w:p>
      <w:pPr>
        <w:pStyle w:val="Definition"/>
      </w:pPr>
      <w:r>
        <w:t xml:space="preserve">Knowledgebases and related tools, Datenformat zum Transfer von Metadaten</w:t>
      </w:r>
    </w:p>
    <w:p>
      <w:pPr>
        <w:pStyle w:val="DefinitionTerm"/>
      </w:pPr>
      <w:hyperlink r:id="rId370">
        <w:r>
          <w:rPr>
            <w:rStyle w:val="Hyperlink"/>
          </w:rPr>
          <w:t xml:space="preserve">Lock-In-Effekt</w:t>
        </w:r>
      </w:hyperlink>
    </w:p>
    <w:p>
      <w:pPr>
        <w:pStyle w:val="Definition"/>
      </w:pPr>
      <w:r>
        <w:t xml:space="preserve">Kundenbindung durch hohen Wechselaufwand</w:t>
      </w:r>
    </w:p>
    <w:p>
      <w:pPr>
        <w:pStyle w:val="DefinitionTerm"/>
      </w:pPr>
      <w:hyperlink r:id="rId37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Normdaten</w:t>
      </w:r>
    </w:p>
    <w:p>
      <w:pPr>
        <w:pStyle w:val="Definition"/>
      </w:pPr>
      <w:r>
        <w:t xml:space="preserve">Datensätze zur eindeutigen Identifizierung und Referenzierung von Entitäten wie Personen, Organisationen, Themen…</w:t>
      </w:r>
    </w:p>
    <w:p>
      <w:pPr>
        <w:pStyle w:val="DefinitionTerm"/>
      </w:pPr>
      <w:hyperlink r:id="rId372">
        <w:r>
          <w:rPr>
            <w:rStyle w:val="Hyperlink"/>
          </w:rPr>
          <w:t xml:space="preserve">OPAC</w:t>
        </w:r>
      </w:hyperlink>
    </w:p>
    <w:p>
      <w:pPr>
        <w:pStyle w:val="Definition"/>
      </w:pPr>
      <w:r>
        <w:t xml:space="preserve">Online Public Access Catalogue, Katalog einer Bibliothek</w:t>
      </w:r>
    </w:p>
    <w:p>
      <w:pPr>
        <w:pStyle w:val="DefinitionTerm"/>
      </w:pPr>
      <w:hyperlink r:id="rId373">
        <w:r>
          <w:rPr>
            <w:rStyle w:val="Hyperlink"/>
          </w:rPr>
          <w:t xml:space="preserve">Persona</w:t>
        </w:r>
      </w:hyperlink>
    </w:p>
    <w:p>
      <w:pPr>
        <w:pStyle w:val="Definition"/>
      </w:pPr>
      <w:r>
        <w:t xml:space="preserve">„Maske“, ein Modell zur Beschreibung eines Anforderungsszenario</w:t>
      </w:r>
    </w:p>
    <w:p>
      <w:pPr>
        <w:pStyle w:val="DefinitionTerm"/>
      </w:pPr>
      <w:hyperlink r:id="rId374">
        <w:r>
          <w:rPr>
            <w:rStyle w:val="Hyperlink"/>
          </w:rPr>
          <w:t xml:space="preserve">SaaS</w:t>
        </w:r>
      </w:hyperlink>
    </w:p>
    <w:p>
      <w:pPr>
        <w:pStyle w:val="Definition"/>
      </w:pPr>
      <w:r>
        <w:t xml:space="preserve">Software as a Service, Software und Hardware bei externem Dienstleister</w:t>
      </w:r>
    </w:p>
    <w:p>
      <w:pPr>
        <w:pStyle w:val="DefinitionTerm"/>
      </w:pPr>
      <w:hyperlink r:id="rId375">
        <w:r>
          <w:rPr>
            <w:rStyle w:val="Hyperlink"/>
          </w:rPr>
          <w:t xml:space="preserve">Usability</w:t>
        </w:r>
      </w:hyperlink>
    </w:p>
    <w:p>
      <w:pPr>
        <w:pStyle w:val="Definition"/>
      </w:pPr>
      <w:r>
        <w:t xml:space="preserve">Gebrauchstauglichkeit</w:t>
      </w:r>
    </w:p>
    <w:p>
      <w:pPr>
        <w:pStyle w:val="DefinitionTerm"/>
      </w:pPr>
      <w:hyperlink r:id="rId376">
        <w:r>
          <w:rPr>
            <w:rStyle w:val="Hyperlink"/>
          </w:rPr>
          <w:t xml:space="preserve">User Experience</w:t>
        </w:r>
      </w:hyperlink>
    </w:p>
    <w:p>
      <w:pPr>
        <w:pStyle w:val="Definition"/>
      </w:pPr>
      <w:r>
        <w:t xml:space="preserve">Nutzererfahrung</w:t>
      </w:r>
    </w:p>
    <w:p>
      <w:pPr>
        <w:pStyle w:val="DefinitionTerm"/>
      </w:pPr>
      <w:hyperlink r:id="rId377">
        <w:r>
          <w:rPr>
            <w:rStyle w:val="Hyperlink"/>
          </w:rPr>
          <w:t xml:space="preserve">VR</w:t>
        </w:r>
      </w:hyperlink>
    </w:p>
    <w:p>
      <w:pPr>
        <w:pStyle w:val="Definition"/>
      </w:pPr>
      <w:r>
        <w:t xml:space="preserve">Virtual Reality, (computer-generierte) virtuelle Umgebung</w:t>
      </w:r>
    </w:p>
    <w:p>
      <w:pPr>
        <w:pStyle w:val="DefinitionTerm"/>
      </w:pPr>
      <w:hyperlink r:id="rId37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79"/>
    <w:bookmarkStart w:id="411"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83"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80">
        <w:r>
          <w:rPr>
            <w:rStyle w:val="Hyperlink"/>
          </w:rPr>
          <w:t xml:space="preserve">Google Drive Verzeichnis</w:t>
        </w:r>
      </w:hyperlink>
      <w:r>
        <w:t xml:space="preserve"> </w:t>
      </w:r>
      <w:r>
        <w:t xml:space="preserve">zum Korrekturlesen und Kommentieren bereitgestellt. Änderungen können auch</w:t>
      </w:r>
      <w:r>
        <w:t xml:space="preserve"> </w:t>
      </w:r>
      <w:hyperlink r:id="rId381">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82">
        <w:r>
          <w:rPr>
            <w:rStyle w:val="Hyperlink"/>
          </w:rPr>
          <w:t xml:space="preserve">quarto</w:t>
        </w:r>
      </w:hyperlink>
      <w:r>
        <w:t xml:space="preserve"> </w:t>
      </w:r>
      <w:r>
        <w:t xml:space="preserve">in HTML und anderen Formaten aus den Quellen zusammengebaut wird.</w:t>
      </w:r>
    </w:p>
    <w:bookmarkEnd w:id="383"/>
    <w:bookmarkStart w:id="399"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84"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76"/>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76"/>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76"/>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76"/>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76"/>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84"/>
    <w:bookmarkStart w:id="385" w:name="schreibstil"/>
    <w:p>
      <w:pPr>
        <w:pStyle w:val="Heading3"/>
      </w:pPr>
      <w:r>
        <w:t xml:space="preserve">Stil und Aktualität</w:t>
      </w:r>
    </w:p>
    <w:p>
      <w:pPr>
        <w:numPr>
          <w:ilvl w:val="0"/>
          <w:numId w:val="1077"/>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77"/>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77"/>
        </w:numPr>
      </w:pPr>
      <w:r>
        <w:rPr>
          <w:bCs/>
          <w:b/>
        </w:rPr>
        <w:t xml:space="preserve">Das Buch sollte in 2-5 Jahren noch aktuell und verständlich sein, aber nicht mehr unbedingt in 10 Jahren.</w:t>
      </w:r>
    </w:p>
    <w:p>
      <w:pPr>
        <w:numPr>
          <w:ilvl w:val="0"/>
          <w:numId w:val="1077"/>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85"/>
    <w:bookmarkStart w:id="390" w:name="struktur"/>
    <w:p>
      <w:pPr>
        <w:pStyle w:val="Heading3"/>
      </w:pPr>
      <w:r>
        <w:t xml:space="preserve">Struktur</w:t>
      </w:r>
    </w:p>
    <w:bookmarkStart w:id="387" w:name="struktur-des-texts"/>
    <w:p>
      <w:pPr>
        <w:pStyle w:val="Heading4"/>
      </w:pPr>
      <w:r>
        <w:t xml:space="preserve">Struktur des Texts</w:t>
      </w:r>
    </w:p>
    <w:p>
      <w:pPr>
        <w:numPr>
          <w:ilvl w:val="0"/>
          <w:numId w:val="1078"/>
        </w:numPr>
      </w:pPr>
      <w:r>
        <w:t xml:space="preserve">Wir verwenden</w:t>
      </w:r>
      <w:r>
        <w:t xml:space="preserve"> </w:t>
      </w:r>
      <w:r>
        <w:rPr>
          <w:bCs/>
          <w:b/>
        </w:rPr>
        <w:t xml:space="preserve">kurze, unverschachtelte Sätze</w:t>
      </w:r>
      <w:r>
        <w:t xml:space="preserve">.</w:t>
      </w:r>
    </w:p>
    <w:p>
      <w:pPr>
        <w:numPr>
          <w:ilvl w:val="0"/>
          <w:numId w:val="1078"/>
        </w:numPr>
      </w:pPr>
      <w:r>
        <w:t xml:space="preserve">Wir erzeugen</w:t>
      </w:r>
      <w:r>
        <w:t xml:space="preserve"> </w:t>
      </w:r>
      <w:r>
        <w:rPr>
          <w:bCs/>
          <w:b/>
        </w:rPr>
        <w:t xml:space="preserve">Sinnabschnitte</w:t>
      </w:r>
      <w:r>
        <w:t xml:space="preserve">, die möglichst für sich stehend verständlich sind.</w:t>
      </w:r>
    </w:p>
    <w:p>
      <w:pPr>
        <w:numPr>
          <w:ilvl w:val="0"/>
          <w:numId w:val="1078"/>
        </w:numPr>
      </w:pPr>
      <w:r>
        <w:t xml:space="preserve">Wir schreiben</w:t>
      </w:r>
      <w:r>
        <w:t xml:space="preserve"> </w:t>
      </w:r>
      <w:r>
        <w:rPr>
          <w:bCs/>
          <w:b/>
        </w:rPr>
        <w:t xml:space="preserve">stark strukturiert</w:t>
      </w:r>
      <w:r>
        <w:t xml:space="preserve">, also</w:t>
      </w:r>
    </w:p>
    <w:p>
      <w:pPr>
        <w:numPr>
          <w:ilvl w:val="1"/>
          <w:numId w:val="1079"/>
        </w:numPr>
      </w:pPr>
      <w:r>
        <w:t xml:space="preserve">mit vielen</w:t>
      </w:r>
      <w:r>
        <w:t xml:space="preserve"> </w:t>
      </w:r>
      <w:r>
        <w:rPr>
          <w:bCs/>
          <w:b/>
        </w:rPr>
        <w:t xml:space="preserve">Zwischenüberschriften</w:t>
      </w:r>
      <w:r>
        <w:t xml:space="preserve">, bis maximal zur vierten Gliederungsebene,</w:t>
      </w:r>
    </w:p>
    <w:p>
      <w:pPr>
        <w:numPr>
          <w:ilvl w:val="1"/>
          <w:numId w:val="1079"/>
        </w:numPr>
      </w:pPr>
      <w:r>
        <w:t xml:space="preserve">wo es inhaltlich passt, in stichpunktartigen</w:t>
      </w:r>
      <w:r>
        <w:t xml:space="preserve"> </w:t>
      </w:r>
      <w:r>
        <w:rPr>
          <w:bCs/>
          <w:b/>
        </w:rPr>
        <w:t xml:space="preserve">Listen</w:t>
      </w:r>
      <w:r>
        <w:t xml:space="preserve"> </w:t>
      </w:r>
      <w:r>
        <w:t xml:space="preserve">und</w:t>
      </w:r>
    </w:p>
    <w:p>
      <w:pPr>
        <w:numPr>
          <w:ilvl w:val="1"/>
          <w:numId w:val="1079"/>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78"/>
        </w:numPr>
      </w:pPr>
      <w:r>
        <w:t xml:space="preserve">Wir verwenden</w:t>
      </w:r>
      <w:r>
        <w:t xml:space="preserve"> </w:t>
      </w:r>
      <w:hyperlink r:id="rId386">
        <w:r>
          <w:rPr>
            <w:rStyle w:val="Hyperlink"/>
            <w:bCs/>
            <w:b/>
          </w:rPr>
          <w:t xml:space="preserve">Infoboxen</w:t>
        </w:r>
      </w:hyperlink>
      <w:r>
        <w:t xml:space="preserve">, die auch</w:t>
      </w:r>
      <w:r>
        <w:t xml:space="preserve"> </w:t>
      </w:r>
      <w:r>
        <w:t xml:space="preserve">unabhängig vom übrigen Text lesbar sind.</w:t>
      </w:r>
    </w:p>
    <w:p>
      <w:pPr>
        <w:numPr>
          <w:ilvl w:val="0"/>
          <w:numId w:val="1078"/>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87"/>
    <w:bookmarkStart w:id="38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80"/>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80"/>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80"/>
        </w:numPr>
      </w:pPr>
      <w:r>
        <w:t xml:space="preserve">Jedes Kapitel beinhaltet ein aussagekräftiges Metadatenfeld</w:t>
      </w:r>
      <w:r>
        <w:t xml:space="preserve"> </w:t>
      </w:r>
      <w:r>
        <w:rPr>
          <w:rStyle w:val="VerbatimChar"/>
        </w:rPr>
        <w:t xml:space="preserve">description</w:t>
      </w:r>
      <w:r>
        <w:t xml:space="preserve"> </w:t>
      </w:r>
      <w:hyperlink r:id="rId388">
        <w:r>
          <w:rPr>
            <w:rStyle w:val="Hyperlink"/>
          </w:rPr>
          <w:t xml:space="preserve">für Suchmaschinen</w:t>
        </w:r>
      </w:hyperlink>
      <w:r>
        <w:t xml:space="preserve"> </w:t>
      </w:r>
      <w:r>
        <w:t xml:space="preserve">(maximal etwa 158 Zeichen)</w:t>
      </w:r>
    </w:p>
    <w:bookmarkEnd w:id="389"/>
    <w:bookmarkEnd w:id="390"/>
    <w:bookmarkStart w:id="392" w:name="schreibweise"/>
    <w:p>
      <w:pPr>
        <w:pStyle w:val="Heading3"/>
      </w:pPr>
      <w:r>
        <w:t xml:space="preserve">Schreibweise, Fachbegriffe und Verweise</w:t>
      </w:r>
    </w:p>
    <w:p>
      <w:pPr>
        <w:numPr>
          <w:ilvl w:val="0"/>
          <w:numId w:val="1081"/>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81"/>
        </w:numPr>
      </w:pPr>
      <w:r>
        <w:t xml:space="preserve">Eine Schreibweise für häufig verwendete Fachbegriffe sollte quer durch das Buch eingehalten werden, so z.B. BMS für Bibliotheksmanagementsysteme</w:t>
      </w:r>
    </w:p>
    <w:p>
      <w:pPr>
        <w:numPr>
          <w:ilvl w:val="0"/>
          <w:numId w:val="1081"/>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81"/>
        </w:numPr>
      </w:pPr>
      <w:r>
        <w:t xml:space="preserve">Wir vermeiden IT-Jargon.</w:t>
      </w:r>
    </w:p>
    <w:p>
      <w:pPr>
        <w:numPr>
          <w:ilvl w:val="0"/>
          <w:numId w:val="1081"/>
        </w:numPr>
      </w:pPr>
      <w:r>
        <w:t xml:space="preserve">Quellen sollten nur dann genannt werden wenn in der jeweiligen Textpassage auch wirklich paraphrasiert oder wörtlich zitiert wird.</w:t>
      </w:r>
    </w:p>
    <w:bookmarkStart w:id="391" w:name="typografie"/>
    <w:p>
      <w:pPr>
        <w:pStyle w:val="Heading4"/>
      </w:pPr>
      <w:r>
        <w:t xml:space="preserve">Typografie</w:t>
      </w:r>
    </w:p>
    <w:p>
      <w:pPr>
        <w:numPr>
          <w:ilvl w:val="0"/>
          <w:numId w:val="1082"/>
        </w:numPr>
      </w:pPr>
      <w:r>
        <w:t xml:space="preserve">Abkürzungen werden durch geschützte Leerzeichen getrennt (z. B.)</w:t>
      </w:r>
    </w:p>
    <w:p>
      <w:pPr>
        <w:numPr>
          <w:ilvl w:val="0"/>
          <w:numId w:val="1082"/>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83"/>
        </w:numPr>
      </w:pPr>
      <w:r>
        <w:t xml:space="preserve">Links, die auf später entstehende Kapitel verweisen, werden durch eckige Klammern kenntlich gemacht.</w:t>
      </w:r>
    </w:p>
    <w:p>
      <w:pPr>
        <w:numPr>
          <w:ilvl w:val="0"/>
          <w:numId w:val="1083"/>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83"/>
        </w:numPr>
      </w:pPr>
      <w:r>
        <w:t xml:space="preserve">Wir verzichten auf Fußnoten.</w:t>
      </w:r>
    </w:p>
    <w:bookmarkEnd w:id="391"/>
    <w:bookmarkEnd w:id="392"/>
    <w:bookmarkStart w:id="393" w:name="mitarbeit-medien"/>
    <w:p>
      <w:pPr>
        <w:pStyle w:val="Heading3"/>
      </w:pPr>
      <w:r>
        <w:t xml:space="preserve">Bilder und andere Medien</w:t>
      </w:r>
    </w:p>
    <w:p>
      <w:pPr>
        <w:numPr>
          <w:ilvl w:val="0"/>
          <w:numId w:val="1084"/>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84"/>
        </w:numPr>
      </w:pPr>
      <w:r>
        <w:t xml:space="preserve">Bilder sollten möglichst als Vektorgrafik (SVG) bereitgestellt werden.</w:t>
      </w:r>
    </w:p>
    <w:p>
      <w:pPr>
        <w:numPr>
          <w:ilvl w:val="0"/>
          <w:numId w:val="1084"/>
        </w:numPr>
      </w:pPr>
      <w:r>
        <w:t xml:space="preserve">Bitte nutzt sprechende Dateinamen!</w:t>
      </w:r>
    </w:p>
    <w:bookmarkEnd w:id="393"/>
    <w:bookmarkStart w:id="39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32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9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95"/>
    <w:bookmarkStart w:id="396"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96"/>
    <w:bookmarkStart w:id="398"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97">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98"/>
    <w:bookmarkEnd w:id="399"/>
    <w:bookmarkStart w:id="409" w:name="technik"/>
    <w:p>
      <w:pPr>
        <w:pStyle w:val="Heading2"/>
      </w:pPr>
      <w:r>
        <w:t xml:space="preserve">Technik</w:t>
      </w:r>
    </w:p>
    <w:p>
      <w:pPr>
        <w:pStyle w:val="FirstParagraph"/>
      </w:pPr>
      <w:r>
        <w:t xml:space="preserve">Die Master-Version des Handbuch liegt in einem git-Repository unter</w:t>
      </w:r>
      <w:r>
        <w:t xml:space="preserve"> </w:t>
      </w:r>
      <w:hyperlink r:id="rId400">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401">
        <w:r>
          <w:rPr>
            <w:rStyle w:val="Hyperlink"/>
          </w:rPr>
          <w:t xml:space="preserve">https://it-in-bibliotheken.de/</w:t>
        </w:r>
      </w:hyperlink>
      <w:r>
        <w:t xml:space="preserve"> </w:t>
      </w:r>
      <w:r>
        <w:t xml:space="preserve">immer der aktuellste Stand einsehbar sein sollte.</w:t>
      </w:r>
    </w:p>
    <w:bookmarkStart w:id="404"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85"/>
        </w:numPr>
      </w:pPr>
      <w:r>
        <w:rPr>
          <w:rStyle w:val="VerbatimChar"/>
        </w:rPr>
        <w:t xml:space="preserve">metadata.yml</w:t>
      </w:r>
      <w:r>
        <w:t xml:space="preserve"> </w:t>
      </w:r>
      <w:r>
        <w:t xml:space="preserve">bibliographische Metadaten (Titel, Abstract…)</w:t>
      </w:r>
    </w:p>
    <w:p>
      <w:pPr>
        <w:numPr>
          <w:ilvl w:val="0"/>
          <w:numId w:val="1085"/>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85"/>
        </w:numPr>
      </w:pPr>
      <w:hyperlink r:id="rId402">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85"/>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86"/>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87"/>
        </w:numPr>
      </w:pPr>
      <w:r>
        <w:rPr>
          <w:rStyle w:val="VerbatimChar"/>
        </w:rPr>
        <w:t xml:space="preserve">docs/</w:t>
      </w:r>
      <w:r>
        <w:t xml:space="preserve"> </w:t>
      </w:r>
      <w:r>
        <w:t xml:space="preserve">aus den Masterdateien mit quarto erzeugte Publikation</w:t>
      </w:r>
    </w:p>
    <w:p>
      <w:pPr>
        <w:numPr>
          <w:ilvl w:val="0"/>
          <w:numId w:val="1087"/>
        </w:numPr>
      </w:pPr>
      <w:r>
        <w:rPr>
          <w:rStyle w:val="VerbatimChar"/>
        </w:rPr>
        <w:t xml:space="preserve">_gdrive/</w:t>
      </w:r>
      <w:r>
        <w:t xml:space="preserve"> </w:t>
      </w:r>
      <w:r>
        <w:t xml:space="preserve">von bzw. nach Google-Drive importierte bzw. exportierte Kapitel (siehe</w:t>
      </w:r>
      <w:r>
        <w:t xml:space="preserve"> </w:t>
      </w:r>
      <w:hyperlink r:id="rId403">
        <w:r>
          <w:rPr>
            <w:rStyle w:val="Hyperlink"/>
          </w:rPr>
          <w:t xml:space="preserve">README.md</w:t>
        </w:r>
      </w:hyperlink>
      <w:r>
        <w:t xml:space="preserve">)</w:t>
      </w:r>
    </w:p>
    <w:bookmarkEnd w:id="404"/>
    <w:bookmarkStart w:id="408" w:name="konvertierung"/>
    <w:p>
      <w:pPr>
        <w:pStyle w:val="Heading3"/>
      </w:pPr>
      <w:r>
        <w:t xml:space="preserve">Konvertierung</w:t>
      </w:r>
    </w:p>
    <w:p>
      <w:pPr>
        <w:pStyle w:val="FirstParagraph"/>
      </w:pPr>
      <w:r>
        <w:t xml:space="preserve">Zur Anpassung der Konvertierung des Handbuchs mit</w:t>
      </w:r>
      <w:r>
        <w:t xml:space="preserve"> </w:t>
      </w:r>
      <w:hyperlink r:id="rId405">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406">
        <w:r>
          <w:rPr>
            <w:rStyle w:val="VerbatimChar"/>
          </w:rPr>
          <w:t xml:space="preserve">Makefile</w:t>
        </w:r>
      </w:hyperlink>
      <w:r>
        <w:t xml:space="preserve"> </w:t>
      </w:r>
      <w:r>
        <w:t xml:space="preserve">zusammengefasst:</w:t>
      </w:r>
    </w:p>
    <w:p>
      <w:pPr>
        <w:numPr>
          <w:ilvl w:val="0"/>
          <w:numId w:val="1088"/>
        </w:numPr>
      </w:pPr>
      <w:r>
        <w:rPr>
          <w:rStyle w:val="VerbatimChar"/>
        </w:rPr>
        <w:t xml:space="preserve">make preview</w:t>
      </w:r>
      <w:r>
        <w:t xml:space="preserve"> </w:t>
      </w:r>
      <w:r>
        <w:t xml:space="preserve">konvertiert das Handbuch nach HTML und startet einen Webserver mit Vorschau unter</w:t>
      </w:r>
      <w:r>
        <w:t xml:space="preserve"> </w:t>
      </w:r>
      <w:hyperlink r:id="rId407">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88"/>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88"/>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88"/>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88"/>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88"/>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408"/>
    <w:bookmarkEnd w:id="409"/>
    <w:bookmarkStart w:id="410"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3" Target="media/rId303.jpg" /><Relationship Type="http://schemas.openxmlformats.org/officeDocument/2006/relationships/image" Id="rId174" Target="media/rId174.png" /><Relationship Type="http://schemas.openxmlformats.org/officeDocument/2006/relationships/image" Id="rId310" Target="media/rId310.png" /><Relationship Type="http://schemas.openxmlformats.org/officeDocument/2006/relationships/image" Id="rId220" Target="media/rId220.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8" Target="media/rId228.shtml" /><Relationship Type="http://schemas.openxmlformats.org/officeDocument/2006/relationships/hyperlink" Id="rId406" Target="../Makefile" TargetMode="External" /><Relationship Type="http://schemas.openxmlformats.org/officeDocument/2006/relationships/hyperlink" Id="rId403" Target="_gdrive/README.md" TargetMode="External" /><Relationship Type="http://schemas.openxmlformats.org/officeDocument/2006/relationships/hyperlink" Id="rId402" Target="contributors.yml" TargetMode="External" /><Relationship Type="http://schemas.openxmlformats.org/officeDocument/2006/relationships/hyperlink" Id="rId195" Target="http://coral-erm.org" TargetMode="External" /><Relationship Type="http://schemas.openxmlformats.org/officeDocument/2006/relationships/hyperlink" Id="rId332" Target="http://librarytechnology.org/mergers/" TargetMode="External" /><Relationship Type="http://schemas.openxmlformats.org/officeDocument/2006/relationships/hyperlink" Id="rId320" Target="http://librecat.org/Catmandu/" TargetMode="External" /><Relationship Type="http://schemas.openxmlformats.org/officeDocument/2006/relationships/hyperlink" Id="rId407"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8" Target="https://bartoc.org/"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6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66" Target="https://de.wikipedia.org/wiki/Enterprise-Resource-Planning" TargetMode="External" /><Relationship Type="http://schemas.openxmlformats.org/officeDocument/2006/relationships/hyperlink" Id="rId375" Target="https://de.wikipedia.org/wiki/Gebrauchstauglichkeit_(Produkt)" TargetMode="External" /><Relationship Type="http://schemas.openxmlformats.org/officeDocument/2006/relationships/hyperlink" Id="rId370" Target="https://de.wikipedia.org/wiki/Lock-in-Effekt" TargetMode="External" /><Relationship Type="http://schemas.openxmlformats.org/officeDocument/2006/relationships/hyperlink" Id="rId371"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7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73" Target="https://de.wikipedia.org/wiki/Persona_(Mensch-Computer-Interaktion)" TargetMode="External" /><Relationship Type="http://schemas.openxmlformats.org/officeDocument/2006/relationships/hyperlink" Id="rId361"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74" Target="https://de.wikipedia.org/wiki/Software_as_a_Service" TargetMode="External" /><Relationship Type="http://schemas.openxmlformats.org/officeDocument/2006/relationships/hyperlink" Id="rId376" Target="https://de.wikipedia.org/wiki/User_Experience" TargetMode="External" /><Relationship Type="http://schemas.openxmlformats.org/officeDocument/2006/relationships/hyperlink" Id="rId377"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88" Target="https://developers.google.com/search/docs/advanced/appearance/snippet" TargetMode="External" /><Relationship Type="http://schemas.openxmlformats.org/officeDocument/2006/relationships/hyperlink" Id="rId350" Target="https://docplayer.org/61296444-Anforderungen-an-ein-bibliothekssystem-der-neuen-generation.html" TargetMode="External" /><Relationship Type="http://schemas.openxmlformats.org/officeDocument/2006/relationships/hyperlink" Id="rId345" Target="https://doi.org/10.1145/277351.277356" TargetMode="External" /><Relationship Type="http://schemas.openxmlformats.org/officeDocument/2006/relationships/hyperlink" Id="rId355" Target="https://doi.org/10.1515/9783110691597-010" TargetMode="External" /><Relationship Type="http://schemas.openxmlformats.org/officeDocument/2006/relationships/hyperlink" Id="rId353" Target="https://doi.org/10.5282/o-bib/5797" TargetMode="External" /><Relationship Type="http://schemas.openxmlformats.org/officeDocument/2006/relationships/hyperlink" Id="rId380"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65" Target="https://en.wikipedia.org/wiki/Electronic_resource_management" TargetMode="External" /><Relationship Type="http://schemas.openxmlformats.org/officeDocument/2006/relationships/hyperlink" Id="rId36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91" Target="https://format.gbv.de/" TargetMode="External" /><Relationship Type="http://schemas.openxmlformats.org/officeDocument/2006/relationships/hyperlink" Id="rId362" Target="https://format.gbv.de/schema/avram/specification" TargetMode="External" /><Relationship Type="http://schemas.openxmlformats.org/officeDocument/2006/relationships/hyperlink" Id="rId400" Target="https://github.com/pro4bib/handbuch-it-in-bibliotheken" TargetMode="External" /><Relationship Type="http://schemas.openxmlformats.org/officeDocument/2006/relationships/hyperlink" Id="rId397" Target="https://github.com/pro4bib/handbuch-it-in-bibliotheken/blob/main/contributors.yml" TargetMode="External" /><Relationship Type="http://schemas.openxmlformats.org/officeDocument/2006/relationships/hyperlink" Id="rId381" Target="https://github.com/pro4bib/handbuch-it-in-bibliotheken/issues"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67"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401"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321" Target="https://metafacture.org/"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9"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57" Target="https://pro4bib.github.io/pica/" TargetMode="External" /><Relationship Type="http://schemas.openxmlformats.org/officeDocument/2006/relationships/hyperlink" Id="rId272" Target="https://prometheus.io/" TargetMode="External" /><Relationship Type="http://schemas.openxmlformats.org/officeDocument/2006/relationships/hyperlink" Id="rId336" Target="https://publikationen.dguv.de/widgets/pdf/download/article/409" TargetMode="External" /><Relationship Type="http://schemas.openxmlformats.org/officeDocument/2006/relationships/hyperlink" Id="rId405" Target="https://quarto.org" TargetMode="External" /><Relationship Type="http://schemas.openxmlformats.org/officeDocument/2006/relationships/hyperlink" Id="rId382" Target="https://quarto.org/" TargetMode="External" /><Relationship Type="http://schemas.openxmlformats.org/officeDocument/2006/relationships/hyperlink" Id="rId386" Target="https://quarto.org/docs/authoring/callouts.html" TargetMode="External" /><Relationship Type="http://schemas.openxmlformats.org/officeDocument/2006/relationships/hyperlink" Id="rId394" Target="https://quarto.org/docs/authoring/footnotes-and-citations.html#sec-citations" TargetMode="External" /><Relationship Type="http://schemas.openxmlformats.org/officeDocument/2006/relationships/hyperlink" Id="rId296"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41" Target="https://www.codyh.com/writing/software.html" TargetMode="External" /><Relationship Type="http://schemas.openxmlformats.org/officeDocument/2006/relationships/hyperlink" Id="rId334"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3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330" Target="https://www.infotoday.com/cilmag/jan22/Breeding--How-to-Secure-Library-Systems-From-Malware-Ransomware-and-Other-Cyberthreats.shtml" TargetMode="External" /><Relationship Type="http://schemas.openxmlformats.org/officeDocument/2006/relationships/hyperlink" Id="rId32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69"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43" Target="https://www.nngroup.com/articles/why-you-only-need-to-test-with-5-users/" TargetMode="External" /><Relationship Type="http://schemas.openxmlformats.org/officeDocument/2006/relationships/hyperlink" Id="rId347" Target="https://www.oebib.de/fileadmin/redaktion/2_bau_einrichtung_it/2_3_it_internet/Bibliothekssoftware/2_edv_anbieter_bibliothekssoftware_auswahl_2022_kl.pdf" TargetMode="External" /><Relationship Type="http://schemas.openxmlformats.org/officeDocument/2006/relationships/hyperlink" Id="rId36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78"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32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406" Target="../Makefile" TargetMode="External" /><Relationship Type="http://schemas.openxmlformats.org/officeDocument/2006/relationships/hyperlink" Id="rId403" Target="_gdrive/README.md" TargetMode="External" /><Relationship Type="http://schemas.openxmlformats.org/officeDocument/2006/relationships/hyperlink" Id="rId402" Target="contributors.yml" TargetMode="External" /><Relationship Type="http://schemas.openxmlformats.org/officeDocument/2006/relationships/hyperlink" Id="rId195" Target="http://coral-erm.org" TargetMode="External" /><Relationship Type="http://schemas.openxmlformats.org/officeDocument/2006/relationships/hyperlink" Id="rId332" Target="http://librarytechnology.org/mergers/" TargetMode="External" /><Relationship Type="http://schemas.openxmlformats.org/officeDocument/2006/relationships/hyperlink" Id="rId320" Target="http://librecat.org/Catmandu/" TargetMode="External" /><Relationship Type="http://schemas.openxmlformats.org/officeDocument/2006/relationships/hyperlink" Id="rId407"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98" Target="https://bartoc.org/"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6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66" Target="https://de.wikipedia.org/wiki/Enterprise-Resource-Planning" TargetMode="External" /><Relationship Type="http://schemas.openxmlformats.org/officeDocument/2006/relationships/hyperlink" Id="rId375" Target="https://de.wikipedia.org/wiki/Gebrauchstauglichkeit_(Produkt)" TargetMode="External" /><Relationship Type="http://schemas.openxmlformats.org/officeDocument/2006/relationships/hyperlink" Id="rId370" Target="https://de.wikipedia.org/wiki/Lock-in-Effekt" TargetMode="External" /><Relationship Type="http://schemas.openxmlformats.org/officeDocument/2006/relationships/hyperlink" Id="rId371"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72"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73" Target="https://de.wikipedia.org/wiki/Persona_(Mensch-Computer-Interaktion)" TargetMode="External" /><Relationship Type="http://schemas.openxmlformats.org/officeDocument/2006/relationships/hyperlink" Id="rId361"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74" Target="https://de.wikipedia.org/wiki/Software_as_a_Service" TargetMode="External" /><Relationship Type="http://schemas.openxmlformats.org/officeDocument/2006/relationships/hyperlink" Id="rId376" Target="https://de.wikipedia.org/wiki/User_Experience" TargetMode="External" /><Relationship Type="http://schemas.openxmlformats.org/officeDocument/2006/relationships/hyperlink" Id="rId377"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88" Target="https://developers.google.com/search/docs/advanced/appearance/snippet" TargetMode="External" /><Relationship Type="http://schemas.openxmlformats.org/officeDocument/2006/relationships/hyperlink" Id="rId350" Target="https://docplayer.org/61296444-Anforderungen-an-ein-bibliothekssystem-der-neuen-generation.html" TargetMode="External" /><Relationship Type="http://schemas.openxmlformats.org/officeDocument/2006/relationships/hyperlink" Id="rId345" Target="https://doi.org/10.1145/277351.277356" TargetMode="External" /><Relationship Type="http://schemas.openxmlformats.org/officeDocument/2006/relationships/hyperlink" Id="rId355" Target="https://doi.org/10.1515/9783110691597-010" TargetMode="External" /><Relationship Type="http://schemas.openxmlformats.org/officeDocument/2006/relationships/hyperlink" Id="rId353" Target="https://doi.org/10.5282/o-bib/5797" TargetMode="External" /><Relationship Type="http://schemas.openxmlformats.org/officeDocument/2006/relationships/hyperlink" Id="rId380"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65" Target="https://en.wikipedia.org/wiki/Electronic_resource_management" TargetMode="External" /><Relationship Type="http://schemas.openxmlformats.org/officeDocument/2006/relationships/hyperlink" Id="rId368"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291" Target="https://format.gbv.de/" TargetMode="External" /><Relationship Type="http://schemas.openxmlformats.org/officeDocument/2006/relationships/hyperlink" Id="rId362" Target="https://format.gbv.de/schema/avram/specification" TargetMode="External" /><Relationship Type="http://schemas.openxmlformats.org/officeDocument/2006/relationships/hyperlink" Id="rId400" Target="https://github.com/pro4bib/handbuch-it-in-bibliotheken" TargetMode="External" /><Relationship Type="http://schemas.openxmlformats.org/officeDocument/2006/relationships/hyperlink" Id="rId397" Target="https://github.com/pro4bib/handbuch-it-in-bibliotheken/blob/main/contributors.yml" TargetMode="External" /><Relationship Type="http://schemas.openxmlformats.org/officeDocument/2006/relationships/hyperlink" Id="rId381" Target="https://github.com/pro4bib/handbuch-it-in-bibliotheken/issues"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67"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401"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321" Target="https://metafacture.org/"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319" Target="https://openrefine.org/"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357" Target="https://pro4bib.github.io/pica/" TargetMode="External" /><Relationship Type="http://schemas.openxmlformats.org/officeDocument/2006/relationships/hyperlink" Id="rId272" Target="https://prometheus.io/" TargetMode="External" /><Relationship Type="http://schemas.openxmlformats.org/officeDocument/2006/relationships/hyperlink" Id="rId336" Target="https://publikationen.dguv.de/widgets/pdf/download/article/409" TargetMode="External" /><Relationship Type="http://schemas.openxmlformats.org/officeDocument/2006/relationships/hyperlink" Id="rId405" Target="https://quarto.org" TargetMode="External" /><Relationship Type="http://schemas.openxmlformats.org/officeDocument/2006/relationships/hyperlink" Id="rId382" Target="https://quarto.org/" TargetMode="External" /><Relationship Type="http://schemas.openxmlformats.org/officeDocument/2006/relationships/hyperlink" Id="rId386" Target="https://quarto.org/docs/authoring/callouts.html" TargetMode="External" /><Relationship Type="http://schemas.openxmlformats.org/officeDocument/2006/relationships/hyperlink" Id="rId394" Target="https://quarto.org/docs/authoring/footnotes-and-citations.html#sec-citations" TargetMode="External" /><Relationship Type="http://schemas.openxmlformats.org/officeDocument/2006/relationships/hyperlink" Id="rId296" Target="https://sigel.staatsbibliothek-berlin.de/"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41" Target="https://www.codyh.com/writing/software.html" TargetMode="External" /><Relationship Type="http://schemas.openxmlformats.org/officeDocument/2006/relationships/hyperlink" Id="rId334"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3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330" Target="https://www.infotoday.com/cilmag/jan22/Breeding--How-to-Secure-Library-Systems-From-Malware-Ransomware-and-Other-Cyberthreats.shtml" TargetMode="External" /><Relationship Type="http://schemas.openxmlformats.org/officeDocument/2006/relationships/hyperlink" Id="rId32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69"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43" Target="https://www.nngroup.com/articles/why-you-only-need-to-test-with-5-users/" TargetMode="External" /><Relationship Type="http://schemas.openxmlformats.org/officeDocument/2006/relationships/hyperlink" Id="rId347" Target="https://www.oebib.de/fileadmin/redaktion/2_bau_einrichtung_it/2_3_it_internet/Bibliothekssoftware/2_edv_anbieter_bibliothekssoftware_auswahl_2022_kl.pdf" TargetMode="External" /><Relationship Type="http://schemas.openxmlformats.org/officeDocument/2006/relationships/hyperlink" Id="rId36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78"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32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2022-11-15T17:06:44Z</dcterms:created>
  <dcterms:modified xsi:type="dcterms:W3CDTF">2022-11-15T17:06:44Z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15.11.22</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bl-cap-location">
    <vt:lpwstr>bottom</vt:lpwstr>
  </property>
  <property fmtid="{D5CDD505-2E9C-101B-9397-08002B2CF9AE}" pid="15" name="toc-title">
    <vt:lpwstr>Inhaltsverzeichnis</vt:lpwstr>
  </property>
  <property fmtid="{D5CDD505-2E9C-101B-9397-08002B2CF9AE}" pid="16" name="website">
    <vt:lpwstr/>
  </property>
</Properties>
</file>