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0.png" ContentType="image/png"/>
  <Override PartName="/word/media/rId215.png" ContentType="image/png"/>
  <Override PartName="/word/media/rId69.svg" ContentType="image/svg+xml"/>
  <Override PartName="/word/media/rId59.svg" ContentType="image/svg+xml"/>
  <Override PartName="/word/media/rId56.png" ContentType="image/png"/>
  <Override PartName="/word/media/rId23.png" ContentType="image/png"/>
  <Override PartName="/word/media/rId253.png" ContentType="image/png"/>
  <Override PartName="/word/media/rId223.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2022-05-27T00:00:00+00:00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Bibliotheks-IT</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17"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2" w:name="it-systeme"/>
    <w:p>
      <w:pPr>
        <w:pStyle w:val="Heading2"/>
      </w:pPr>
      <w:r>
        <w:t xml:space="preserve">IT-Systeme</w:t>
      </w:r>
    </w:p>
    <w:bookmarkStart w:id="75"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(siehe</w:t>
      </w:r>
      <w:r>
        <w:t xml:space="preserve"> </w:t>
      </w:r>
      <w:r>
        <w:t xml:space="preserve">Abbildung 1). 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anonymous-1"/>
          <w:p>
            <w:pPr>
              <w:pStyle w:val="Figure"/>
              <w:jc w:val="center"/>
            </w:pPr>
            <w:r>
              <w:drawing>
                <wp:inline>
                  <wp:extent cx="0" cy="0"/>
                  <wp:effectExtent b="0" l="0" r="0" t="0"/>
                  <wp:docPr descr="" title="" id="60" name="Picture"/>
                  <a:graphic>
                    <a:graphicData uri="http://schemas.openxmlformats.org/drawingml/2006/picture">
                      <pic:pic>
                        <pic:nvPicPr>
                          <pic:cNvPr descr="./media/sdlc.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1</w:t>
            </w:r>
            <w:r>
              <w:t xml:space="preserve"> </w:t>
            </w:r>
            <w:r>
              <w:t xml:space="preserve">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3"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 Folgende Abbildung</w:t>
      </w:r>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2" w:name="fig-anonymous-2"/>
          <w:p>
            <w:pPr>
              <w:pStyle w:val="Figure"/>
              <w:jc w:val="center"/>
            </w:pPr>
            <w:r>
              <w:drawing>
                <wp:inline>
                  <wp:extent cx="3048000" cy="2286000"/>
                  <wp:effectExtent b="0" l="0" r="0" t="0"/>
                  <wp:docPr descr="" title="" id="70" name="Picture"/>
                  <a:graphic>
                    <a:graphicData uri="http://schemas.openxmlformats.org/drawingml/2006/picture">
                      <pic:pic>
                        <pic:nvPicPr>
                          <pic:cNvPr descr="./media/missing.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2</w:t>
            </w:r>
            <w:r>
              <w:t xml:space="preserve"> </w:t>
            </w:r>
            <w:r>
              <w:t xml:space="preserve">Verweildauer von Bibliothekssystemen in der Wartungsphase am Beispiel der Staatsbibliothek zu Berlin (Platzhalter)</w:t>
            </w:r>
          </w:p>
          <w:bookmarkEnd w:id="72"/>
        </w:tc>
      </w:tr>
    </w:tbl>
    <w:bookmarkEnd w:id="73"/>
    <w:bookmarkStart w:id="74"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4"/>
    <w:bookmarkEnd w:id="75"/>
    <w:bookmarkStart w:id="83"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8"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6"/>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8"/>
    <w:bookmarkStart w:id="82"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 (siehe</w:t>
      </w:r>
      <w:r>
        <w:t xml:space="preserve"> </w:t>
      </w:r>
      <w:r>
        <w:t xml:space="preserve">Abbildung 3).</w:t>
      </w:r>
    </w:p>
    <w:tbl>
      <w:tblPr>
        <w:tblStyle w:val="Table"/>
        <w:tblW w:type="pct" w:w="5000"/>
        <w:tblLook w:firstRow="0" w:lastRow="0" w:firstColumn="0" w:lastColumn="0" w:noHBand="0" w:noVBand="0" w:val="0000"/>
      </w:tblPr>
      <w:tblGrid>
        <w:gridCol w:w="7920"/>
      </w:tblGrid>
      <w:tr>
        <w:tc>
          <w:tcPr/>
          <w:bookmarkStart w:id="81" w:name="fig-anonymous-3"/>
          <w:p>
            <w:pPr>
              <w:pStyle w:val="Figure"/>
              <w:jc w:val="center"/>
            </w:pPr>
            <w:r>
              <w:drawing>
                <wp:inline>
                  <wp:extent cx="3048000" cy="2286000"/>
                  <wp:effectExtent b="0" l="0" r="0" t="0"/>
                  <wp:docPr descr="" title="" id="79" name="Picture"/>
                  <a:graphic>
                    <a:graphicData uri="http://schemas.openxmlformats.org/drawingml/2006/picture">
                      <pic:pic>
                        <pic:nvPicPr>
                          <pic:cNvPr descr="./media/missing.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3</w:t>
            </w:r>
            <w:r>
              <w:t xml:space="preserve"> </w:t>
            </w:r>
            <w:r>
              <w:t xml:space="preserve">Schichtmodell-Bild (Platzhalter)</w:t>
            </w:r>
          </w:p>
          <w:bookmarkEnd w:id="81"/>
        </w:tc>
      </w:tr>
    </w:tbl>
    <w:p>
      <w:pPr>
        <w:pStyle w:val="BodyText"/>
      </w:pPr>
      <w:r>
        <w:t xml:space="preserve">Aus der Abbildung 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2"/>
    <w:bookmarkEnd w:id="83"/>
    <w:bookmarkStart w:id="91"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6"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84"/>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6"/>
    <w:bookmarkStart w:id="90"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7">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8">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89"/>
      </w:r>
    </w:p>
    <w:bookmarkEnd w:id="90"/>
    <w:bookmarkEnd w:id="91"/>
    <w:bookmarkEnd w:id="92"/>
    <w:bookmarkStart w:id="113"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5"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opt/quarto/share/formats/docx/tip.png" id="9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5"/>
    <w:bookmarkStart w:id="97"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6"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6"/>
    <w:bookmarkEnd w:id="97"/>
    <w:bookmarkStart w:id="112"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98"/>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4"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mehrere akademische Ausbildungsangebote für die</w:t>
      </w:r>
      <w:r>
        <w:t xml:space="preserve"> </w:t>
      </w:r>
      <w:r>
        <w:t xml:space="preserve">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0">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1">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2">
        <w:r>
          <w:rPr>
            <w:rStyle w:val="Hyperlink"/>
          </w:rPr>
          <w:t xml:space="preserve">Zertifikatskurs Data Librarian an der TH Köln</w:t>
        </w:r>
      </w:hyperlink>
    </w:p>
    <w:p>
      <w:pPr>
        <w:numPr>
          <w:ilvl w:val="1"/>
          <w:numId w:val="1012"/>
        </w:numPr>
      </w:pPr>
      <w:hyperlink r:id="rId103">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4"/>
    <w:bookmarkStart w:id="110"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5">
        <w:r>
          <w:rPr>
            <w:rStyle w:val="Hyperlink"/>
          </w:rPr>
          <w:t xml:space="preserve">European Library Automation Group</w:t>
        </w:r>
      </w:hyperlink>
      <w:r>
        <w:t xml:space="preserve"> </w:t>
      </w:r>
      <w:r>
        <w:t xml:space="preserve">(ELAG)</w:t>
      </w:r>
    </w:p>
    <w:p>
      <w:pPr>
        <w:numPr>
          <w:ilvl w:val="0"/>
          <w:numId w:val="1013"/>
        </w:numPr>
      </w:pPr>
      <w:hyperlink r:id="rId106">
        <w:r>
          <w:rPr>
            <w:rStyle w:val="Hyperlink"/>
          </w:rPr>
          <w:t xml:space="preserve">Code4Lib-Konferenzen</w:t>
        </w:r>
      </w:hyperlink>
      <w:r>
        <w:t xml:space="preserve"> </w:t>
      </w:r>
      <w:r>
        <w:t xml:space="preserve">in den USA</w:t>
      </w:r>
    </w:p>
    <w:p>
      <w:pPr>
        <w:numPr>
          <w:ilvl w:val="0"/>
          <w:numId w:val="1013"/>
        </w:numPr>
      </w:pPr>
      <w:hyperlink r:id="rId107">
        <w:r>
          <w:rPr>
            <w:rStyle w:val="Hyperlink"/>
          </w:rPr>
          <w:t xml:space="preserve">Access Conference</w:t>
        </w:r>
      </w:hyperlink>
      <w:r>
        <w:t xml:space="preserve"> </w:t>
      </w:r>
      <w:r>
        <w:t xml:space="preserve">in Kanada</w:t>
      </w:r>
    </w:p>
    <w:p>
      <w:pPr>
        <w:numPr>
          <w:ilvl w:val="0"/>
          <w:numId w:val="1013"/>
        </w:numPr>
      </w:pPr>
      <w:hyperlink r:id="rId108">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9">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0"/>
    <w:bookmarkStart w:id="111"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1"/>
    <w:bookmarkEnd w:id="112"/>
    <w:bookmarkEnd w:id="113"/>
    <w:bookmarkStart w:id="116"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4" name="Picture"/>
                  <a:graphic>
                    <a:graphicData uri="http://schemas.openxmlformats.org/drawingml/2006/picture">
                      <pic:pic>
                        <pic:nvPicPr>
                          <pic:cNvPr descr="/opt/quarto/share/formats/docx/note.png" id="115"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numPr>
                <w:ilvl w:val="0"/>
                <w:numId w:val="1015"/>
              </w:numPr>
              <w:pStyle w:val="Compact"/>
            </w:pPr>
            <w:r>
              <w:t xml:space="preserve">permantenter Anpassungebedarf an das System - es empfiehlt sich eine schnelle Reaktion auf sich ändernde Anforderungen, denn das Wissen um das BMS und seine Nutzung muss durch Personal</w:t>
            </w:r>
            <w:r>
              <w:t xml:space="preserve"> </w:t>
            </w:r>
            <w:r>
              <w:t xml:space="preserve">Sollte sich ein System-Umstieg abzeichnen, sind vor allem die internen Arbeits-Prozesse zu berücksichten. Auch das Wissen der Systemanwendenden und -betreuenden ist unverzichtbar, denn nur dadurch kann auf eine Ablösung bzw Anpassung des Systems effektiv reagiert werden</w:t>
            </w:r>
          </w:p>
          <w:p>
            <w:pPr>
              <w:numPr>
                <w:ilvl w:val="0"/>
                <w:numId w:val="1015"/>
              </w:numPr>
              <w:pStyle w:val="Compact"/>
            </w:pPr>
            <w:r>
              <w:t xml:space="preserve">Lebenszyklus eines Systems vs Personalmanagement - das Wissen eines Systems erhalten, auch wenn bestimmte SW-Abhängigkeiten bzw Vendor-Lockins verursacht wurden - betrifft aber auch Opensource</w:t>
            </w:r>
          </w:p>
        </w:tc>
      </w:tr>
    </w:tbl>
    <w:bookmarkEnd w:id="116"/>
    <w:bookmarkEnd w:id="117"/>
    <w:bookmarkStart w:id="162" w:name="anforderungen-an-bibliotheks-it"/>
    <w:p>
      <w:pPr>
        <w:pStyle w:val="Heading1"/>
      </w:pPr>
      <w:r>
        <w:t xml:space="preserve">Anforderungen an Bibliotheks-IT</w:t>
      </w:r>
    </w:p>
    <w:p>
      <w:pPr>
        <w:pStyle w:val="FirstParagraph"/>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auch aus rechtlicher Sicht, eingegangen. Außerdem wurde</w:t>
      </w:r>
      <w:r>
        <w:t xml:space="preserve"> </w:t>
      </w:r>
      <w:r>
        <w:t xml:space="preserve">der Software-Lebenszyklus skizziert, welcher eine eher lineare</w:t>
      </w:r>
      <w:r>
        <w:t xml:space="preserve"> </w:t>
      </w:r>
      <w:r>
        <w:t xml:space="preserve">Betrachtung eines Systems vom Beginn seiner Einführung bis hin zur</w:t>
      </w:r>
      <w:r>
        <w:t xml:space="preserve"> </w:t>
      </w:r>
      <w:r>
        <w:t xml:space="preserve">Abschaltung ermöglicht. Dabei wurde implizit angenommen, dass</w:t>
      </w:r>
      <w:r>
        <w:t xml:space="preserve"> </w:t>
      </w:r>
      <w:r>
        <w:t xml:space="preserve">Anforderungen an ein System im Laufe seiner Lebenszeit weitestgehend fix</w:t>
      </w:r>
      <w:r>
        <w:t xml:space="preserve"> </w:t>
      </w:r>
      <w:r>
        <w:t xml:space="preserve">bleiben.</w:t>
      </w:r>
    </w:p>
    <w:p>
      <w:pPr>
        <w:pStyle w:val="BodyText"/>
      </w:pPr>
      <w:r>
        <w:t xml:space="preserve">Betrachtet man sein eigenes persönliches Nutzungsverhalten im digitalen</w:t>
      </w:r>
      <w:r>
        <w:t xml:space="preserve"> </w:t>
      </w:r>
      <w:r>
        <w:t xml:space="preserve">Bereich wird jedoch klar, dass sich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bookmarkStart w:id="126" w:name="Xfa845e3ce28406ea484c457f001688c09e3321f"/>
    <w:p>
      <w:pPr>
        <w:pStyle w:val="Heading2"/>
      </w:pPr>
      <w:r>
        <w:t xml:space="preserve">Prinzipien der Nutzer*innenzentrierten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6"/>
        </w:numPr>
      </w:pPr>
      <w:r>
        <w:t xml:space="preserve">Fokussierung auf Nutzer*innen und deren Aufgaben von Beginn der</w:t>
      </w:r>
      <w:r>
        <w:t xml:space="preserve"> </w:t>
      </w:r>
      <w:r>
        <w:t xml:space="preserve">Entwicklung an</w:t>
      </w:r>
    </w:p>
    <w:p>
      <w:pPr>
        <w:numPr>
          <w:ilvl w:val="0"/>
          <w:numId w:val="1016"/>
        </w:numPr>
      </w:pPr>
      <w:r>
        <w:t xml:space="preserve">deren kontinuierliche Einbeziehung und Auswertung von</w:t>
      </w:r>
      <w:r>
        <w:t xml:space="preserve"> </w:t>
      </w:r>
      <w:r>
        <w:t xml:space="preserve">Nutzer*innen-Feedback sowie Performance-Messung</w:t>
      </w:r>
    </w:p>
    <w:p>
      <w:pPr>
        <w:numPr>
          <w:ilvl w:val="0"/>
          <w:numId w:val="1016"/>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118"/>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7"/>
        </w:numPr>
      </w:pPr>
      <w:r>
        <w:t xml:space="preserve">Start with user needs</w:t>
      </w:r>
    </w:p>
    <w:p>
      <w:pPr>
        <w:numPr>
          <w:ilvl w:val="0"/>
          <w:numId w:val="1017"/>
        </w:numPr>
      </w:pPr>
      <w:r>
        <w:t xml:space="preserve">Do less</w:t>
      </w:r>
    </w:p>
    <w:p>
      <w:pPr>
        <w:numPr>
          <w:ilvl w:val="0"/>
          <w:numId w:val="1017"/>
        </w:numPr>
      </w:pPr>
      <w:r>
        <w:t xml:space="preserve">Design with data</w:t>
      </w:r>
    </w:p>
    <w:p>
      <w:pPr>
        <w:numPr>
          <w:ilvl w:val="0"/>
          <w:numId w:val="1017"/>
        </w:numPr>
      </w:pPr>
      <w:r>
        <w:t xml:space="preserve">Do the hard work to make it simple</w:t>
      </w:r>
    </w:p>
    <w:p>
      <w:pPr>
        <w:numPr>
          <w:ilvl w:val="0"/>
          <w:numId w:val="1017"/>
        </w:numPr>
      </w:pPr>
      <w:r>
        <w:t xml:space="preserve">Iterate. Then iterate again</w:t>
      </w:r>
    </w:p>
    <w:p>
      <w:pPr>
        <w:numPr>
          <w:ilvl w:val="0"/>
          <w:numId w:val="1017"/>
        </w:numPr>
      </w:pPr>
      <w:r>
        <w:t xml:space="preserve">This is for everyone</w:t>
      </w:r>
    </w:p>
    <w:p>
      <w:pPr>
        <w:numPr>
          <w:ilvl w:val="0"/>
          <w:numId w:val="1017"/>
        </w:numPr>
      </w:pPr>
      <w:r>
        <w:t xml:space="preserve">Understand context</w:t>
      </w:r>
    </w:p>
    <w:p>
      <w:pPr>
        <w:numPr>
          <w:ilvl w:val="0"/>
          <w:numId w:val="1017"/>
        </w:numPr>
      </w:pPr>
      <w:r>
        <w:t xml:space="preserve">Build digital services, not websites</w:t>
      </w:r>
    </w:p>
    <w:p>
      <w:pPr>
        <w:numPr>
          <w:ilvl w:val="0"/>
          <w:numId w:val="1017"/>
        </w:numPr>
      </w:pPr>
      <w:r>
        <w:t xml:space="preserve">Be consistent, not uniform</w:t>
      </w:r>
    </w:p>
    <w:p>
      <w:pPr>
        <w:numPr>
          <w:ilvl w:val="0"/>
          <w:numId w:val="1017"/>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5"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9" name="Picture"/>
                  <a:graphic>
                    <a:graphicData uri="http://schemas.openxmlformats.org/drawingml/2006/picture">
                      <pic:pic>
                        <pic:nvPicPr>
                          <pic:cNvPr descr="/opt/quarto/share/formats/docx/tip.png" id="12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Wie die untenstehende Abbildung 1 zeigt, handelt es sich bei Usability um</w:t>
      </w:r>
      <w:r>
        <w:t xml:space="preserve"> </w:t>
      </w:r>
      <w:r>
        <w:t xml:space="preserve">eine Eigenschaft eines Systems, die während der konkreten Interaktion</w:t>
      </w:r>
      <w:r>
        <w:t xml:space="preserve"> </w:t>
      </w:r>
      <w:r>
        <w:t xml:space="preserve">mit diesem relevant wird und beispielsweise angibt, inwiefern Hürden bei</w:t>
      </w:r>
      <w:r>
        <w:t xml:space="preserve"> </w:t>
      </w:r>
      <w:r>
        <w:t xml:space="preserve">der Bedienung auftreten.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21">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p>
      <w:pPr>
        <w:pStyle w:val="BodyText"/>
      </w:pPr>
      <w:r>
        <w:drawing>
          <wp:inline>
            <wp:extent cx="3048000" cy="2286000"/>
            <wp:effectExtent b="0" l="0" r="0" t="0"/>
            <wp:docPr descr="" title="" id="122" name="Picture"/>
            <a:graphic>
              <a:graphicData uri="http://schemas.openxmlformats.org/drawingml/2006/picture">
                <pic:pic>
                  <pic:nvPicPr>
                    <pic:cNvPr descr="./media/missing.svg" id="1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1</w:t>
      </w:r>
      <w:r>
        <w:t xml:space="preserve"> </w:t>
      </w:r>
      <w:r>
        <w:t xml:space="preserve">Ersatz von Luis zu</w:t>
      </w:r>
      <w:r>
        <w:t xml:space="preserve"> </w:t>
      </w:r>
      <w:hyperlink r:id="rId124">
        <w:r>
          <w:rPr>
            <w:rStyle w:val="Hyperlink"/>
          </w:rPr>
          <w:t xml:space="preserve">https://www.johner-institut.de/blog/iec-62366-usability/user-experience/</w:t>
        </w:r>
      </w:hyperlink>
    </w:p>
    <w:bookmarkEnd w:id="125"/>
    <w:bookmarkEnd w:id="126"/>
    <w:bookmarkStart w:id="161" w:name="wie-beziehen-wir-unsere-nutzerinnen-ein"/>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4" w:name="bedarfsermittlung"/>
    <w:p>
      <w:pPr>
        <w:pStyle w:val="Heading3"/>
      </w:pPr>
      <w:r>
        <w:t xml:space="preserve">Bedarfsermittlung</w:t>
      </w:r>
    </w:p>
    <w:bookmarkStart w:id="127"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7"/>
    <w:bookmarkStart w:id="133"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drawing>
          <wp:inline>
            <wp:extent cx="3048000" cy="2286000"/>
            <wp:effectExtent b="0" l="0" r="0" t="0"/>
            <wp:docPr descr="" title="" id="128" name="Picture"/>
            <a:graphic>
              <a:graphicData uri="http://schemas.openxmlformats.org/drawingml/2006/picture">
                <pic:pic>
                  <pic:nvPicPr>
                    <pic:cNvPr descr="./media/missing.svg" id="1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2</w:t>
      </w:r>
      <w:r>
        <w:t xml:space="preserve"> </w:t>
      </w:r>
      <w:r>
        <w:t xml:space="preserve">Steimle, Toni; Wallach, Dieter (2018); Abb. 12 Neues Bild erstellen!</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p>
      <w:pPr>
        <w:pStyle w:val="BodyText"/>
      </w:pPr>
      <w:r>
        <w:drawing>
          <wp:inline>
            <wp:extent cx="3048000" cy="2286000"/>
            <wp:effectExtent b="0" l="0" r="0" t="0"/>
            <wp:docPr descr="" title="" id="130" name="Picture"/>
            <a:graphic>
              <a:graphicData uri="http://schemas.openxmlformats.org/drawingml/2006/picture">
                <pic:pic>
                  <pic:nvPicPr>
                    <pic:cNvPr descr="./media/missing.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Abbildung3</w:t>
      </w:r>
      <w:r>
        <w:t xml:space="preserve"> </w:t>
      </w:r>
      <w:r>
        <w:t xml:space="preserve">Aus einem</w:t>
      </w:r>
      <w:r>
        <w:t xml:space="preserve"> </w:t>
      </w:r>
      <w:hyperlink r:id="rId132">
        <w:r>
          <w:rPr>
            <w:rStyle w:val="Hyperlink"/>
          </w:rPr>
          <w:t xml:space="preserve">Vortrag zum Scenario-based Design</w:t>
        </w:r>
      </w:hyperlink>
    </w:p>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3"/>
    <w:bookmarkEnd w:id="134"/>
    <w:bookmarkStart w:id="139"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5"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5"/>
    <w:bookmarkStart w:id="136"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6"/>
    <w:bookmarkStart w:id="138"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8"/>
        </w:numPr>
      </w:pPr>
      <w:r>
        <w:t xml:space="preserve">Nutzungsfehler pro Zeiteinheit,</w:t>
      </w:r>
    </w:p>
    <w:p>
      <w:pPr>
        <w:numPr>
          <w:ilvl w:val="0"/>
          <w:numId w:val="1018"/>
        </w:numPr>
      </w:pPr>
      <w:r>
        <w:t xml:space="preserve">Anzahl nicht benötigter Befehle (Menus, Icons, Links)</w:t>
      </w:r>
    </w:p>
    <w:p>
      <w:pPr>
        <w:numPr>
          <w:ilvl w:val="0"/>
          <w:numId w:val="1018"/>
        </w:numPr>
      </w:pPr>
      <w:r>
        <w:t xml:space="preserve">Benötigte Zeit für den Abschluss einer Arbeitsaufgabe (insbesondere</w:t>
      </w:r>
      <w:r>
        <w:t xml:space="preserve"> </w:t>
      </w:r>
      <w:r>
        <w:t xml:space="preserve">im Vergleich mit einer vorherigen Iteration)</w:t>
      </w:r>
    </w:p>
    <w:p>
      <w:pPr>
        <w:numPr>
          <w:ilvl w:val="0"/>
          <w:numId w:val="1018"/>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7">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8"/>
    <w:bookmarkEnd w:id="139"/>
    <w:bookmarkStart w:id="151"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9"/>
        </w:numPr>
      </w:pPr>
      <w:r>
        <w:t xml:space="preserve">Storyboards - Skizzierung von Interaktionskonzepten</w:t>
      </w:r>
    </w:p>
    <w:p>
      <w:pPr>
        <w:numPr>
          <w:ilvl w:val="0"/>
          <w:numId w:val="1019"/>
        </w:numPr>
      </w:pPr>
      <w:r>
        <w:t xml:space="preserve">Wireframes und Mock-Ups - Skizzen der Oberflächen</w:t>
      </w:r>
    </w:p>
    <w:p>
      <w:pPr>
        <w:numPr>
          <w:ilvl w:val="0"/>
          <w:numId w:val="1019"/>
        </w:numPr>
      </w:pPr>
      <w:r>
        <w:t xml:space="preserve">Prototypen - erste funktionsfähige Iterationen</w:t>
      </w:r>
    </w:p>
    <w:bookmarkStart w:id="143"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p>
      <w:pPr>
        <w:pStyle w:val="BodyText"/>
      </w:pPr>
      <w:r>
        <w:drawing>
          <wp:inline>
            <wp:extent cx="3048000" cy="2286000"/>
            <wp:effectExtent b="0" l="0" r="0" t="0"/>
            <wp:docPr descr="" title="" id="140" name="Picture"/>
            <a:graphic>
              <a:graphicData uri="http://schemas.openxmlformats.org/drawingml/2006/picture">
                <pic:pic>
                  <pic:nvPicPr>
                    <pic:cNvPr descr="./media/missing.svg" id="1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4</w:t>
      </w:r>
      <w:r>
        <w:t xml:space="preserve"> </w:t>
      </w:r>
      <w:r>
        <w:t xml:space="preserve">Rinzler, J.W.: Star Wars Storyboards: The Original Trilogy; Abrams &amp;</w:t>
      </w:r>
      <w:r>
        <w:t xml:space="preserve"> </w:t>
      </w:r>
      <w:r>
        <w:t xml:space="preserve">Chronicle Books</w:t>
      </w:r>
    </w:p>
    <w:p>
      <w:pPr>
        <w:pStyle w:val="BodyText"/>
      </w:pPr>
      <w:r>
        <w:t xml:space="preserve">hier sollte man am besten etwas mit Bib-Bezug kritzeln, das bild ist nur</w:t>
      </w:r>
      <w:r>
        <w:t xml:space="preserve"> </w:t>
      </w:r>
      <w:r>
        <w:t xml:space="preserve">als Platzhalter zu verstehen</w:t>
      </w:r>
    </w:p>
    <w:p>
      <w:pPr>
        <w:pStyle w:val="BodyText"/>
      </w:pPr>
      <w:r>
        <w:t xml:space="preserve">z.B.</w:t>
      </w:r>
      <w:r>
        <w:t xml:space="preserve"> </w:t>
      </w:r>
      <w:hyperlink r:id="rId142">
        <w:r>
          <w:rPr>
            <w:rStyle w:val="Hyperlink"/>
          </w:rPr>
          <w:t xml:space="preserve">https://www.storyboardthat.com/de/storyboards/1c78733f/matilda-library-visit</w:t>
        </w:r>
      </w:hyperlink>
    </w:p>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3"/>
    <w:bookmarkStart w:id="147"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p>
      <w:pPr>
        <w:pStyle w:val="BodyText"/>
      </w:pPr>
      <w:r>
        <w:drawing>
          <wp:inline>
            <wp:extent cx="3048000" cy="2286000"/>
            <wp:effectExtent b="0" l="0" r="0" t="0"/>
            <wp:docPr descr="" title="" id="144" name="Picture"/>
            <a:graphic>
              <a:graphicData uri="http://schemas.openxmlformats.org/drawingml/2006/picture">
                <pic:pic>
                  <pic:nvPicPr>
                    <pic:cNvPr descr="./media/missing.svg" id="1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5</w:t>
      </w:r>
      <w:r>
        <w:t xml:space="preserve"> </w:t>
      </w:r>
      <w:hyperlink r:id="rId146">
        <w:r>
          <w:rPr>
            <w:rStyle w:val="Hyperlink"/>
          </w:rPr>
          <w:t xml:space="preserve">https://www.mockplus.com/blog/post/basic-uiux-design-concept-difference-between-wireframe-prototype</w:t>
        </w:r>
      </w:hyperlink>
      <w:r>
        <w:t xml:space="preserve"> </w:t>
      </w:r>
      <w:r>
        <w:t xml:space="preserve">(Platzhalter, David könnte was per OmniGraffle bauen)</w:t>
      </w:r>
    </w:p>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 Abbildung 5).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7"/>
    <w:bookmarkStart w:id="150"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48">
        <w:r>
          <w:rPr>
            <w:rStyle w:val="Hyperlink"/>
          </w:rPr>
          <w:t xml:space="preserve">Figma</w:t>
        </w:r>
      </w:hyperlink>
      <w:r>
        <w:t xml:space="preserve"> </w:t>
      </w:r>
      <w:r>
        <w:t xml:space="preserve">oder</w:t>
      </w:r>
      <w:r>
        <w:t xml:space="preserve"> </w:t>
      </w:r>
      <w:hyperlink r:id="rId149">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0"/>
    <w:bookmarkEnd w:id="151"/>
    <w:bookmarkStart w:id="160"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2">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3">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(siehe Abbildung unten).</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r>
        <w:drawing>
          <wp:inline>
            <wp:extent cx="3048000" cy="2286000"/>
            <wp:effectExtent b="0" l="0" r="0" t="0"/>
            <wp:docPr descr="" title="" id="154" name="Picture"/>
            <a:graphic>
              <a:graphicData uri="http://schemas.openxmlformats.org/drawingml/2006/picture">
                <pic:pic>
                  <pic:nvPicPr>
                    <pic:cNvPr descr="./media/missing.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6</w:t>
      </w:r>
      <w:r>
        <w:t xml:space="preserve"> </w:t>
      </w:r>
      <w:r>
        <w:t xml:space="preserve">Bildquelle: David, um 90° drehen</w:t>
      </w:r>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7"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56"/>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57"/>
    <w:bookmarkStart w:id="158"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58"/>
    <w:bookmarkStart w:id="159"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59"/>
    <w:bookmarkEnd w:id="160"/>
    <w:bookmarkEnd w:id="161"/>
    <w:bookmarkEnd w:id="162"/>
    <w:bookmarkStart w:id="287"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3" name="Picture"/>
                  <a:graphic>
                    <a:graphicData uri="http://schemas.openxmlformats.org/drawingml/2006/picture">
                      <pic:pic>
                        <pic:nvPicPr>
                          <pic:cNvPr descr="/opt/quarto/share/formats/docx/note.png" id="1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199" w:name="übersicht"/>
    <w:p>
      <w:pPr>
        <w:pStyle w:val="Heading2"/>
      </w:pPr>
      <w:r>
        <w:t xml:space="preserve">Übersicht</w:t>
      </w:r>
    </w:p>
    <w:bookmarkStart w:id="173"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5" name="Picture"/>
                  <a:graphic>
                    <a:graphicData uri="http://schemas.openxmlformats.org/drawingml/2006/picture">
                      <pic:pic>
                        <pic:nvPicPr>
                          <pic:cNvPr descr="/opt/quarto/share/formats/docx/note.png" id="166"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67"/>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tip.png" id="16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1" name="Picture"/>
                  <a:graphic>
                    <a:graphicData uri="http://schemas.openxmlformats.org/drawingml/2006/picture">
                      <pic:pic>
                        <pic:nvPicPr>
                          <pic:cNvPr descr="./media/bms-timeline.png" id="172" name="Picture"/>
                          <pic:cNvPicPr>
                            <a:picLocks noChangeArrowheads="1" noChangeAspect="1"/>
                          </pic:cNvPicPr>
                        </pic:nvPicPr>
                        <pic:blipFill>
                          <a:blip r:embed="rId170"/>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20"/>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20"/>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20"/>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20"/>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20"/>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20"/>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3"/>
    <w:bookmarkStart w:id="180"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1"/>
        </w:numPr>
      </w:pPr>
      <w:r>
        <w:t xml:space="preserve">Erwerbung</w:t>
      </w:r>
    </w:p>
    <w:p>
      <w:pPr>
        <w:numPr>
          <w:ilvl w:val="0"/>
          <w:numId w:val="1021"/>
        </w:numPr>
      </w:pPr>
      <w:r>
        <w:t xml:space="preserve">Katalogisierung / Erschließung</w:t>
      </w:r>
    </w:p>
    <w:p>
      <w:pPr>
        <w:numPr>
          <w:ilvl w:val="0"/>
          <w:numId w:val="1021"/>
        </w:numPr>
      </w:pPr>
      <w:r>
        <w:t xml:space="preserve">Ausleihe</w:t>
      </w:r>
    </w:p>
    <w:p>
      <w:pPr>
        <w:numPr>
          <w:ilvl w:val="0"/>
          <w:numId w:val="1021"/>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5"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22"/>
        </w:numPr>
      </w:pPr>
      <w:r>
        <w:t xml:space="preserve">Bestellungen</w:t>
      </w:r>
    </w:p>
    <w:p>
      <w:pPr>
        <w:numPr>
          <w:ilvl w:val="0"/>
          <w:numId w:val="1022"/>
        </w:numPr>
      </w:pPr>
      <w:r>
        <w:t xml:space="preserve">Budgetverwaltung</w:t>
      </w:r>
    </w:p>
    <w:p>
      <w:pPr>
        <w:numPr>
          <w:ilvl w:val="0"/>
          <w:numId w:val="1022"/>
        </w:numPr>
      </w:pPr>
      <w:r>
        <w:t xml:space="preserve">Rechnungsverwaltung</w:t>
      </w:r>
    </w:p>
    <w:p>
      <w:pPr>
        <w:numPr>
          <w:ilvl w:val="0"/>
          <w:numId w:val="1022"/>
        </w:numPr>
      </w:pPr>
      <w:r>
        <w:t xml:space="preserve">Lieferantenverwaltung</w:t>
      </w:r>
    </w:p>
    <w:p>
      <w:pPr>
        <w:numPr>
          <w:ilvl w:val="0"/>
          <w:numId w:val="1022"/>
        </w:numPr>
      </w:pPr>
      <w:r>
        <w:t xml:space="preserve">Zeitschriften- und Fortsetzungsabonnements</w:t>
      </w:r>
    </w:p>
    <w:p>
      <w:pPr>
        <w:numPr>
          <w:ilvl w:val="0"/>
          <w:numId w:val="1022"/>
        </w:numPr>
      </w:pPr>
      <w:r>
        <w:t xml:space="preserve">Unterstützung</w:t>
      </w:r>
      <w:r>
        <w:t xml:space="preserve"> </w:t>
      </w:r>
      <w:hyperlink r:id="rId174">
        <w:r>
          <w:rPr>
            <w:rStyle w:val="Hyperlink"/>
          </w:rPr>
          <w:t xml:space="preserve">EDIFACT</w:t>
        </w:r>
      </w:hyperlink>
      <w:r>
        <w:t xml:space="preserve">-Standards</w:t>
      </w:r>
    </w:p>
    <w:p>
      <w:pPr>
        <w:numPr>
          <w:ilvl w:val="0"/>
          <w:numId w:val="1022"/>
        </w:numPr>
      </w:pPr>
      <w:r>
        <w:t xml:space="preserve">Buchbinder</w:t>
      </w:r>
    </w:p>
    <w:p>
      <w:pPr>
        <w:pStyle w:val="FirstParagraph"/>
      </w:pPr>
      <w:r>
        <w:t xml:space="preserve">[siehe auch Erwerbung in der Prozessabbildung]</w:t>
      </w:r>
    </w:p>
    <w:bookmarkEnd w:id="175"/>
    <w:bookmarkStart w:id="176"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3"/>
        </w:numPr>
      </w:pPr>
      <w:r>
        <w:t xml:space="preserve">Übernahme von Fremddaten</w:t>
      </w:r>
    </w:p>
    <w:p>
      <w:pPr>
        <w:numPr>
          <w:ilvl w:val="0"/>
          <w:numId w:val="1023"/>
        </w:numPr>
      </w:pPr>
      <w:r>
        <w:t xml:space="preserve">Anbindung an Verbünde</w:t>
      </w:r>
    </w:p>
    <w:p>
      <w:pPr>
        <w:numPr>
          <w:ilvl w:val="0"/>
          <w:numId w:val="1023"/>
        </w:numPr>
      </w:pPr>
      <w:r>
        <w:t xml:space="preserve">Integration digitalisierter Medien</w:t>
      </w:r>
    </w:p>
    <w:p>
      <w:pPr>
        <w:pStyle w:val="FirstParagraph"/>
      </w:pPr>
      <w:r>
        <w:t xml:space="preserve">[siehe auch Katalogisierung in der Prozessabbildung]</w:t>
      </w:r>
    </w:p>
    <w:bookmarkEnd w:id="176"/>
    <w:bookmarkStart w:id="177"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4"/>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4"/>
        </w:numPr>
      </w:pPr>
      <w:r>
        <w:t xml:space="preserve">Ausleihfristen</w:t>
      </w:r>
    </w:p>
    <w:p>
      <w:pPr>
        <w:numPr>
          <w:ilvl w:val="0"/>
          <w:numId w:val="1024"/>
        </w:numPr>
      </w:pPr>
      <w:r>
        <w:t xml:space="preserve">Verwaltung von Standorten</w:t>
      </w:r>
    </w:p>
    <w:p>
      <w:pPr>
        <w:numPr>
          <w:ilvl w:val="0"/>
          <w:numId w:val="1024"/>
        </w:numPr>
      </w:pPr>
      <w:r>
        <w:t xml:space="preserve">Versand von Benachrichtigungen</w:t>
      </w:r>
    </w:p>
    <w:p>
      <w:pPr>
        <w:numPr>
          <w:ilvl w:val="0"/>
          <w:numId w:val="1024"/>
        </w:numPr>
      </w:pPr>
      <w:r>
        <w:t xml:space="preserve">Anbindung an Selbstverbuchungslösungen</w:t>
      </w:r>
    </w:p>
    <w:p>
      <w:pPr>
        <w:numPr>
          <w:ilvl w:val="0"/>
          <w:numId w:val="1024"/>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77"/>
    <w:bookmarkStart w:id="179"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5"/>
        </w:numPr>
      </w:pPr>
      <w:r>
        <w:t xml:space="preserve">Katalog (auch OPAC genannt)</w:t>
      </w:r>
    </w:p>
    <w:p>
      <w:pPr>
        <w:numPr>
          <w:ilvl w:val="0"/>
          <w:numId w:val="1025"/>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78"/>
      </w:r>
      <w:r>
        <w:t xml:space="preserve">:</w:t>
      </w:r>
    </w:p>
    <w:p>
      <w:pPr>
        <w:numPr>
          <w:ilvl w:val="0"/>
          <w:numId w:val="1026"/>
        </w:numPr>
      </w:pPr>
      <w:r>
        <w:t xml:space="preserve">Angebot als Software as a Service (</w:t>
      </w:r>
      <w:hyperlink w:anchor="cloud">
        <w:r>
          <w:rPr>
            <w:rStyle w:val="Hyperlink"/>
          </w:rPr>
          <w:t xml:space="preserve">SaaS</w:t>
        </w:r>
      </w:hyperlink>
      <w:r>
        <w:t xml:space="preserve">)</w:t>
      </w:r>
    </w:p>
    <w:p>
      <w:pPr>
        <w:numPr>
          <w:ilvl w:val="0"/>
          <w:numId w:val="1026"/>
        </w:numPr>
      </w:pPr>
      <w:r>
        <w:t xml:space="preserve">Mandantenfähigkeit</w:t>
      </w:r>
    </w:p>
    <w:p>
      <w:pPr>
        <w:numPr>
          <w:ilvl w:val="0"/>
          <w:numId w:val="1026"/>
        </w:numPr>
      </w:pPr>
      <w:r>
        <w:t xml:space="preserve">Interoperabilität durch offene, standardisierte und dokumentierte</w:t>
      </w:r>
      <w:r>
        <w:t xml:space="preserve"> </w:t>
      </w:r>
      <w:r>
        <w:t xml:space="preserve">Schnittstellen</w:t>
      </w:r>
    </w:p>
    <w:p>
      <w:pPr>
        <w:numPr>
          <w:ilvl w:val="0"/>
          <w:numId w:val="1026"/>
        </w:numPr>
      </w:pPr>
      <w:r>
        <w:t xml:space="preserve">Verfügbarkeit von Datenbanken bzw. Knowledge Bases für</w:t>
      </w:r>
      <w:r>
        <w:t xml:space="preserve"> </w:t>
      </w:r>
      <w:r>
        <w:t xml:space="preserve">bibliografische Daten und Lizenzinformationen</w:t>
      </w:r>
    </w:p>
    <w:p>
      <w:pPr>
        <w:numPr>
          <w:ilvl w:val="0"/>
          <w:numId w:val="1026"/>
        </w:numPr>
      </w:pPr>
      <w:r>
        <w:t xml:space="preserve">oftmals kein fest integrierter Katalog, sondern Schnittstellen zu</w:t>
      </w:r>
      <w:r>
        <w:t xml:space="preserve"> </w:t>
      </w:r>
      <w:r>
        <w:t xml:space="preserve">Discovery-Systemen</w:t>
      </w:r>
    </w:p>
    <w:p>
      <w:pPr>
        <w:numPr>
          <w:ilvl w:val="0"/>
          <w:numId w:val="1026"/>
        </w:numPr>
      </w:pPr>
      <w:r>
        <w:t xml:space="preserve">Statistik-Werkzeuge</w:t>
      </w:r>
    </w:p>
    <w:p>
      <w:pPr>
        <w:numPr>
          <w:ilvl w:val="0"/>
          <w:numId w:val="1026"/>
        </w:numPr>
      </w:pPr>
      <w:r>
        <w:t xml:space="preserve">Erzeugung von Semesterapparaten</w:t>
      </w:r>
    </w:p>
    <w:p>
      <w:pPr>
        <w:numPr>
          <w:ilvl w:val="0"/>
          <w:numId w:val="1026"/>
        </w:numPr>
      </w:pPr>
      <w:r>
        <w:t xml:space="preserve">Anlegen von Favoriten-Listen</w:t>
      </w:r>
    </w:p>
    <w:p>
      <w:pPr>
        <w:numPr>
          <w:ilvl w:val="0"/>
          <w:numId w:val="1026"/>
        </w:numPr>
      </w:pPr>
      <w:r>
        <w:t xml:space="preserve">Anzeige von Buchcovern</w:t>
      </w:r>
    </w:p>
    <w:bookmarkEnd w:id="179"/>
    <w:bookmarkEnd w:id="180"/>
    <w:bookmarkStart w:id="183" w:name="aktuelle-sw-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7"/>
        </w:numPr>
      </w:pPr>
      <w:r>
        <w:t xml:space="preserve">PICA LBS</w:t>
      </w:r>
    </w:p>
    <w:p>
      <w:pPr>
        <w:numPr>
          <w:ilvl w:val="0"/>
          <w:numId w:val="1027"/>
        </w:numPr>
      </w:pPr>
      <w:r>
        <w:t xml:space="preserve">Sunrise</w:t>
      </w:r>
    </w:p>
    <w:p>
      <w:pPr>
        <w:numPr>
          <w:ilvl w:val="0"/>
          <w:numId w:val="1027"/>
        </w:numPr>
      </w:pPr>
      <w:r>
        <w:t xml:space="preserve">aDIS/BMS</w:t>
      </w:r>
    </w:p>
    <w:p>
      <w:pPr>
        <w:numPr>
          <w:ilvl w:val="0"/>
          <w:numId w:val="1027"/>
        </w:numPr>
      </w:pPr>
      <w:r>
        <w:t xml:space="preserve">allegro und allegro-c</w:t>
      </w:r>
    </w:p>
    <w:p>
      <w:pPr>
        <w:numPr>
          <w:ilvl w:val="0"/>
          <w:numId w:val="1027"/>
        </w:numPr>
      </w:pPr>
      <w:r>
        <w:t xml:space="preserve">Libero</w:t>
      </w:r>
    </w:p>
    <w:p>
      <w:pPr>
        <w:numPr>
          <w:ilvl w:val="0"/>
          <w:numId w:val="1027"/>
        </w:numPr>
      </w:pPr>
      <w:r>
        <w:t xml:space="preserve">Bibliomondo</w:t>
      </w:r>
    </w:p>
    <w:p>
      <w:pPr>
        <w:numPr>
          <w:ilvl w:val="0"/>
          <w:numId w:val="1027"/>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1">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2">
        <w:r>
          <w:rPr>
            <w:rStyle w:val="Hyperlink"/>
          </w:rPr>
          <w:t xml:space="preserve">https://w.wiki/574K</w:t>
        </w:r>
      </w:hyperlink>
      <w:r>
        <w:t xml:space="preserve"> </w:t>
      </w:r>
      <w:r>
        <w:t xml:space="preserve">abgefragt werden.</w:t>
      </w:r>
    </w:p>
    <w:bookmarkEnd w:id="183"/>
    <w:bookmarkStart w:id="191"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8"/>
        </w:numPr>
        <w:pStyle w:val="Compact"/>
      </w:pPr>
      <w:r>
        <w:t xml:space="preserve">Listen in einer Tabellenkalkulation (Excel, LibreOffice, …)</w:t>
      </w:r>
    </w:p>
    <w:p>
      <w:pPr>
        <w:pStyle w:val="FirstParagraph"/>
      </w:pPr>
      <w:r>
        <w:t xml:space="preserve">Erfassung und Web-Präsentation von Medien:</w:t>
      </w:r>
    </w:p>
    <w:p>
      <w:pPr>
        <w:numPr>
          <w:ilvl w:val="0"/>
          <w:numId w:val="1029"/>
        </w:numPr>
      </w:pPr>
      <w:hyperlink r:id="rId184">
        <w:r>
          <w:rPr>
            <w:rStyle w:val="Hyperlink"/>
          </w:rPr>
          <w:t xml:space="preserve">Library Thing for Libraries</w:t>
        </w:r>
      </w:hyperlink>
    </w:p>
    <w:p>
      <w:pPr>
        <w:numPr>
          <w:ilvl w:val="0"/>
          <w:numId w:val="1029"/>
        </w:numPr>
      </w:pPr>
      <w:hyperlink r:id="rId185">
        <w:r>
          <w:rPr>
            <w:rStyle w:val="Hyperlink"/>
          </w:rPr>
          <w:t xml:space="preserve">Zotero Groups</w:t>
        </w:r>
      </w:hyperlink>
    </w:p>
    <w:p>
      <w:pPr>
        <w:numPr>
          <w:ilvl w:val="0"/>
          <w:numId w:val="1029"/>
        </w:numPr>
      </w:pPr>
      <w:r>
        <w:t xml:space="preserve">Stand-Alone-Lösungen für Electronic Resource Management wie</w:t>
      </w:r>
      <w:r>
        <w:t xml:space="preserve"> </w:t>
      </w:r>
      <w:hyperlink r:id="rId186">
        <w:r>
          <w:rPr>
            <w:rStyle w:val="Hyperlink"/>
          </w:rPr>
          <w:t xml:space="preserve">Coral</w:t>
        </w:r>
      </w:hyperlink>
    </w:p>
    <w:p>
      <w:pPr>
        <w:pStyle w:val="FirstParagraph"/>
      </w:pPr>
      <w:r>
        <w:t xml:space="preserve">Ausleihe</w:t>
      </w:r>
    </w:p>
    <w:p>
      <w:pPr>
        <w:numPr>
          <w:ilvl w:val="0"/>
          <w:numId w:val="1030"/>
        </w:numPr>
        <w:pStyle w:val="Compact"/>
      </w:pPr>
      <w:r>
        <w:t xml:space="preserve">Plugins für Wordpress wie</w:t>
      </w:r>
      <w:r>
        <w:t xml:space="preserve"> </w:t>
      </w:r>
      <w:hyperlink r:id="rId187">
        <w:r>
          <w:rPr>
            <w:rStyle w:val="Hyperlink"/>
          </w:rPr>
          <w:t xml:space="preserve">WebLibrarian</w:t>
        </w:r>
      </w:hyperlink>
    </w:p>
    <w:p>
      <w:pPr>
        <w:pStyle w:val="FirstParagraph"/>
      </w:pPr>
      <w:r>
        <w:t xml:space="preserve">Erwerbung</w:t>
      </w:r>
    </w:p>
    <w:p>
      <w:pPr>
        <w:numPr>
          <w:ilvl w:val="0"/>
          <w:numId w:val="1031"/>
        </w:numPr>
        <w:pStyle w:val="Compact"/>
      </w:pPr>
      <w:r>
        <w:t xml:space="preserve">Finanzbuchhaltungssysteme wie SAP,</w:t>
      </w:r>
      <w:r>
        <w:t xml:space="preserve"> </w:t>
      </w:r>
      <w:hyperlink r:id="rId188">
        <w:r>
          <w:rPr>
            <w:rStyle w:val="Hyperlink"/>
          </w:rPr>
          <w:t xml:space="preserve">HIS-Hochschul-ERP</w:t>
        </w:r>
      </w:hyperlink>
    </w:p>
    <w:p>
      <w:pPr>
        <w:pStyle w:val="FirstParagraph"/>
      </w:pPr>
      <w:r>
        <w:t xml:space="preserve">Nutzerdatenverwaltung</w:t>
      </w:r>
    </w:p>
    <w:p>
      <w:pPr>
        <w:numPr>
          <w:ilvl w:val="0"/>
          <w:numId w:val="1032"/>
        </w:numPr>
        <w:pStyle w:val="Compact"/>
      </w:pPr>
      <w:r>
        <w:t xml:space="preserve">IDM-Systeme</w:t>
      </w:r>
    </w:p>
    <w:p>
      <w:pPr>
        <w:pStyle w:val="FirstParagraph"/>
      </w:pPr>
      <w:r>
        <w:t xml:space="preserve">Bei Schulbibliotheken ist die Software</w:t>
      </w:r>
      <w:r>
        <w:t xml:space="preserve"> </w:t>
      </w:r>
      <w:hyperlink r:id="rId189">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0">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1"/>
    <w:bookmarkStart w:id="194"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3"/>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3"/>
        </w:numPr>
      </w:pPr>
      <w:r>
        <w:t xml:space="preserve">Dokumentenserver, Content Management Systeme und andere Repositorien</w:t>
      </w:r>
    </w:p>
    <w:p>
      <w:pPr>
        <w:numPr>
          <w:ilvl w:val="0"/>
          <w:numId w:val="1033"/>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4"/>
        </w:numPr>
      </w:pPr>
      <w:r>
        <w:t xml:space="preserve">Haushaltssysteme wie SAP, HIS Haushalt-ERP</w:t>
      </w:r>
    </w:p>
    <w:p>
      <w:pPr>
        <w:numPr>
          <w:ilvl w:val="0"/>
          <w:numId w:val="1034"/>
        </w:numPr>
      </w:pPr>
      <w:hyperlink w:anchor="identity-management">
        <w:r>
          <w:rPr>
            <w:rStyle w:val="Hyperlink"/>
          </w:rPr>
          <w:t xml:space="preserve">Identitätsmanagementsysteme</w:t>
        </w:r>
      </w:hyperlink>
      <w:r>
        <w:t xml:space="preserve"> </w:t>
      </w:r>
      <w:r>
        <w:t xml:space="preserve">(Account-Verwaltung)</w:t>
      </w:r>
    </w:p>
    <w:p>
      <w:pPr>
        <w:numPr>
          <w:ilvl w:val="0"/>
          <w:numId w:val="1034"/>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5"/>
        </w:numPr>
      </w:pPr>
      <w:r>
        <w:t xml:space="preserve">der</w:t>
      </w:r>
      <w:r>
        <w:t xml:space="preserve"> </w:t>
      </w:r>
      <w:hyperlink w:anchor="verbundkataloge">
        <w:r>
          <w:rPr>
            <w:rStyle w:val="Hyperlink"/>
          </w:rPr>
          <w:t xml:space="preserve">Verbundkatalog</w:t>
        </w:r>
      </w:hyperlink>
    </w:p>
    <w:p>
      <w:pPr>
        <w:numPr>
          <w:ilvl w:val="0"/>
          <w:numId w:val="1035"/>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5"/>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6"/>
        </w:numPr>
      </w:pPr>
      <w:r>
        <w:t xml:space="preserve">Fernleihe</w:t>
      </w:r>
    </w:p>
    <w:p>
      <w:pPr>
        <w:numPr>
          <w:ilvl w:val="0"/>
          <w:numId w:val="1036"/>
        </w:numPr>
      </w:pPr>
      <w:r>
        <w:t xml:space="preserve">Dokumentenlieferdienste (z.B.:</w:t>
      </w:r>
      <w:r>
        <w:t xml:space="preserve"> </w:t>
      </w:r>
      <w:hyperlink r:id="rId192">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193"/>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4"/>
    <w:bookmarkStart w:id="195"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95"/>
    <w:bookmarkStart w:id="196"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7"/>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7"/>
        </w:numPr>
      </w:pPr>
      <w:r>
        <w:t xml:space="preserve">die GoKB als kooperativ gepflegte Knowledge Base für elektronische Ressourcen</w:t>
      </w:r>
    </w:p>
    <w:bookmarkEnd w:id="196"/>
    <w:bookmarkStart w:id="198"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8"/>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8"/>
        </w:numPr>
      </w:pPr>
      <w:r>
        <w:t xml:space="preserve">Deutsche Bibliotheksstatistik - Bibliotheken können sich</w:t>
      </w:r>
      <w:r>
        <w:t xml:space="preserve"> </w:t>
      </w:r>
      <w:r>
        <w:t xml:space="preserve">entscheiden, Daten für die</w:t>
      </w:r>
      <w:r>
        <w:t xml:space="preserve"> </w:t>
      </w:r>
      <w:hyperlink r:id="rId197">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8"/>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198"/>
    <w:bookmarkEnd w:id="199"/>
    <w:bookmarkStart w:id="201"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9"/>
        </w:numPr>
      </w:pPr>
      <w:r>
        <w:t xml:space="preserve">Bücher können in einer anderen Zweigstellen ausgeliehen werden.</w:t>
      </w:r>
    </w:p>
    <w:p>
      <w:pPr>
        <w:numPr>
          <w:ilvl w:val="0"/>
          <w:numId w:val="1039"/>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0"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40"/>
        </w:numPr>
      </w:pPr>
      <w:r>
        <w:t xml:space="preserve">Gruppenbildung Universitätsbibliothek:</w:t>
      </w:r>
    </w:p>
    <w:p>
      <w:pPr>
        <w:numPr>
          <w:ilvl w:val="1"/>
          <w:numId w:val="1041"/>
        </w:numPr>
      </w:pPr>
      <w:r>
        <w:t xml:space="preserve">intern: Studierende, Lehrende, weitere Universitätsangehörige</w:t>
      </w:r>
    </w:p>
    <w:p>
      <w:pPr>
        <w:numPr>
          <w:ilvl w:val="1"/>
          <w:numId w:val="1041"/>
        </w:numPr>
      </w:pPr>
      <w:r>
        <w:t xml:space="preserve">extern: externe Wissenschaftler*innen, interessierte Öffentlichkeit</w:t>
      </w:r>
    </w:p>
    <w:p>
      <w:pPr>
        <w:numPr>
          <w:ilvl w:val="0"/>
          <w:numId w:val="1040"/>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2"/>
        </w:numPr>
      </w:pPr>
      <w:r>
        <w:t xml:space="preserve">Präsenzbestände vs. ausleihbare Medien,</w:t>
      </w:r>
    </w:p>
    <w:p>
      <w:pPr>
        <w:numPr>
          <w:ilvl w:val="0"/>
          <w:numId w:val="1042"/>
        </w:numPr>
      </w:pPr>
      <w:r>
        <w:t xml:space="preserve">besonders wertvolle Medien oder</w:t>
      </w:r>
    </w:p>
    <w:p>
      <w:pPr>
        <w:numPr>
          <w:ilvl w:val="0"/>
          <w:numId w:val="1042"/>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0"/>
    <w:bookmarkEnd w:id="201"/>
    <w:bookmarkStart w:id="210"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3"/>
        </w:numPr>
      </w:pPr>
      <w:r>
        <w:rPr>
          <w:bCs/>
          <w:b/>
        </w:rPr>
        <w:t xml:space="preserve">Bibliographische Metadaten</w:t>
      </w:r>
      <w:r>
        <w:t xml:space="preserve"> </w:t>
      </w:r>
      <w:r>
        <w:t xml:space="preserve">zur Beschreibung von Ressourcen</w:t>
      </w:r>
    </w:p>
    <w:p>
      <w:pPr>
        <w:numPr>
          <w:ilvl w:val="0"/>
          <w:numId w:val="1043"/>
        </w:numPr>
      </w:pPr>
      <w:r>
        <w:rPr>
          <w:bCs/>
          <w:b/>
        </w:rPr>
        <w:t xml:space="preserve">Digitale Inhalte</w:t>
      </w:r>
      <w:r>
        <w:t xml:space="preserve"> </w:t>
      </w:r>
      <w:r>
        <w:t xml:space="preserve">wie Volltexte, Digitalisate und andere digitale Publikationen</w:t>
      </w:r>
    </w:p>
    <w:p>
      <w:pPr>
        <w:numPr>
          <w:ilvl w:val="0"/>
          <w:numId w:val="1043"/>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2"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2"/>
    <w:bookmarkStart w:id="203"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3"/>
    <w:bookmarkStart w:id="206"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4">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05">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06"/>
    <w:bookmarkStart w:id="208"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07">
        <w:r>
          <w:rPr>
            <w:rStyle w:val="Hyperlink"/>
          </w:rPr>
          <w:t xml:space="preserve">https://format.gbv.de</w:t>
        </w:r>
      </w:hyperlink>
      <w:r>
        <w:t xml:space="preserve">.</w:t>
      </w:r>
    </w:p>
    <w:bookmarkEnd w:id="208"/>
    <w:bookmarkStart w:id="209"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4"/>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4"/>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4"/>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09"/>
    <w:bookmarkEnd w:id="210"/>
    <w:bookmarkStart w:id="222"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1" name="Picture"/>
                  <a:graphic>
                    <a:graphicData uri="http://schemas.openxmlformats.org/drawingml/2006/picture">
                      <pic:pic>
                        <pic:nvPicPr>
                          <pic:cNvPr descr="/opt/quarto/share/formats/docx/note.png" id="212"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3">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5"/>
        </w:numPr>
      </w:pPr>
      <w:r>
        <w:t xml:space="preserve">Das Altsysteme ist technisch überholt oder wird nicht mehr gewartet.</w:t>
      </w:r>
    </w:p>
    <w:p>
      <w:pPr>
        <w:numPr>
          <w:ilvl w:val="0"/>
          <w:numId w:val="1045"/>
        </w:numPr>
      </w:pPr>
      <w:r>
        <w:t xml:space="preserve">Es fehlen Schnittstellen für die Integration des BMS in die lokale</w:t>
      </w:r>
      <w:r>
        <w:t xml:space="preserve"> </w:t>
      </w:r>
      <w:r>
        <w:t xml:space="preserve">Informationsinfrastruktur.</w:t>
      </w:r>
    </w:p>
    <w:p>
      <w:pPr>
        <w:numPr>
          <w:ilvl w:val="0"/>
          <w:numId w:val="1045"/>
        </w:numPr>
      </w:pPr>
      <w:r>
        <w:t xml:space="preserve">Die Kosten für den laufenden Betrieb sind zu hoch und sollen mit</w:t>
      </w:r>
      <w:r>
        <w:t xml:space="preserve"> </w:t>
      </w:r>
      <w:r>
        <w:t xml:space="preserve">einem anderen System gesenkt werden.</w:t>
      </w:r>
    </w:p>
    <w:p>
      <w:pPr>
        <w:numPr>
          <w:ilvl w:val="0"/>
          <w:numId w:val="1045"/>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4"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6"/>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6"/>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6"/>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6"/>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6"/>
        </w:numPr>
      </w:pPr>
      <w:r>
        <w:rPr>
          <w:bCs/>
          <w:b/>
        </w:rPr>
        <w:t xml:space="preserve">Aufwandsabschätzung</w:t>
      </w:r>
      <w:r>
        <w:t xml:space="preserve"> </w:t>
      </w:r>
      <w:r>
        <w:t xml:space="preserve">von Migration, Einrichtung und Schulung</w:t>
      </w:r>
    </w:p>
    <w:p>
      <w:pPr>
        <w:numPr>
          <w:ilvl w:val="0"/>
          <w:numId w:val="1046"/>
        </w:numPr>
      </w:pPr>
      <w:r>
        <w:rPr>
          <w:bCs/>
          <w:b/>
        </w:rPr>
        <w:t xml:space="preserve">Ausschreibung</w:t>
      </w:r>
      <w:r>
        <w:t xml:space="preserve">, falls erforderlich</w:t>
      </w:r>
    </w:p>
    <w:p>
      <w:pPr>
        <w:numPr>
          <w:ilvl w:val="0"/>
          <w:numId w:val="1046"/>
        </w:numPr>
      </w:pPr>
      <w:r>
        <w:rPr>
          <w:bCs/>
          <w:b/>
        </w:rPr>
        <w:t xml:space="preserve">Auswahlentscheidung</w:t>
      </w:r>
    </w:p>
    <w:bookmarkEnd w:id="214"/>
    <w:bookmarkStart w:id="220"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18" w:name="fig-anonymous-4"/>
          <w:p>
            <w:pPr>
              <w:pStyle w:val="Figure"/>
              <w:jc w:val="center"/>
            </w:pPr>
            <w:r>
              <w:drawing>
                <wp:inline>
                  <wp:extent cx="5334000" cy="4227332"/>
                  <wp:effectExtent b="0" l="0" r="0" t="0"/>
                  <wp:docPr descr="" title="" id="216" name="Picture"/>
                  <a:graphic>
                    <a:graphicData uri="http://schemas.openxmlformats.org/drawingml/2006/picture">
                      <pic:pic>
                        <pic:nvPicPr>
                          <pic:cNvPr descr="./media/matrix.png" id="217" name="Picture"/>
                          <pic:cNvPicPr>
                            <a:picLocks noChangeArrowheads="1" noChangeAspect="1"/>
                          </pic:cNvPicPr>
                        </pic:nvPicPr>
                        <pic:blipFill>
                          <a:blip r:embed="rId215"/>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Beispiel für eine Matrix zur Einordnung von Funktionalitäten</w:t>
            </w:r>
          </w:p>
          <w:bookmarkEnd w:id="218"/>
        </w:tc>
      </w:tr>
    </w:tbl>
    <w:p>
      <w:pPr>
        <w:pStyle w:val="BodyText"/>
      </w:pPr>
      <w:r>
        <w:rPr>
          <w:iCs/>
          <w:i/>
        </w:rPr>
        <w:t xml:space="preserve">Abbildung 1</w:t>
      </w:r>
      <w:r>
        <w:t xml:space="preserve"> </w:t>
      </w:r>
      <w:r>
        <w:t xml:space="preserve">Beispiel für eine Matrix zur Einordnung von Funktionalitäten</w:t>
      </w:r>
    </w:p>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19">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0"/>
    <w:bookmarkStart w:id="221"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7"/>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7"/>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7"/>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1"/>
    <w:bookmarkEnd w:id="222"/>
    <w:bookmarkStart w:id="262"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27" w:name="fig-anonymous-1"/>
          <w:p>
            <w:pPr>
              <w:jc w:val="center"/>
            </w:pPr>
            <w:hyperlink r:id="rId226">
              <w:r>
                <w:drawing>
                  <wp:inline>
                    <wp:extent cx="3810000" cy="2540000"/>
                    <wp:effectExtent b="0" l="0" r="0" t="0"/>
                    <wp:docPr descr="" title="Quelle: Stkl (CC-BY-SA 3.0)" id="224" name="Picture"/>
                    <a:graphic>
                      <a:graphicData uri="http://schemas.openxmlformats.org/drawingml/2006/picture">
                        <pic:pic>
                          <pic:nvPicPr>
                            <pic:cNvPr descr="https://upload.wikimedia.org/wikipedia/commons/9/94/BPMN-1.svg" id="225" name="Picture"/>
                            <pic:cNvPicPr>
                              <a:picLocks noChangeArrowheads="1" noChangeAspect="1"/>
                            </pic:cNvPicPr>
                          </pic:nvPicPr>
                          <pic:blipFill>
                            <a:blip r:embed="rId223"/>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27"/>
        </w:tc>
      </w:tr>
    </w:tbl>
    <w:p>
      <w:pPr>
        <w:pStyle w:val="BodyText"/>
      </w:pPr>
      <w:r>
        <w:rPr>
          <w:iCs/>
          <w:i/>
        </w:rPr>
        <w:t xml:space="preserve">Abbildung 2</w:t>
      </w:r>
      <w:r>
        <w:t xml:space="preserve"> </w:t>
      </w:r>
      <w:r>
        <w:t xml:space="preserve">Beispiel einer BPMN-Prozessabbildung</w:t>
      </w:r>
    </w:p>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28"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28"/>
    <w:bookmarkStart w:id="229"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8"/>
        </w:numPr>
      </w:pPr>
      <w:r>
        <w:t xml:space="preserve">Intuitive Benutzbarkeit</w:t>
      </w:r>
    </w:p>
    <w:p>
      <w:pPr>
        <w:numPr>
          <w:ilvl w:val="0"/>
          <w:numId w:val="1048"/>
        </w:numPr>
      </w:pPr>
      <w:r>
        <w:t xml:space="preserve">Barrierearme Gestaltung</w:t>
      </w:r>
    </w:p>
    <w:p>
      <w:pPr>
        <w:numPr>
          <w:ilvl w:val="0"/>
          <w:numId w:val="1048"/>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29"/>
    <w:bookmarkStart w:id="230"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9"/>
        </w:numPr>
      </w:pPr>
      <w:r>
        <w:t xml:space="preserve">Überprüfen von vorhandenen Beständen (Vorakzession)</w:t>
      </w:r>
    </w:p>
    <w:p>
      <w:pPr>
        <w:numPr>
          <w:ilvl w:val="0"/>
          <w:numId w:val="1049"/>
        </w:numPr>
      </w:pPr>
      <w:r>
        <w:t xml:space="preserve">Aufgabe von Bestellungen bei definierten Lieferanten auf</w:t>
      </w:r>
      <w:r>
        <w:t xml:space="preserve"> </w:t>
      </w:r>
      <w:r>
        <w:t xml:space="preserve">verschiedenen Wegen</w:t>
      </w:r>
    </w:p>
    <w:p>
      <w:pPr>
        <w:numPr>
          <w:ilvl w:val="0"/>
          <w:numId w:val="1049"/>
        </w:numPr>
      </w:pPr>
      <w:r>
        <w:t xml:space="preserve">Verwaltung von Lieferantendaten</w:t>
      </w:r>
    </w:p>
    <w:p>
      <w:pPr>
        <w:numPr>
          <w:ilvl w:val="0"/>
          <w:numId w:val="1049"/>
        </w:numPr>
      </w:pPr>
      <w:r>
        <w:t xml:space="preserve">Anlegen und Verwalten von Bestellungen von Zeitschriften und</w:t>
      </w:r>
      <w:r>
        <w:t xml:space="preserve"> </w:t>
      </w:r>
      <w:r>
        <w:t xml:space="preserve">Fortsetzungswerken</w:t>
      </w:r>
    </w:p>
    <w:p>
      <w:pPr>
        <w:numPr>
          <w:ilvl w:val="0"/>
          <w:numId w:val="1049"/>
        </w:numPr>
      </w:pPr>
      <w:r>
        <w:t xml:space="preserve">Überwachung von Bestellungen</w:t>
      </w:r>
    </w:p>
    <w:p>
      <w:pPr>
        <w:numPr>
          <w:ilvl w:val="0"/>
          <w:numId w:val="1049"/>
        </w:numPr>
      </w:pPr>
      <w:r>
        <w:t xml:space="preserve">Anlegen und Verwalten von Budgets</w:t>
      </w:r>
    </w:p>
    <w:p>
      <w:pPr>
        <w:numPr>
          <w:ilvl w:val="0"/>
          <w:numId w:val="1049"/>
        </w:numPr>
      </w:pPr>
      <w:r>
        <w:t xml:space="preserve">Akzessionierung von Medien</w:t>
      </w:r>
    </w:p>
    <w:p>
      <w:pPr>
        <w:numPr>
          <w:ilvl w:val="0"/>
          <w:numId w:val="1049"/>
        </w:numPr>
      </w:pPr>
      <w:r>
        <w:t xml:space="preserve">Rechnungsverwaltung inkl. Schnittstellen für haushalterische Systeme</w:t>
      </w:r>
    </w:p>
    <w:p>
      <w:pPr>
        <w:numPr>
          <w:ilvl w:val="0"/>
          <w:numId w:val="1049"/>
        </w:numPr>
      </w:pPr>
      <w:r>
        <w:t xml:space="preserve">Verwaltung von Bindeaufträgen</w:t>
      </w:r>
    </w:p>
    <w:p>
      <w:pPr>
        <w:numPr>
          <w:ilvl w:val="0"/>
          <w:numId w:val="1049"/>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0"/>
    <w:bookmarkStart w:id="231"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50"/>
        </w:numPr>
      </w:pPr>
      <w:r>
        <w:t xml:space="preserve">Erfassung von Lizenzinformationen nach unterschiedlichen</w:t>
      </w:r>
      <w:r>
        <w:t xml:space="preserve"> </w:t>
      </w:r>
      <w:r>
        <w:t xml:space="preserve">Erwerbungsmodellen wie Pakete, Allianz- oder Nationallizenzen</w:t>
      </w:r>
    </w:p>
    <w:p>
      <w:pPr>
        <w:numPr>
          <w:ilvl w:val="0"/>
          <w:numId w:val="1050"/>
        </w:numPr>
      </w:pPr>
      <w:r>
        <w:t xml:space="preserve">Zuordnung von digitalen Inhalten zu Paketen</w:t>
      </w:r>
    </w:p>
    <w:p>
      <w:pPr>
        <w:numPr>
          <w:ilvl w:val="0"/>
          <w:numId w:val="1050"/>
        </w:numPr>
      </w:pPr>
      <w:r>
        <w:t xml:space="preserve">Verwaltung von Paketen</w:t>
      </w:r>
    </w:p>
    <w:p>
      <w:pPr>
        <w:numPr>
          <w:ilvl w:val="0"/>
          <w:numId w:val="1050"/>
        </w:numPr>
      </w:pPr>
      <w:r>
        <w:t xml:space="preserve">Bezug von bibliografischen Daten von Aggregatoren und Verlagen</w:t>
      </w:r>
    </w:p>
    <w:p>
      <w:pPr>
        <w:numPr>
          <w:ilvl w:val="0"/>
          <w:numId w:val="1050"/>
        </w:numPr>
      </w:pPr>
      <w:r>
        <w:t xml:space="preserve">Unterstützung der direkten Verlinkung auf Volltexte aus Katalogen</w:t>
      </w:r>
      <w:r>
        <w:t xml:space="preserve"> </w:t>
      </w:r>
      <w:r>
        <w:t xml:space="preserve">und Discovery-Systemen</w:t>
      </w:r>
    </w:p>
    <w:p>
      <w:pPr>
        <w:numPr>
          <w:ilvl w:val="0"/>
          <w:numId w:val="1050"/>
        </w:numPr>
      </w:pPr>
      <w:r>
        <w:t xml:space="preserve">Auslieferung von aussagekräftigen Zugangsinformationen in Kataloge</w:t>
      </w:r>
      <w:r>
        <w:t xml:space="preserve"> </w:t>
      </w:r>
      <w:r>
        <w:t xml:space="preserve">und Discovery-Systeme</w:t>
      </w:r>
    </w:p>
    <w:p>
      <w:pPr>
        <w:numPr>
          <w:ilvl w:val="0"/>
          <w:numId w:val="1050"/>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1"/>
    <w:bookmarkStart w:id="232"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1"/>
        </w:numPr>
      </w:pPr>
      <w:r>
        <w:t xml:space="preserve">Übernahme von Katalogdaten aus Bibliotheksverbünden</w:t>
      </w:r>
    </w:p>
    <w:p>
      <w:pPr>
        <w:numPr>
          <w:ilvl w:val="0"/>
          <w:numId w:val="1051"/>
        </w:numPr>
      </w:pPr>
      <w:r>
        <w:t xml:space="preserve">Möglichkeit der Integration von Normdaten</w:t>
      </w:r>
    </w:p>
    <w:p>
      <w:pPr>
        <w:numPr>
          <w:ilvl w:val="0"/>
          <w:numId w:val="1051"/>
        </w:numPr>
      </w:pPr>
      <w:r>
        <w:t xml:space="preserve">Erfassung von lokalen Daten</w:t>
      </w:r>
    </w:p>
    <w:p>
      <w:pPr>
        <w:numPr>
          <w:ilvl w:val="0"/>
          <w:numId w:val="1051"/>
        </w:numPr>
      </w:pPr>
      <w:r>
        <w:t xml:space="preserve">Konfigurierbarkeit von Erfassungsmasken</w:t>
      </w:r>
    </w:p>
    <w:bookmarkEnd w:id="232"/>
    <w:bookmarkStart w:id="233"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2"/>
        </w:numPr>
      </w:pPr>
      <w:r>
        <w:t xml:space="preserve">Web-Interface nach aktuellen Standards bezüglich Barrierefreiheit,</w:t>
      </w:r>
      <w:r>
        <w:t xml:space="preserve"> </w:t>
      </w:r>
      <w:r>
        <w:t xml:space="preserve">Responsivität etc.</w:t>
      </w:r>
    </w:p>
    <w:p>
      <w:pPr>
        <w:numPr>
          <w:ilvl w:val="0"/>
          <w:numId w:val="1052"/>
        </w:numPr>
      </w:pPr>
      <w:r>
        <w:t xml:space="preserve">Angebot von Möglichkeiten der Suche nach bekannten Titeln</w:t>
      </w:r>
    </w:p>
    <w:p>
      <w:pPr>
        <w:numPr>
          <w:ilvl w:val="0"/>
          <w:numId w:val="1052"/>
        </w:numPr>
      </w:pPr>
      <w:r>
        <w:t xml:space="preserve">Angebot von Möglichkeiten der Suche nach Themen</w:t>
      </w:r>
    </w:p>
    <w:p>
      <w:pPr>
        <w:numPr>
          <w:ilvl w:val="0"/>
          <w:numId w:val="1052"/>
        </w:numPr>
      </w:pPr>
      <w:r>
        <w:t xml:space="preserve">Filterung von Trefferlisten nach formalen oder inhaltlichen</w:t>
      </w:r>
      <w:r>
        <w:t xml:space="preserve"> </w:t>
      </w:r>
      <w:r>
        <w:t xml:space="preserve">Kriterien bzw. Standorten</w:t>
      </w:r>
    </w:p>
    <w:p>
      <w:pPr>
        <w:numPr>
          <w:ilvl w:val="0"/>
          <w:numId w:val="1052"/>
        </w:numPr>
      </w:pPr>
      <w:r>
        <w:t xml:space="preserve">Anzeige von Verfügbarkeitsinformationen</w:t>
      </w:r>
    </w:p>
    <w:p>
      <w:pPr>
        <w:numPr>
          <w:ilvl w:val="0"/>
          <w:numId w:val="1052"/>
        </w:numPr>
      </w:pPr>
      <w:r>
        <w:t xml:space="preserve">Anzeige von Neuerwerbungslisten</w:t>
      </w:r>
    </w:p>
    <w:p>
      <w:pPr>
        <w:numPr>
          <w:ilvl w:val="0"/>
          <w:numId w:val="1052"/>
        </w:numPr>
      </w:pPr>
      <w:r>
        <w:t xml:space="preserve">Kontobezogene Funktionalitäten (Einsicht, Verlängerung, Vormerkung,</w:t>
      </w:r>
      <w:r>
        <w:t xml:space="preserve"> </w:t>
      </w:r>
      <w:r>
        <w:t xml:space="preserve">Bestellungen)</w:t>
      </w:r>
    </w:p>
    <w:p>
      <w:pPr>
        <w:numPr>
          <w:ilvl w:val="0"/>
          <w:numId w:val="1052"/>
        </w:numPr>
      </w:pPr>
      <w:r>
        <w:t xml:space="preserve">Anzeige von Neuigkeiten und wichtigen Links auf der Startseite des</w:t>
      </w:r>
      <w:r>
        <w:t xml:space="preserve"> </w:t>
      </w:r>
      <w:r>
        <w:t xml:space="preserve">Katalogs</w:t>
      </w:r>
    </w:p>
    <w:p>
      <w:pPr>
        <w:numPr>
          <w:ilvl w:val="0"/>
          <w:numId w:val="1052"/>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3"/>
        </w:numPr>
      </w:pPr>
      <w:r>
        <w:t xml:space="preserve">Klassischer Katalog (OPAC) als Bestandteil des BMS</w:t>
      </w:r>
    </w:p>
    <w:p>
      <w:pPr>
        <w:numPr>
          <w:ilvl w:val="0"/>
          <w:numId w:val="1053"/>
        </w:numPr>
      </w:pPr>
      <w:r>
        <w:t xml:space="preserve">Katalog als separates Modul (nicht Bestandteil des BMS), selbst</w:t>
      </w:r>
      <w:r>
        <w:t xml:space="preserve"> </w:t>
      </w:r>
      <w:r>
        <w:t xml:space="preserve">entwickelt, zugekauft oder als Open Source</w:t>
      </w:r>
    </w:p>
    <w:p>
      <w:pPr>
        <w:numPr>
          <w:ilvl w:val="0"/>
          <w:numId w:val="1053"/>
        </w:numPr>
      </w:pPr>
      <w:r>
        <w:t xml:space="preserve">Discoverysystem als Bestandteil des BMS: Daten aus dem eigenen</w:t>
      </w:r>
      <w:r>
        <w:t xml:space="preserve"> </w:t>
      </w:r>
      <w:r>
        <w:t xml:space="preserve">Bestand sowie Fremddaten, die als Metadaten zur Verfügung stehen.</w:t>
      </w:r>
    </w:p>
    <w:p>
      <w:pPr>
        <w:numPr>
          <w:ilvl w:val="0"/>
          <w:numId w:val="1053"/>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3"/>
    <w:bookmarkStart w:id="234" w:name="ausleihe-1"/>
    <w:p>
      <w:pPr>
        <w:pStyle w:val="Heading3"/>
      </w:pPr>
      <w:r>
        <w:t xml:space="preserve">Ausleihe</w:t>
      </w:r>
    </w:p>
    <w:p>
      <w:pPr>
        <w:pStyle w:val="FirstParagraph"/>
      </w:pPr>
      <w:r>
        <w:t xml:space="preserve">Ein BMS sollte die folgenden Aufgaben der Ausleihe unterstützen:</w:t>
      </w:r>
    </w:p>
    <w:p>
      <w:pPr>
        <w:numPr>
          <w:ilvl w:val="0"/>
          <w:numId w:val="1054"/>
        </w:numPr>
      </w:pPr>
      <w:r>
        <w:t xml:space="preserve">Anlegen von Nutzergruppen, Standorten, Medienarten</w:t>
      </w:r>
    </w:p>
    <w:p>
      <w:pPr>
        <w:numPr>
          <w:ilvl w:val="0"/>
          <w:numId w:val="1054"/>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4"/>
        </w:numPr>
      </w:pPr>
      <w:r>
        <w:t xml:space="preserve">Verbuchung von Medien (Ausleihe, Rücknahme)</w:t>
      </w:r>
    </w:p>
    <w:p>
      <w:pPr>
        <w:numPr>
          <w:ilvl w:val="0"/>
          <w:numId w:val="1054"/>
        </w:numPr>
      </w:pPr>
      <w:r>
        <w:t xml:space="preserve">Konfiguration von Ausdrucken für Bestellzettel und Vormerkungen</w:t>
      </w:r>
    </w:p>
    <w:p>
      <w:pPr>
        <w:numPr>
          <w:ilvl w:val="0"/>
          <w:numId w:val="1054"/>
        </w:numPr>
      </w:pPr>
      <w:r>
        <w:t xml:space="preserve">Ermöglichen von Bestellungen und Vormerkungen</w:t>
      </w:r>
    </w:p>
    <w:p>
      <w:pPr>
        <w:numPr>
          <w:ilvl w:val="0"/>
          <w:numId w:val="1054"/>
        </w:numPr>
      </w:pPr>
      <w:r>
        <w:t xml:space="preserve">Mahnwesen (Fristen, Mahnstufen)</w:t>
      </w:r>
    </w:p>
    <w:p>
      <w:pPr>
        <w:numPr>
          <w:ilvl w:val="0"/>
          <w:numId w:val="1054"/>
        </w:numPr>
      </w:pPr>
      <w:r>
        <w:t xml:space="preserve">Benachrichtigungen für Bestellungen, Vormerkungen, Mahnungen,</w:t>
      </w:r>
      <w:r>
        <w:t xml:space="preserve"> </w:t>
      </w:r>
      <w:r>
        <w:t xml:space="preserve">Leihfristerinnerungen</w:t>
      </w:r>
    </w:p>
    <w:p>
      <w:pPr>
        <w:numPr>
          <w:ilvl w:val="0"/>
          <w:numId w:val="1054"/>
        </w:numPr>
      </w:pPr>
      <w:r>
        <w:t xml:space="preserve">Gebührenverwaltung</w:t>
      </w:r>
    </w:p>
    <w:p>
      <w:pPr>
        <w:numPr>
          <w:ilvl w:val="0"/>
          <w:numId w:val="1054"/>
        </w:numPr>
      </w:pPr>
      <w:r>
        <w:t xml:space="preserve">Erzeugung von Listen (überfällige Medien, nicht abgeholte</w:t>
      </w:r>
      <w:r>
        <w:t xml:space="preserve"> </w:t>
      </w:r>
      <w:r>
        <w:t xml:space="preserve">Vormerkungen)</w:t>
      </w:r>
    </w:p>
    <w:p>
      <w:pPr>
        <w:numPr>
          <w:ilvl w:val="0"/>
          <w:numId w:val="1054"/>
        </w:numPr>
      </w:pPr>
      <w:r>
        <w:t xml:space="preserve">Anbindung an Bezahlsysteme (Kassenautomaten, Online-Bezahlsysteme)</w:t>
      </w:r>
    </w:p>
    <w:p>
      <w:pPr>
        <w:numPr>
          <w:ilvl w:val="0"/>
          <w:numId w:val="1054"/>
        </w:numPr>
      </w:pPr>
      <w:r>
        <w:t xml:space="preserve">Anbindung von Verfügbarkeits- und Kontoinformationen an</w:t>
      </w:r>
      <w:r>
        <w:t xml:space="preserve"> </w:t>
      </w:r>
      <w:r>
        <w:t xml:space="preserve">Discovery-Systeme</w:t>
      </w:r>
    </w:p>
    <w:p>
      <w:pPr>
        <w:numPr>
          <w:ilvl w:val="0"/>
          <w:numId w:val="1054"/>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4"/>
    <w:bookmarkStart w:id="243"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5">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36">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37">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38"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38"/>
    <w:bookmarkStart w:id="239"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39"/>
    <w:bookmarkStart w:id="240"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0"/>
    <w:bookmarkStart w:id="241"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1"/>
    <w:bookmarkStart w:id="242"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2"/>
    <w:bookmarkEnd w:id="243"/>
    <w:bookmarkStart w:id="247" w:name="systemintegration-über-schnittstellen"/>
    <w:p>
      <w:pPr>
        <w:pStyle w:val="Heading3"/>
      </w:pPr>
      <w:r>
        <w:t xml:space="preserve">Systemintegration über Schnittstellen</w:t>
      </w:r>
    </w:p>
    <w:bookmarkStart w:id="246" w:name="anforderungen"/>
    <w:p>
      <w:pPr>
        <w:pStyle w:val="Heading4"/>
      </w:pPr>
      <w:r>
        <w:t xml:space="preserve">Anforderungen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5"/>
        </w:numPr>
      </w:pPr>
      <w:r>
        <w:t xml:space="preserve">Bereitstellung von Konto- und Verfügbarkeitsinformationen, z.B. über</w:t>
      </w:r>
      <w:r>
        <w:t xml:space="preserve"> </w:t>
      </w:r>
      <w:hyperlink r:id="rId244">
        <w:r>
          <w:rPr>
            <w:rStyle w:val="Hyperlink"/>
          </w:rPr>
          <w:t xml:space="preserve">PAIA</w:t>
        </w:r>
      </w:hyperlink>
      <w:r>
        <w:t xml:space="preserve"> </w:t>
      </w:r>
      <w:r>
        <w:t xml:space="preserve">und</w:t>
      </w:r>
      <w:r>
        <w:t xml:space="preserve"> </w:t>
      </w:r>
      <w:hyperlink r:id="rId245">
        <w:r>
          <w:rPr>
            <w:rStyle w:val="Hyperlink"/>
          </w:rPr>
          <w:t xml:space="preserve">DAIA</w:t>
        </w:r>
      </w:hyperlink>
    </w:p>
    <w:p>
      <w:pPr>
        <w:numPr>
          <w:ilvl w:val="0"/>
          <w:numId w:val="1055"/>
        </w:numPr>
      </w:pPr>
      <w:r>
        <w:t xml:space="preserve">Anbindung an Buchhaltungssysteme wie SAP oder HIS Haushalt-ERO</w:t>
      </w:r>
    </w:p>
    <w:p>
      <w:pPr>
        <w:numPr>
          <w:ilvl w:val="0"/>
          <w:numId w:val="1055"/>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5"/>
        </w:numPr>
      </w:pPr>
      <w:r>
        <w:t xml:space="preserve">Bereitstellung von bibliografischen Daten</w:t>
      </w:r>
    </w:p>
    <w:p>
      <w:pPr>
        <w:numPr>
          <w:ilvl w:val="0"/>
          <w:numId w:val="1055"/>
        </w:numPr>
      </w:pPr>
      <w:r>
        <w:t xml:space="preserve">Recherche in Fremddatenbeständen, z.B. über Z39.50</w:t>
      </w:r>
    </w:p>
    <w:p>
      <w:pPr>
        <w:numPr>
          <w:ilvl w:val="0"/>
          <w:numId w:val="1055"/>
        </w:numPr>
      </w:pPr>
      <w:r>
        <w:t xml:space="preserve">Schnittstellen zu Kataloganreicherungsdiensten (Buchcover)</w:t>
      </w:r>
    </w:p>
    <w:p>
      <w:pPr>
        <w:numPr>
          <w:ilvl w:val="0"/>
          <w:numId w:val="1055"/>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5"/>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46"/>
    <w:bookmarkEnd w:id="247"/>
    <w:bookmarkStart w:id="261"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2"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48">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49">
        <w:r>
          <w:rPr>
            <w:rStyle w:val="Hyperlink"/>
          </w:rPr>
          <w:t xml:space="preserve">OpenID</w:t>
        </w:r>
      </w:hyperlink>
      <w:r>
        <w:t xml:space="preserve"> </w:t>
      </w:r>
      <w:r>
        <w:rPr>
          <w:rStyle w:val="FootnoteReference"/>
        </w:rPr>
        <w:footnoteReference w:id="250"/>
      </w:r>
    </w:p>
    <w:p>
      <w:pPr>
        <w:pStyle w:val="BodyText"/>
      </w:pPr>
      <w:r>
        <w:t xml:space="preserve">Softwareprodukte für IDM sind: SAP (mit Plugins), Microsoft Active</w:t>
      </w:r>
      <w:r>
        <w:t xml:space="preserve"> </w:t>
      </w:r>
      <w:r>
        <w:t xml:space="preserve">Directory, uvm</w:t>
      </w:r>
    </w:p>
    <w:bookmarkStart w:id="251"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51"/>
    <w:bookmarkEnd w:id="252"/>
    <w:bookmarkStart w:id="256"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54" name="Picture"/>
                  <a:graphic>
                    <a:graphicData uri="http://schemas.openxmlformats.org/drawingml/2006/picture">
                      <pic:pic>
                        <pic:nvPicPr>
                          <pic:cNvPr descr="/opt/quarto/share/formats/docx/warning.png" id="255" name="Picture"/>
                          <pic:cNvPicPr>
                            <a:picLocks noChangeArrowheads="1" noChangeAspect="1"/>
                          </pic:cNvPicPr>
                        </pic:nvPicPr>
                        <pic:blipFill>
                          <a:blip r:embed="rId2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Haushalt</w:t>
            </w:r>
          </w:p>
        </w:tc>
      </w:tr>
      <w:tr>
        <w:trPr>
          <w:cantSplit/>
        </w:trPr>
        <w:tc>
          <w:tcPr>
            <w:tcMar>
              <w:top w:w="108" w:type="dxa"/>
              <w:bottom w:w="108" w:type="dxa"/>
            </w:tcMar>
          </w:tcPr>
          <w:p>
            <w:pPr>
              <w:pStyle w:val="BodyText"/>
            </w:pPr>
            <w:pPr>
              <w:spacing w:before="16" w:after="16"/>
            </w:pPr>
            <w:r>
              <w:t xml:space="preserve">TODO</w:t>
            </w:r>
          </w:p>
        </w:tc>
      </w:tr>
    </w:tbl>
    <w:bookmarkEnd w:id="256"/>
    <w:bookmarkStart w:id="258"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7">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8"/>
    <w:bookmarkStart w:id="260"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9">
        <w:r>
          <w:rPr>
            <w:rStyle w:val="Hyperlink"/>
          </w:rPr>
          <w:t xml:space="preserve">COUNTER</w:t>
        </w:r>
      </w:hyperlink>
      <w:r>
        <w:t xml:space="preserve">-Reports</w:t>
      </w:r>
      <w:r>
        <w:t xml:space="preserve"> </w:t>
      </w:r>
      <w:r>
        <w:t xml:space="preserve">für statistische Daten der Nutzung digitaler Medien importieren.</w:t>
      </w:r>
    </w:p>
    <w:bookmarkEnd w:id="260"/>
    <w:bookmarkEnd w:id="261"/>
    <w:bookmarkEnd w:id="262"/>
    <w:bookmarkStart w:id="283"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3" name="Picture"/>
                  <a:graphic>
                    <a:graphicData uri="http://schemas.openxmlformats.org/drawingml/2006/picture">
                      <pic:pic>
                        <pic:nvPicPr>
                          <pic:cNvPr descr="/opt/quarto/share/formats/docx/note.png" id="2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8"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5"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5"/>
    <w:bookmarkStart w:id="266"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6"/>
    <w:bookmarkStart w:id="267"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7"/>
    <w:bookmarkEnd w:id="268"/>
    <w:bookmarkStart w:id="269"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6"/>
        </w:numPr>
      </w:pPr>
      <w:r>
        <w:t xml:space="preserve">Personalkosten für den laufenden Betrieb</w:t>
      </w:r>
    </w:p>
    <w:p>
      <w:pPr>
        <w:numPr>
          <w:ilvl w:val="0"/>
          <w:numId w:val="1056"/>
        </w:numPr>
      </w:pPr>
      <w:r>
        <w:t xml:space="preserve">Lizenzkosten und Wartungsverträge der Software</w:t>
      </w:r>
    </w:p>
    <w:p>
      <w:pPr>
        <w:numPr>
          <w:ilvl w:val="0"/>
          <w:numId w:val="1056"/>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9"/>
    <w:bookmarkStart w:id="270" w:name="installation-updates"/>
    <w:p>
      <w:pPr>
        <w:pStyle w:val="Heading3"/>
      </w:pPr>
      <w:r>
        <w:t xml:space="preserve">Installation &amp; Updates</w:t>
      </w:r>
    </w:p>
    <w:p>
      <w:pPr>
        <w:pStyle w:val="FirstParagraph"/>
      </w:pPr>
      <w:r>
        <w:t xml:space="preserve">Zur Einrichtung eines BMS gehört:</w:t>
      </w:r>
    </w:p>
    <w:p>
      <w:pPr>
        <w:numPr>
          <w:ilvl w:val="0"/>
          <w:numId w:val="1057"/>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7"/>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70"/>
    <w:bookmarkStart w:id="271"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1"/>
    <w:bookmarkStart w:id="276"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4"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2">
        <w:r>
          <w:rPr>
            <w:rStyle w:val="Hyperlink"/>
          </w:rPr>
          <w:t xml:space="preserve">Check_MK</w:t>
        </w:r>
      </w:hyperlink>
      <w:r>
        <w:t xml:space="preserve"> </w:t>
      </w:r>
      <w:r>
        <w:t xml:space="preserve">oder</w:t>
      </w:r>
      <w:r>
        <w:t xml:space="preserve"> </w:t>
      </w:r>
      <w:hyperlink r:id="rId273">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4"/>
    <w:bookmarkStart w:id="275"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5"/>
    <w:bookmarkEnd w:id="276"/>
    <w:bookmarkStart w:id="277"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8"/>
        </w:numPr>
      </w:pPr>
      <w:r>
        <w:t xml:space="preserve">Die Infrastruktur um das BMS herum sollte durch starke</w:t>
      </w:r>
      <w:r>
        <w:t xml:space="preserve"> </w:t>
      </w:r>
      <w:r>
        <w:t xml:space="preserve">Sicherheitsvorkehrungen getragen werden.</w:t>
      </w:r>
    </w:p>
    <w:p>
      <w:pPr>
        <w:numPr>
          <w:ilvl w:val="0"/>
          <w:numId w:val="1058"/>
        </w:numPr>
      </w:pPr>
      <w:r>
        <w:t xml:space="preserve">Die Gefahr kurzfristig entstehender Sicherheitslücken sollte nicht</w:t>
      </w:r>
      <w:r>
        <w:t xml:space="preserve"> </w:t>
      </w:r>
      <w:r>
        <w:t xml:space="preserve">unterschätzt werden.</w:t>
      </w:r>
    </w:p>
    <w:p>
      <w:pPr>
        <w:numPr>
          <w:ilvl w:val="0"/>
          <w:numId w:val="1058"/>
        </w:numPr>
      </w:pPr>
      <w:r>
        <w:t xml:space="preserve">Cloud-basierte Systeme sollten aktiv überwacht und der Überblick</w:t>
      </w:r>
      <w:r>
        <w:t xml:space="preserve"> </w:t>
      </w:r>
      <w:r>
        <w:t xml:space="preserve">behalten werden.</w:t>
      </w:r>
    </w:p>
    <w:p>
      <w:pPr>
        <w:numPr>
          <w:ilvl w:val="0"/>
          <w:numId w:val="1058"/>
        </w:numPr>
      </w:pPr>
      <w:r>
        <w:t xml:space="preserve">Anbieter sollten aufgefordert werden, die Konzepte ihrer</w:t>
      </w:r>
      <w:r>
        <w:t xml:space="preserve"> </w:t>
      </w:r>
      <w:r>
        <w:t xml:space="preserve">Sicherheitsvorkehrungen offenzulegen.</w:t>
      </w:r>
    </w:p>
    <w:p>
      <w:pPr>
        <w:numPr>
          <w:ilvl w:val="0"/>
          <w:numId w:val="1058"/>
        </w:numPr>
      </w:pPr>
      <w:r>
        <w:t xml:space="preserve">Gerade Administrator*innen sollten ihre Zugänge gesondert</w:t>
      </w:r>
      <w:r>
        <w:t xml:space="preserve"> </w:t>
      </w:r>
      <w:r>
        <w:t xml:space="preserve">absichern.</w:t>
      </w:r>
    </w:p>
    <w:p>
      <w:pPr>
        <w:numPr>
          <w:ilvl w:val="0"/>
          <w:numId w:val="1058"/>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77"/>
    <w:bookmarkStart w:id="278"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9"/>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9"/>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9"/>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9"/>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8"/>
    <w:bookmarkStart w:id="279"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60"/>
        </w:numPr>
      </w:pPr>
      <w:r>
        <w:t xml:space="preserve">Lesegeräte: (Barcode-)Scanner und Chip-Lesegeräte für</w:t>
      </w:r>
      <w:r>
        <w:t xml:space="preserve"> </w:t>
      </w:r>
      <w:r>
        <w:t xml:space="preserve">Benutzungsausweise und/oder Medien</w:t>
      </w:r>
    </w:p>
    <w:p>
      <w:pPr>
        <w:numPr>
          <w:ilvl w:val="0"/>
          <w:numId w:val="1060"/>
        </w:numPr>
      </w:pPr>
      <w:r>
        <w:t xml:space="preserve">Selbstverbucher für die Ausleihe und/oder Rückgabe</w:t>
      </w:r>
    </w:p>
    <w:p>
      <w:pPr>
        <w:numPr>
          <w:ilvl w:val="0"/>
          <w:numId w:val="1060"/>
        </w:numPr>
      </w:pPr>
      <w:r>
        <w:t xml:space="preserve">Rückgabeautomaten, die ggf. auch eine automatische Vorsortierung von</w:t>
      </w:r>
      <w:r>
        <w:t xml:space="preserve"> </w:t>
      </w:r>
      <w:r>
        <w:t xml:space="preserve">Medien übernehmen</w:t>
      </w:r>
    </w:p>
    <w:p>
      <w:pPr>
        <w:numPr>
          <w:ilvl w:val="0"/>
          <w:numId w:val="1060"/>
        </w:numPr>
      </w:pPr>
      <w:r>
        <w:t xml:space="preserve">Sicherungsgates zur Detektion nicht entliehener Medien an Ein- und</w:t>
      </w:r>
      <w:r>
        <w:t xml:space="preserve"> </w:t>
      </w:r>
      <w:r>
        <w:t xml:space="preserve">Ausgängen</w:t>
      </w:r>
    </w:p>
    <w:p>
      <w:pPr>
        <w:numPr>
          <w:ilvl w:val="0"/>
          <w:numId w:val="1060"/>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5">
        <w:r>
          <w:rPr>
            <w:rStyle w:val="Hyperlink"/>
          </w:rPr>
          <w:t xml:space="preserve">SIP</w:t>
        </w:r>
      </w:hyperlink>
      <w:r>
        <w:t xml:space="preserve">,</w:t>
      </w:r>
      <w:r>
        <w:t xml:space="preserve"> </w:t>
      </w:r>
      <w:r>
        <w:t xml:space="preserve">oder man setzt auf moderne, allgemeine API-Standards wie</w:t>
      </w:r>
      <w:r>
        <w:t xml:space="preserve"> </w:t>
      </w:r>
      <w:hyperlink r:id="rId237">
        <w:r>
          <w:rPr>
            <w:rStyle w:val="Hyperlink"/>
          </w:rPr>
          <w:t xml:space="preserve">REST</w:t>
        </w:r>
      </w:hyperlink>
      <w:r>
        <w:t xml:space="preserve">.</w:t>
      </w:r>
    </w:p>
    <w:bookmarkEnd w:id="279"/>
    <w:bookmarkStart w:id="282"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1"/>
        </w:numPr>
      </w:pPr>
      <w:r>
        <w:t xml:space="preserve">durch Nutzer*innen bei der Anmeldung angegebenen Daten für den</w:t>
      </w:r>
      <w:r>
        <w:t xml:space="preserve"> </w:t>
      </w:r>
      <w:r>
        <w:t xml:space="preserve">Bibliothekszugang</w:t>
      </w:r>
    </w:p>
    <w:p>
      <w:pPr>
        <w:numPr>
          <w:ilvl w:val="0"/>
          <w:numId w:val="1061"/>
        </w:numPr>
      </w:pPr>
      <w:r>
        <w:t xml:space="preserve">mit dem Nutzer*innen-Konto verbundene Ausleihvorgänge und</w:t>
      </w:r>
      <w:r>
        <w:t xml:space="preserve"> </w:t>
      </w:r>
      <w:r>
        <w:t xml:space="preserve">Mahnhistorien</w:t>
      </w:r>
    </w:p>
    <w:p>
      <w:pPr>
        <w:numPr>
          <w:ilvl w:val="0"/>
          <w:numId w:val="1061"/>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2"/>
        </w:numPr>
      </w:pPr>
      <w:r>
        <w:t xml:space="preserve">Verschlüsselung: Daten werden auf verschlüsselten Servern</w:t>
      </w:r>
      <w:r>
        <w:t xml:space="preserve"> </w:t>
      </w:r>
      <w:r>
        <w:t xml:space="preserve">gespeichert, ebenso ist die Übertragung Ende-zu-Ende verschlüsselt</w:t>
      </w:r>
    </w:p>
    <w:p>
      <w:pPr>
        <w:numPr>
          <w:ilvl w:val="0"/>
          <w:numId w:val="1062"/>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2"/>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2"/>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3"/>
        </w:numPr>
      </w:pPr>
      <w:r>
        <w:t xml:space="preserve">Die Verschlüsselung der Datenübertragung</w:t>
      </w:r>
      <w:r>
        <w:t xml:space="preserve"> </w:t>
      </w:r>
      <w:r>
        <w:t xml:space="preserve">(Ende-zu-Ende-Verschlüsselung)</w:t>
      </w:r>
    </w:p>
    <w:p>
      <w:pPr>
        <w:numPr>
          <w:ilvl w:val="0"/>
          <w:numId w:val="1063"/>
        </w:numPr>
      </w:pPr>
      <w:r>
        <w:t xml:space="preserve">Betrieb und Steuerung der Server innerhalb der EU</w:t>
      </w:r>
      <w:r>
        <w:t xml:space="preserve"> </w:t>
      </w:r>
      <w:r>
        <w:t xml:space="preserve">(</w:t>
      </w:r>
      <w:hyperlink r:id="rId280">
        <w:r>
          <w:rPr>
            <w:rStyle w:val="Hyperlink"/>
          </w:rPr>
          <w:t xml:space="preserve">DSGVO</w:t>
        </w:r>
      </w:hyperlink>
      <w:r>
        <w:t xml:space="preserve">)</w:t>
      </w:r>
    </w:p>
    <w:p>
      <w:pPr>
        <w:numPr>
          <w:ilvl w:val="0"/>
          <w:numId w:val="1063"/>
        </w:numPr>
      </w:pPr>
      <w:r>
        <w:t xml:space="preserve">Der Ausschluss von User-Tracking durch Ad-Tech (Werbe-Netzwerke)</w:t>
      </w:r>
    </w:p>
    <w:p>
      <w:pPr>
        <w:numPr>
          <w:ilvl w:val="0"/>
          <w:numId w:val="1063"/>
        </w:numPr>
      </w:pPr>
      <w:r>
        <w:t xml:space="preserve">Der Abschluss eines</w:t>
      </w:r>
      <w:r>
        <w:t xml:space="preserve"> </w:t>
      </w:r>
      <w:hyperlink r:id="rId281">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2"/>
    <w:bookmarkEnd w:id="283"/>
    <w:bookmarkStart w:id="286" w:name="zusammenfassung-und-ausblick-1"/>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4" name="Picture"/>
                  <a:graphic>
                    <a:graphicData uri="http://schemas.openxmlformats.org/drawingml/2006/picture">
                      <pic:pic>
                        <pic:nvPicPr>
                          <pic:cNvPr descr="/opt/quarto/share/formats/docx/note.png" id="285"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r>
              <w:t xml:space="preserve"> </w:t>
            </w:r>
            <w:r>
              <w:t xml:space="preserve">Der Import, Export oder auch die Zusammenführung von Daten erfordert</w:t>
            </w:r>
            <w:r>
              <w:t xml:space="preserve"> </w:t>
            </w:r>
            <w:r>
              <w:t xml:space="preserve">klar definierte Metadaten und Schnittstellen für den freien Austausch</w:t>
            </w:r>
            <w:r>
              <w:t xml:space="preserve"> </w:t>
            </w:r>
            <w:r>
              <w:t xml:space="preserve">aus gut nachnutzbaren Quellsystemen. Dies ist vor allem erforderlich bei</w:t>
            </w:r>
            <w:r>
              <w:t xml:space="preserve"> </w:t>
            </w:r>
            <w:r>
              <w:t xml:space="preserve">der aktuell stärkeren Entwicklung hin zu Open Data und öffentlicher</w:t>
            </w:r>
            <w:r>
              <w:t xml:space="preserve"> </w:t>
            </w:r>
            <w:r>
              <w:t xml:space="preserve">Datennutzung. Die Integration und Interaktion mit anderen Informationssystemen</w:t>
            </w:r>
            <w:r>
              <w:t xml:space="preserve"> </w:t>
            </w:r>
            <w:r>
              <w:t xml:space="preserve">nimmt also zu. Vor allem herkömmliche BMS der zweiten Generation kommen hier schnell an ihre Grenzen.</w:t>
            </w:r>
          </w:p>
        </w:tc>
      </w:tr>
    </w:tbl>
    <w:bookmarkEnd w:id="286"/>
    <w:bookmarkEnd w:id="287"/>
    <w:bookmarkStart w:id="303"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88">
        <w:r>
          <w:rPr>
            <w:rStyle w:val="Hyperlink"/>
          </w:rPr>
          <w:t xml:space="preserve">in einer Zotero-Gruppe</w:t>
        </w:r>
      </w:hyperlink>
      <w:r>
        <w:t xml:space="preserve"> </w:t>
      </w:r>
      <w:r>
        <w:t xml:space="preserve">verwaltet. Hier davon nur die explizit im Handbuch referenzierten Publikationen:</w:t>
      </w:r>
    </w:p>
    <w:bookmarkStart w:id="302" w:name="refs"/>
    <w:bookmarkStart w:id="290"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9">
        <w:r>
          <w:rPr>
            <w:rStyle w:val="Hyperlink"/>
          </w:rPr>
          <w:t xml:space="preserve">https://www.jstor.org/stable/40039721</w:t>
        </w:r>
      </w:hyperlink>
      <w:r>
        <w:t xml:space="preserve">.</w:t>
      </w:r>
    </w:p>
    <w:bookmarkEnd w:id="290"/>
    <w:bookmarkStart w:id="292"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91">
        <w:r>
          <w:rPr>
            <w:rStyle w:val="Hyperlink"/>
          </w:rPr>
          <w:t xml:space="preserve">https://www.codyh.com/writing/software.html</w:t>
        </w:r>
      </w:hyperlink>
      <w:r>
        <w:t xml:space="preserve">.</w:t>
      </w:r>
    </w:p>
    <w:bookmarkEnd w:id="292"/>
    <w:bookmarkStart w:id="293"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3"/>
    <w:bookmarkStart w:id="295"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94">
        <w:r>
          <w:rPr>
            <w:rStyle w:val="Hyperlink"/>
          </w:rPr>
          <w:t xml:space="preserve">https://doi.org/10.1145/277351.277356</w:t>
        </w:r>
      </w:hyperlink>
      <w:r>
        <w:t xml:space="preserve">.</w:t>
      </w:r>
    </w:p>
    <w:bookmarkEnd w:id="295"/>
    <w:bookmarkStart w:id="297"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296">
        <w:r>
          <w:rPr>
            <w:rStyle w:val="Hyperlink"/>
          </w:rPr>
          <w:t xml:space="preserve">https://www.infotoday.com/cilmag/jan22/Breeding--How-to-Secure-Library-Systems-From-Malware-Ransomware-and-Other-Cyberthreats.shtml</w:t>
        </w:r>
      </w:hyperlink>
      <w:r>
        <w:t xml:space="preserve">.</w:t>
      </w:r>
    </w:p>
    <w:bookmarkEnd w:id="297"/>
    <w:bookmarkStart w:id="298"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298"/>
    <w:bookmarkStart w:id="299"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299"/>
    <w:bookmarkStart w:id="301"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0">
        <w:r>
          <w:rPr>
            <w:rStyle w:val="Hyperlink"/>
          </w:rPr>
          <w:t xml:space="preserve">https://doi.org/10.5282/o-bib/5797</w:t>
        </w:r>
      </w:hyperlink>
      <w:r>
        <w:t xml:space="preserve">.</w:t>
      </w:r>
    </w:p>
    <w:bookmarkEnd w:id="301"/>
    <w:bookmarkEnd w:id="302"/>
    <w:bookmarkEnd w:id="303"/>
    <w:bookmarkStart w:id="320" w:name="glossar"/>
    <w:p>
      <w:pPr>
        <w:pStyle w:val="Heading1"/>
      </w:pPr>
      <w:r>
        <w:t xml:space="preserve">Glossar</w:t>
      </w:r>
    </w:p>
    <w:p>
      <w:pPr>
        <w:pStyle w:val="DefinitionTerm"/>
      </w:pPr>
      <w:hyperlink r:id="rId304">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05">
        <w:r>
          <w:rPr>
            <w:rStyle w:val="Hyperlink"/>
          </w:rPr>
          <w:t xml:space="preserve">COUNTER</w:t>
        </w:r>
      </w:hyperlink>
    </w:p>
    <w:p>
      <w:pPr>
        <w:pStyle w:val="Definition"/>
      </w:pPr>
      <w:r>
        <w:t xml:space="preserve">Counting Online Usage of NeTworked Electronic Resources</w:t>
      </w:r>
    </w:p>
    <w:p>
      <w:pPr>
        <w:pStyle w:val="DefinitionTerm"/>
      </w:pPr>
      <w:hyperlink r:id="rId306">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7">
        <w:r>
          <w:rPr>
            <w:rStyle w:val="Hyperlink"/>
          </w:rPr>
          <w:t xml:space="preserve">EDIFACT</w:t>
        </w:r>
      </w:hyperlink>
    </w:p>
    <w:p>
      <w:pPr>
        <w:pStyle w:val="Definition"/>
      </w:pPr>
      <w:r>
        <w:t xml:space="preserve">Electronic Data Interchange for Administration, Commerce and Transport</w:t>
      </w:r>
    </w:p>
    <w:p>
      <w:pPr>
        <w:pStyle w:val="DefinitionTerm"/>
      </w:pPr>
      <w:hyperlink r:id="rId307">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08">
        <w:r>
          <w:rPr>
            <w:rStyle w:val="Hyperlink"/>
          </w:rPr>
          <w:t xml:space="preserve">GOKb</w:t>
        </w:r>
      </w:hyperlink>
    </w:p>
    <w:p>
      <w:pPr>
        <w:pStyle w:val="Definition"/>
      </w:pPr>
      <w:r>
        <w:t xml:space="preserve">Global Open Knowledgebase, eine Open Data Plattform</w:t>
      </w:r>
    </w:p>
    <w:p>
      <w:pPr>
        <w:pStyle w:val="DefinitionTerm"/>
      </w:pPr>
      <w:hyperlink r:id="rId309">
        <w:r>
          <w:rPr>
            <w:rStyle w:val="Hyperlink"/>
          </w:rPr>
          <w:t xml:space="preserve">IDM</w:t>
        </w:r>
      </w:hyperlink>
    </w:p>
    <w:p>
      <w:pPr>
        <w:pStyle w:val="Definition"/>
      </w:pPr>
      <w:r>
        <w:t xml:space="preserve">Identity Management, das Speichern von Metadaten zu Personen</w:t>
      </w:r>
    </w:p>
    <w:p>
      <w:pPr>
        <w:pStyle w:val="DefinitionTerm"/>
      </w:pPr>
      <w:hyperlink r:id="rId310">
        <w:r>
          <w:rPr>
            <w:rStyle w:val="Hyperlink"/>
          </w:rPr>
          <w:t xml:space="preserve">KBART</w:t>
        </w:r>
      </w:hyperlink>
    </w:p>
    <w:p>
      <w:pPr>
        <w:pStyle w:val="Definition"/>
      </w:pPr>
      <w:r>
        <w:t xml:space="preserve">Knowledgebases and related tools, Datenformat zum Transfer von Metadaten</w:t>
      </w:r>
    </w:p>
    <w:p>
      <w:pPr>
        <w:pStyle w:val="DefinitionTerm"/>
      </w:pPr>
      <w:hyperlink r:id="rId311">
        <w:r>
          <w:rPr>
            <w:rStyle w:val="Hyperlink"/>
          </w:rPr>
          <w:t xml:space="preserve">Lock-In-Effekt</w:t>
        </w:r>
      </w:hyperlink>
    </w:p>
    <w:p>
      <w:pPr>
        <w:pStyle w:val="Definition"/>
      </w:pPr>
      <w:r>
        <w:t xml:space="preserve">Kundenbindung durch hohen Wechselaufwand</w:t>
      </w:r>
    </w:p>
    <w:p>
      <w:pPr>
        <w:pStyle w:val="DefinitionTerm"/>
      </w:pPr>
      <w:hyperlink r:id="rId312">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13">
        <w:r>
          <w:rPr>
            <w:rStyle w:val="Hyperlink"/>
          </w:rPr>
          <w:t xml:space="preserve">OPAC</w:t>
        </w:r>
      </w:hyperlink>
    </w:p>
    <w:p>
      <w:pPr>
        <w:pStyle w:val="Definition"/>
      </w:pPr>
      <w:r>
        <w:t xml:space="preserve">Online Public Access Catalogue, Katalog einer Bibliothek</w:t>
      </w:r>
    </w:p>
    <w:p>
      <w:pPr>
        <w:pStyle w:val="DefinitionTerm"/>
      </w:pPr>
      <w:hyperlink r:id="rId314">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15">
        <w:r>
          <w:rPr>
            <w:rStyle w:val="Hyperlink"/>
          </w:rPr>
          <w:t xml:space="preserve">SaaS</w:t>
        </w:r>
      </w:hyperlink>
    </w:p>
    <w:p>
      <w:pPr>
        <w:pStyle w:val="Definition"/>
      </w:pPr>
      <w:r>
        <w:t xml:space="preserve">Software as a Service, Software und Hardware bei externem Dienstleister</w:t>
      </w:r>
    </w:p>
    <w:p>
      <w:pPr>
        <w:pStyle w:val="DefinitionTerm"/>
      </w:pPr>
      <w:hyperlink r:id="rId316">
        <w:r>
          <w:rPr>
            <w:rStyle w:val="Hyperlink"/>
          </w:rPr>
          <w:t xml:space="preserve">Usability</w:t>
        </w:r>
      </w:hyperlink>
    </w:p>
    <w:p>
      <w:pPr>
        <w:pStyle w:val="Definition"/>
      </w:pPr>
      <w:r>
        <w:t xml:space="preserve">Gebrauchstauglichkeit</w:t>
      </w:r>
    </w:p>
    <w:p>
      <w:pPr>
        <w:pStyle w:val="DefinitionTerm"/>
      </w:pPr>
      <w:hyperlink r:id="rId317">
        <w:r>
          <w:rPr>
            <w:rStyle w:val="Hyperlink"/>
          </w:rPr>
          <w:t xml:space="preserve">User Experience</w:t>
        </w:r>
      </w:hyperlink>
    </w:p>
    <w:p>
      <w:pPr>
        <w:pStyle w:val="Definition"/>
      </w:pPr>
      <w:r>
        <w:t xml:space="preserve">Nutzererfahrung</w:t>
      </w:r>
    </w:p>
    <w:p>
      <w:pPr>
        <w:pStyle w:val="DefinitionTerm"/>
      </w:pPr>
      <w:hyperlink r:id="rId318">
        <w:r>
          <w:rPr>
            <w:rStyle w:val="Hyperlink"/>
          </w:rPr>
          <w:t xml:space="preserve">VR</w:t>
        </w:r>
      </w:hyperlink>
    </w:p>
    <w:p>
      <w:pPr>
        <w:pStyle w:val="Definition"/>
      </w:pPr>
      <w:r>
        <w:t xml:space="preserve">Virtual Reality, (computer-generierte) virtuelle Umgebung</w:t>
      </w:r>
    </w:p>
    <w:p>
      <w:pPr>
        <w:pStyle w:val="DefinitionTerm"/>
      </w:pPr>
      <w:hyperlink r:id="rId319">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0"/>
    <w:bookmarkStart w:id="321"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4"/>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4"/>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4"/>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4"/>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4"/>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21"/>
    <w:bookmarkStart w:id="353"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25"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22">
        <w:r>
          <w:rPr>
            <w:rStyle w:val="Hyperlink"/>
          </w:rPr>
          <w:t xml:space="preserve">Google Drive Verzeichnis</w:t>
        </w:r>
      </w:hyperlink>
      <w:r>
        <w:t xml:space="preserve"> </w:t>
      </w:r>
      <w:r>
        <w:t xml:space="preserve">zum Korrekturlesen und Kommentieren bereitgestellt. Änderungen können auch</w:t>
      </w:r>
      <w:r>
        <w:t xml:space="preserve"> </w:t>
      </w:r>
      <w:hyperlink r:id="rId323">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24">
        <w:r>
          <w:rPr>
            <w:rStyle w:val="Hyperlink"/>
          </w:rPr>
          <w:t xml:space="preserve">quarto</w:t>
        </w:r>
      </w:hyperlink>
      <w:r>
        <w:t xml:space="preserve"> </w:t>
      </w:r>
      <w:r>
        <w:t xml:space="preserve">in HTML und anderen Formaten aus den Quellen zusammengebaut wird.</w:t>
      </w:r>
    </w:p>
    <w:bookmarkEnd w:id="325"/>
    <w:bookmarkStart w:id="338"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26" w:name="schreibstil"/>
    <w:p>
      <w:pPr>
        <w:pStyle w:val="Heading3"/>
      </w:pPr>
      <w:r>
        <w:t xml:space="preserve">Stil und Aktualität</w:t>
      </w:r>
    </w:p>
    <w:p>
      <w:pPr>
        <w:numPr>
          <w:ilvl w:val="0"/>
          <w:numId w:val="1065"/>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5"/>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5"/>
        </w:numPr>
      </w:pPr>
      <w:r>
        <w:rPr>
          <w:bCs/>
          <w:b/>
        </w:rPr>
        <w:t xml:space="preserve">Das Buch sollte in 2-5 Jahren noch aktuell und verständlich sein, aber nicht mehr unbedingt in 10 Jahren.</w:t>
      </w:r>
    </w:p>
    <w:bookmarkEnd w:id="326"/>
    <w:bookmarkStart w:id="327" w:name="schreibweise-fachbegriffe-und-verweise"/>
    <w:p>
      <w:pPr>
        <w:pStyle w:val="Heading3"/>
      </w:pPr>
      <w:r>
        <w:t xml:space="preserve">Schreibweise, Fachbegriffe und Verweise</w:t>
      </w:r>
    </w:p>
    <w:p>
      <w:pPr>
        <w:numPr>
          <w:ilvl w:val="0"/>
          <w:numId w:val="1066"/>
        </w:numPr>
      </w:pPr>
      <w:r>
        <w:t xml:space="preserve">Wir verwenden im gesamten Buch gendergerechte Schreibweise mit Sternchen (*).</w:t>
      </w:r>
    </w:p>
    <w:p>
      <w:pPr>
        <w:numPr>
          <w:ilvl w:val="0"/>
          <w:numId w:val="1066"/>
        </w:numPr>
      </w:pPr>
      <w:r>
        <w:t xml:space="preserve">Eine Schreibweise für häufig verwendete Fachbegriffe sollte quer durch das Buch eingehalten werden, so z.B. BMS für Bibliotheksmanagementsysteme</w:t>
      </w:r>
    </w:p>
    <w:p>
      <w:pPr>
        <w:numPr>
          <w:ilvl w:val="0"/>
          <w:numId w:val="1066"/>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6"/>
        </w:numPr>
      </w:pPr>
      <w:r>
        <w:t xml:space="preserve">Wir vermeiden IT-Jargon.</w:t>
      </w:r>
    </w:p>
    <w:p>
      <w:pPr>
        <w:numPr>
          <w:ilvl w:val="0"/>
          <w:numId w:val="1066"/>
        </w:numPr>
      </w:pPr>
      <w:r>
        <w:t xml:space="preserve">Abkürzungen werden durch geschützte Leerzeichen getrennt (z. B.)</w:t>
      </w:r>
    </w:p>
    <w:p>
      <w:pPr>
        <w:numPr>
          <w:ilvl w:val="0"/>
          <w:numId w:val="1066"/>
        </w:numPr>
      </w:pPr>
      <w:r>
        <w:t xml:space="preserve">Wir verwenden in Deutschland und Österreich übliche Anführungszeichen („…“)</w:t>
      </w:r>
    </w:p>
    <w:p>
      <w:pPr>
        <w:numPr>
          <w:ilvl w:val="0"/>
          <w:numId w:val="1066"/>
        </w:numPr>
      </w:pPr>
      <w:r>
        <w:t xml:space="preserve">Die Nennung von Quellen in Fußnoten sollten nur dann vorgenommenwerden, wenn in der jeweiligen Textpassage auch wirklich paraphrasiert oder wörtlich zitiert wird.</w:t>
      </w:r>
    </w:p>
    <w:p>
      <w:pPr>
        <w:numPr>
          <w:ilvl w:val="0"/>
          <w:numId w:val="1066"/>
        </w:numPr>
      </w:pPr>
      <w:r>
        <w:t xml:space="preserve">Links, die auf später entstehende Kapitel verweisen, werden durch eckige Klammern kenntlich gemacht.</w:t>
      </w:r>
    </w:p>
    <w:p>
      <w:pPr>
        <w:numPr>
          <w:ilvl w:val="0"/>
          <w:numId w:val="1066"/>
        </w:numPr>
      </w:pPr>
      <w:r>
        <w:t xml:space="preserve">Externe Links, die nur auf Anbieter oder andere Websites verweisen, werden inline verlinkt, also ein Link auf das Wort gesetzt statt</w:t>
      </w:r>
      <w:r>
        <w:t xml:space="preserve"> </w:t>
      </w:r>
      <w:r>
        <w:t xml:space="preserve">einer Fußnote.</w:t>
      </w:r>
    </w:p>
    <w:bookmarkEnd w:id="327"/>
    <w:bookmarkStart w:id="329" w:name="struktur-des-texts"/>
    <w:p>
      <w:pPr>
        <w:pStyle w:val="Heading3"/>
      </w:pPr>
      <w:r>
        <w:t xml:space="preserve">Struktur des Texts</w:t>
      </w:r>
    </w:p>
    <w:p>
      <w:pPr>
        <w:numPr>
          <w:ilvl w:val="0"/>
          <w:numId w:val="1067"/>
        </w:numPr>
      </w:pPr>
      <w:r>
        <w:t xml:space="preserve">Wir verwenden kurze, unverschachtelte Sätze.</w:t>
      </w:r>
    </w:p>
    <w:p>
      <w:pPr>
        <w:numPr>
          <w:ilvl w:val="0"/>
          <w:numId w:val="1067"/>
        </w:numPr>
      </w:pPr>
      <w:r>
        <w:t xml:space="preserve">Wir schreiben stark strukturiert, d.h. mit vielen Zwischenüberschriften, und, wo es inhaltlich passt, in stichpunktartigen Listen.</w:t>
      </w:r>
    </w:p>
    <w:p>
      <w:pPr>
        <w:numPr>
          <w:ilvl w:val="0"/>
          <w:numId w:val="1067"/>
        </w:numPr>
      </w:pPr>
      <w:r>
        <w:t xml:space="preserve">Wir erzeugen Sinnabschnitte, die möglichst für sich stehend verständlich sind.</w:t>
      </w:r>
    </w:p>
    <w:p>
      <w:pPr>
        <w:numPr>
          <w:ilvl w:val="0"/>
          <w:numId w:val="1067"/>
        </w:numPr>
      </w:pPr>
      <w:r>
        <w:t xml:space="preserve">Kursive Hervorhebung sollte nur für Namen, Glossareinträge und Zitate verwendet werden.</w:t>
      </w:r>
    </w:p>
    <w:p>
      <w:pPr>
        <w:numPr>
          <w:ilvl w:val="0"/>
          <w:numId w:val="1067"/>
        </w:numPr>
      </w:pPr>
      <w:r>
        <w:t xml:space="preserve">Redundanz ist (oft) okay. Also z.B.</w:t>
      </w:r>
    </w:p>
    <w:p>
      <w:pPr>
        <w:numPr>
          <w:ilvl w:val="1"/>
          <w:numId w:val="1068"/>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8"/>
        </w:numPr>
      </w:pPr>
      <w:r>
        <w:t xml:space="preserve">oder: erklärender Fließtext und dann nochmal eine Infobox mit Eckdaten zu einem bestimmten Produkt.</w:t>
      </w:r>
    </w:p>
    <w:p>
      <w:pPr>
        <w:numPr>
          <w:ilvl w:val="0"/>
          <w:numId w:val="1067"/>
        </w:numPr>
      </w:pPr>
      <w:r>
        <w:t xml:space="preserve">Zusätzlich können verschieden Arten von Infoboxen verwendet werden (siehe</w:t>
      </w:r>
      <w:r>
        <w:t xml:space="preserve"> </w:t>
      </w:r>
      <w:hyperlink r:id="rId328">
        <w:r>
          <w:rPr>
            <w:rStyle w:val="Hyperlink"/>
          </w:rPr>
          <w:t xml:space="preserve">https://quarto.org/docs/authoring/callouts.html</w:t>
        </w:r>
      </w:hyperlink>
      <w:r>
        <w:t xml:space="preserve">)</w:t>
      </w:r>
    </w:p>
    <w:p>
      <w:pPr>
        <w:numPr>
          <w:ilvl w:val="0"/>
          <w:numId w:val="1067"/>
        </w:numPr>
      </w:pPr>
      <w:r>
        <w:t xml:space="preserve">Das Handbuch ist durch Überschriften bis zur vierten Ebene gegliedert. Innerhalb von Abschnitten können als Gliederungshilfe wichtige Begriff auch durch Fettdruck hervorgehoben werden.</w:t>
      </w:r>
    </w:p>
    <w:bookmarkEnd w:id="329"/>
    <w:bookmarkStart w:id="330" w:name="struktur-der-kapitel"/>
    <w:p>
      <w:pPr>
        <w:pStyle w:val="Heading3"/>
      </w:pPr>
      <w:r>
        <w:t xml:space="preserve">Struktur der Kapitel</w:t>
      </w:r>
    </w:p>
    <w:p>
      <w:pPr>
        <w:numPr>
          <w:ilvl w:val="0"/>
          <w:numId w:val="1069"/>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9"/>
        </w:numPr>
      </w:pPr>
      <w:r>
        <w:t xml:space="preserve">Jedes Kapitel hat einen Abstract, in dem die behandelten Themen kurz und verständlich genannt werden, einschließlich der wichtigsten Stichwörter.</w:t>
      </w:r>
    </w:p>
    <w:p>
      <w:pPr>
        <w:numPr>
          <w:ilvl w:val="0"/>
          <w:numId w:val="1069"/>
        </w:numPr>
      </w:pPr>
      <w:r>
        <w:t xml:space="preserve">Jedes Kapitel beginnt (nach dem Abstract, siehe oben) mit einer erklärenden Einleitung, die das Thema veranschaulicht und es ggf. zu anderen Themen abgrenzt/es mit ihnen verbindet.</w:t>
      </w:r>
    </w:p>
    <w:bookmarkEnd w:id="330"/>
    <w:bookmarkStart w:id="331" w:name="bilder-und-andere-medien"/>
    <w:p>
      <w:pPr>
        <w:pStyle w:val="Heading3"/>
      </w:pPr>
      <w:r>
        <w:t xml:space="preserve">Bilder und andere Medien</w:t>
      </w:r>
    </w:p>
    <w:p>
      <w:pPr>
        <w:numPr>
          <w:ilvl w:val="0"/>
          <w:numId w:val="1070"/>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70"/>
        </w:numPr>
      </w:pPr>
      <w:r>
        <w:t xml:space="preserve">Bilder sollten möglichst als Vektorgrafik (SVG) bereitgestellt werden.</w:t>
      </w:r>
    </w:p>
    <w:p>
      <w:pPr>
        <w:numPr>
          <w:ilvl w:val="0"/>
          <w:numId w:val="1070"/>
        </w:numPr>
      </w:pPr>
      <w:r>
        <w:t xml:space="preserve">Bitte nutzt sprechende Dateinamen!</w:t>
      </w:r>
    </w:p>
    <w:bookmarkEnd w:id="331"/>
    <w:bookmarkStart w:id="333"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32">
        <w:r>
          <w:rPr>
            <w:rStyle w:val="Hyperlink"/>
            <w:iCs/>
            <w:i/>
          </w:rPr>
          <w:t xml:space="preserve">https://github.com/pro4bib/handbuch-it-in-bibliotheken/issues/7</w:t>
        </w:r>
      </w:hyperlink>
      <w:r>
        <w:t xml:space="preserve">)</w:t>
      </w:r>
    </w:p>
    <w:bookmarkEnd w:id="333"/>
    <w:bookmarkStart w:id="335"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88">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34">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35"/>
    <w:bookmarkStart w:id="337"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36">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37"/>
    <w:bookmarkEnd w:id="338"/>
    <w:bookmarkStart w:id="351"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39">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40">
        <w:r>
          <w:rPr>
            <w:rStyle w:val="VerbatimChar"/>
          </w:rPr>
          <w:t xml:space="preserve">_grive/chapters.csv</w:t>
        </w:r>
      </w:hyperlink>
      <w:r>
        <w:t xml:space="preserve"> </w:t>
      </w:r>
      <w:r>
        <w:t xml:space="preserve">und in</w:t>
      </w:r>
      <w:r>
        <w:t xml:space="preserve"> </w:t>
      </w:r>
      <w:hyperlink r:id="rId341">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42">
        <w:r>
          <w:rPr>
            <w:rStyle w:val="Hyperlink"/>
          </w:rPr>
          <w:t xml:space="preserve">https://it-in-bibliotheken.de/</w:t>
        </w:r>
      </w:hyperlink>
      <w:r>
        <w:t xml:space="preserve"> </w:t>
      </w:r>
      <w:r>
        <w:t xml:space="preserve">immer der aktuellste Stand einsehbar sein sollte.</w:t>
      </w:r>
    </w:p>
    <w:bookmarkStart w:id="346"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1"/>
        </w:numPr>
      </w:pPr>
      <w:hyperlink r:id="rId343">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71"/>
        </w:numPr>
      </w:pPr>
      <w:hyperlink r:id="rId336">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71"/>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2"/>
        </w:numPr>
        <w:pStyle w:val="Compact"/>
      </w:pPr>
      <w:hyperlink r:id="rId344">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3"/>
        </w:numPr>
      </w:pPr>
      <w:r>
        <w:rPr>
          <w:rStyle w:val="VerbatimChar"/>
        </w:rPr>
        <w:t xml:space="preserve">docs/</w:t>
      </w:r>
      <w:r>
        <w:t xml:space="preserve"> </w:t>
      </w:r>
      <w:r>
        <w:t xml:space="preserve">aus den Masterdateien mit quarto erzeugte Publikation</w:t>
      </w:r>
    </w:p>
    <w:p>
      <w:pPr>
        <w:numPr>
          <w:ilvl w:val="0"/>
          <w:numId w:val="1073"/>
        </w:numPr>
      </w:pPr>
      <w:r>
        <w:rPr>
          <w:rStyle w:val="VerbatimChar"/>
        </w:rPr>
        <w:t xml:space="preserve">_gdrive/</w:t>
      </w:r>
      <w:r>
        <w:t xml:space="preserve"> </w:t>
      </w:r>
      <w:r>
        <w:t xml:space="preserve">von bzw. nach Google-Drive importierte bzw. exportierte Kapitel (siehe</w:t>
      </w:r>
      <w:r>
        <w:t xml:space="preserve"> </w:t>
      </w:r>
      <w:hyperlink r:id="rId345">
        <w:r>
          <w:rPr>
            <w:rStyle w:val="Hyperlink"/>
          </w:rPr>
          <w:t xml:space="preserve">README.md</w:t>
        </w:r>
      </w:hyperlink>
      <w:r>
        <w:t xml:space="preserve">)</w:t>
      </w:r>
    </w:p>
    <w:bookmarkEnd w:id="346"/>
    <w:bookmarkStart w:id="350"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47">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48">
        <w:r>
          <w:rPr>
            <w:rStyle w:val="VerbatimChar"/>
          </w:rPr>
          <w:t xml:space="preserve">Makefile</w:t>
        </w:r>
      </w:hyperlink>
      <w:r>
        <w:t xml:space="preserve"> </w:t>
      </w:r>
      <w:r>
        <w:t xml:space="preserve">zusammengefasst:</w:t>
      </w:r>
    </w:p>
    <w:p>
      <w:pPr>
        <w:numPr>
          <w:ilvl w:val="0"/>
          <w:numId w:val="1074"/>
        </w:numPr>
      </w:pPr>
      <w:r>
        <w:rPr>
          <w:rStyle w:val="VerbatimChar"/>
        </w:rPr>
        <w:t xml:space="preserve">make preview</w:t>
      </w:r>
      <w:r>
        <w:t xml:space="preserve"> </w:t>
      </w:r>
      <w:r>
        <w:t xml:space="preserve">konvertiert das Handbuch nach HTML und startet einen Webserver mit Vorschau unter</w:t>
      </w:r>
      <w:r>
        <w:t xml:space="preserve"> </w:t>
      </w:r>
      <w:hyperlink r:id="rId349">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4"/>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4"/>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4"/>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4"/>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50"/>
    <w:bookmarkEnd w:id="351"/>
    <w:bookmarkStart w:id="352"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52"/>
    <w:bookmarkEnd w:id="3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6">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84">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89">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98">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 w:id="118">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56">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167">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78">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193">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50">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0" Target="media/rId170.png" /><Relationship Type="http://schemas.openxmlformats.org/officeDocument/2006/relationships/image" Id="rId215" Target="media/rId215.png" /><Relationship Type="http://schemas.openxmlformats.org/officeDocument/2006/relationships/image" Id="rId69" Target="media/rId69.svg" /><Relationship Type="http://schemas.openxmlformats.org/officeDocument/2006/relationships/image" Id="rId59" Target="media/rId59.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53" Target="media/rId253.png" /><Relationship Type="http://schemas.openxmlformats.org/officeDocument/2006/relationships/image" Id="rId223" Target="media/rId223.shtml" /><Relationship Type="http://schemas.openxmlformats.org/officeDocument/2006/relationships/hyperlink" Id="rId348" Target="../Makefile" TargetMode="External" /><Relationship Type="http://schemas.openxmlformats.org/officeDocument/2006/relationships/hyperlink" Id="rId341" Target="README.md" TargetMode="External" /><Relationship Type="http://schemas.openxmlformats.org/officeDocument/2006/relationships/hyperlink" Id="rId345" Target="_gdrive/README.md" TargetMode="External" /><Relationship Type="http://schemas.openxmlformats.org/officeDocument/2006/relationships/hyperlink" Id="rId340" Target="_gdrive/chapters.csv" TargetMode="External" /><Relationship Type="http://schemas.openxmlformats.org/officeDocument/2006/relationships/hyperlink" Id="rId343" Target="_quarto.yml" TargetMode="External" /><Relationship Type="http://schemas.openxmlformats.org/officeDocument/2006/relationships/hyperlink" Id="rId336" Target="contributors.csv" TargetMode="External" /><Relationship Type="http://schemas.openxmlformats.org/officeDocument/2006/relationships/hyperlink" Id="rId186" Target="http://coral-erm.org" TargetMode="External" /><Relationship Type="http://schemas.openxmlformats.org/officeDocument/2006/relationships/hyperlink" Id="rId349"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2" Target="https://checkmk.com/" TargetMode="External" /><Relationship Type="http://schemas.openxmlformats.org/officeDocument/2006/relationships/hyperlink" Id="rId226"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0" Target="https://de.wikipedia.org/wiki/Datenschutz-Grundverordnung" TargetMode="External" /><Relationship Type="http://schemas.openxmlformats.org/officeDocument/2006/relationships/hyperlink" Id="rId281" Target="https://de.wikipedia.org/wiki/Datenverarbeitung_im_Auftrag" TargetMode="External" /><Relationship Type="http://schemas.openxmlformats.org/officeDocument/2006/relationships/hyperlink" Id="rId306" Target="https://de.wikipedia.org/wiki/Discovery-System" TargetMode="External" /><Relationship Type="http://schemas.openxmlformats.org/officeDocument/2006/relationships/hyperlink" Id="rId257" Target="https://de.wikipedia.org/wiki/EDIFACT" TargetMode="External" /><Relationship Type="http://schemas.openxmlformats.org/officeDocument/2006/relationships/hyperlink" Id="rId307" Target="https://de.wikipedia.org/wiki/Enterprise-Resource-Planning" TargetMode="External" /><Relationship Type="http://schemas.openxmlformats.org/officeDocument/2006/relationships/hyperlink" Id="rId316" Target="https://de.wikipedia.org/wiki/Gebrauchstauglichkeit_(Produkt)" TargetMode="External" /><Relationship Type="http://schemas.openxmlformats.org/officeDocument/2006/relationships/hyperlink" Id="rId311" Target="https://de.wikipedia.org/wiki/Lock-in-Effekt" TargetMode="External" /><Relationship Type="http://schemas.openxmlformats.org/officeDocument/2006/relationships/hyperlink" Id="rId312" Target="https://de.wikipedia.org/wiki/Machine-Readable_Cataloging" TargetMode="External" /><Relationship Type="http://schemas.openxmlformats.org/officeDocument/2006/relationships/hyperlink" Id="rId313" Target="https://de.wikipedia.org/wiki/OPAC" TargetMode="External" /><Relationship Type="http://schemas.openxmlformats.org/officeDocument/2006/relationships/hyperlink" Id="rId249" Target="https://de.wikipedia.org/wiki/OpenID" TargetMode="External" /><Relationship Type="http://schemas.openxmlformats.org/officeDocument/2006/relationships/hyperlink" Id="rId314" Target="https://de.wikipedia.org/wiki/Persona_(Mensch-Computer-Interaktion)" TargetMode="External" /><Relationship Type="http://schemas.openxmlformats.org/officeDocument/2006/relationships/hyperlink" Id="rId304" Target="https://de.wikipedia.org/wiki/Programmierschnittstelle" TargetMode="External" /><Relationship Type="http://schemas.openxmlformats.org/officeDocument/2006/relationships/hyperlink" Id="rId237" Target="https://de.wikipedia.org/wiki/Representational_State_Transfer" TargetMode="External" /><Relationship Type="http://schemas.openxmlformats.org/officeDocument/2006/relationships/hyperlink" Id="rId315" Target="https://de.wikipedia.org/wiki/Software_as_a_Service" TargetMode="External" /><Relationship Type="http://schemas.openxmlformats.org/officeDocument/2006/relationships/hyperlink" Id="rId317" Target="https://de.wikipedia.org/wiki/User_Experience" TargetMode="External" /><Relationship Type="http://schemas.openxmlformats.org/officeDocument/2006/relationships/hyperlink" Id="rId318"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04" Target="https://docs.google.com/document/d/1Cficj6r5qnnGMWIJgu-NaWiU1637aA8fUOPz-gPFD00/edit#heading=h.epp3ketud8iw" TargetMode="External" /><Relationship Type="http://schemas.openxmlformats.org/officeDocument/2006/relationships/hyperlink" Id="rId205" Target="https://docs.google.com/document/d/1Cficj6r5qnnGMWIJgu-NaWiU1637aA8fUOPz-gPFD00/edit#heading=h.owfykze6665n" TargetMode="External" /><Relationship Type="http://schemas.openxmlformats.org/officeDocument/2006/relationships/hyperlink" Id="rId294" Target="https://doi.org/10.1145/277351.277356" TargetMode="External" /><Relationship Type="http://schemas.openxmlformats.org/officeDocument/2006/relationships/hyperlink" Id="rId300" Target="https://doi.org/10.5282/o-bib/5797" TargetMode="External" /><Relationship Type="http://schemas.openxmlformats.org/officeDocument/2006/relationships/hyperlink" Id="rId322"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09"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48" Target="https://en.wikipedia.org/wiki/Shibboleth_(software)" TargetMode="External" /><Relationship Type="http://schemas.openxmlformats.org/officeDocument/2006/relationships/hyperlink" Id="rId235" Target="https://en.wikipedia.org/wiki/Standard_Interchange_Protocol" TargetMode="External" /><Relationship Type="http://schemas.openxmlformats.org/officeDocument/2006/relationships/hyperlink" Id="rId236" Target="https://en.wikipedia.org/wiki/Stunnel" TargetMode="External" /><Relationship Type="http://schemas.openxmlformats.org/officeDocument/2006/relationships/hyperlink" Id="rId207" Target="https://format.gbv.de" TargetMode="External" /><Relationship Type="http://schemas.openxmlformats.org/officeDocument/2006/relationships/hyperlink" Id="rId339" Target="https://github.com/pro4bib/handbuch-it-in-bibliotheken" TargetMode="External" /><Relationship Type="http://schemas.openxmlformats.org/officeDocument/2006/relationships/hyperlink" Id="rId323" Target="https://github.com/pro4bib/handbuch-it-in-bibliotheken/issues" TargetMode="External" /><Relationship Type="http://schemas.openxmlformats.org/officeDocument/2006/relationships/hyperlink" Id="rId332" Target="https://github.com/pro4bib/handbuch-it-in-bibliotheken/issues/7" TargetMode="External" /><Relationship Type="http://schemas.openxmlformats.org/officeDocument/2006/relationships/hyperlink" Id="rId308" Target="https://gokb.org/" TargetMode="External" /><Relationship Type="http://schemas.openxmlformats.org/officeDocument/2006/relationships/hyperlink" Id="rId190" Target="https://insights.uksg.org/articles/10.1629/2048-7754.174/" TargetMode="External" /><Relationship Type="http://schemas.openxmlformats.org/officeDocument/2006/relationships/hyperlink" Id="rId342"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1" Target="https://librarytechnology.org/products/" TargetMode="External" /><Relationship Type="http://schemas.openxmlformats.org/officeDocument/2006/relationships/hyperlink" Id="rId189" Target="https://must.de/default.html?Lib.htm" TargetMode="External" /><Relationship Type="http://schemas.openxmlformats.org/officeDocument/2006/relationships/hyperlink" Id="rId132"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7" Target="https://people.f3.htw-berlin.de/Professoren/Pruemper/instrumente.html" TargetMode="External" /><Relationship Type="http://schemas.openxmlformats.org/officeDocument/2006/relationships/hyperlink" Id="rId273" Target="https://prometheus.io/" TargetMode="External" /><Relationship Type="http://schemas.openxmlformats.org/officeDocument/2006/relationships/hyperlink" Id="rId347" Target="https://quarto.org" TargetMode="External" /><Relationship Type="http://schemas.openxmlformats.org/officeDocument/2006/relationships/hyperlink" Id="rId324" Target="https://quarto.org/" TargetMode="External" /><Relationship Type="http://schemas.openxmlformats.org/officeDocument/2006/relationships/hyperlink" Id="rId328" Target="https://quarto.org/docs/authoring/callouts.html" TargetMode="External" /><Relationship Type="http://schemas.openxmlformats.org/officeDocument/2006/relationships/hyperlink" Id="rId334" Target="https://quarto.org/docs/authoring/footnotes-and-citations.html#sec-citations" TargetMode="External" /><Relationship Type="http://schemas.openxmlformats.org/officeDocument/2006/relationships/hyperlink" Id="rId174" Target="https://unece.org/trade/uncefact/introducing-unedifact" TargetMode="External" /><Relationship Type="http://schemas.openxmlformats.org/officeDocument/2006/relationships/hyperlink" Id="rId152" Target="https://urc.library.harvard.edu/" TargetMode="External" /><Relationship Type="http://schemas.openxmlformats.org/officeDocument/2006/relationships/hyperlink" Id="rId245" Target="https://verbundwiki.gbv.de/display/VZG/DAIA" TargetMode="External" /><Relationship Type="http://schemas.openxmlformats.org/officeDocument/2006/relationships/hyperlink" Id="rId244" Target="https://verbundwiki.gbv.de/display/VZG/PAIA" TargetMode="External" /><Relationship Type="http://schemas.openxmlformats.org/officeDocument/2006/relationships/hyperlink" Id="rId182" Target="https://w.wiki/574K" TargetMode="External" /><Relationship Type="http://schemas.openxmlformats.org/officeDocument/2006/relationships/hyperlink" Id="rId153" Target="https://wiki.harvard.edu/confluence/pages/viewpage.action?pageId=232199222" TargetMode="External" /><Relationship Type="http://schemas.openxmlformats.org/officeDocument/2006/relationships/hyperlink" Id="rId149" Target="https://www.axure.com" TargetMode="External" /><Relationship Type="http://schemas.openxmlformats.org/officeDocument/2006/relationships/hyperlink" Id="rId197" Target="https://www.bibliotheksstatistik.de/" TargetMode="External" /><Relationship Type="http://schemas.openxmlformats.org/officeDocument/2006/relationships/hyperlink" Id="rId291"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48" Target="https://www.figma.com" TargetMode="External" /><Relationship Type="http://schemas.openxmlformats.org/officeDocument/2006/relationships/hyperlink" Id="rId219" Target="https://www.folio-bib.org/?page_id=247" TargetMode="External" /><Relationship Type="http://schemas.openxmlformats.org/officeDocument/2006/relationships/hyperlink" Id="rId213"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87" Target="https://www.greengeeks.com/tutorials/create-a-library-management-system-in-wordpress/" TargetMode="External" /><Relationship Type="http://schemas.openxmlformats.org/officeDocument/2006/relationships/hyperlink" Id="rId188" Target="https://www.his.de/" TargetMode="External" /><Relationship Type="http://schemas.openxmlformats.org/officeDocument/2006/relationships/hyperlink" Id="rId296" Target="https://www.infotoday.com/cilmag/jan22/Breeding--How-to-Secure-Library-Systems-From-Malware-Ransomware-and-Other-Cyberthreats.shtml" TargetMode="External" /><Relationship Type="http://schemas.openxmlformats.org/officeDocument/2006/relationships/hyperlink" Id="rId124" Target="https://www.johner-institut.de/blog/iec-62366-usability/user-experience/" TargetMode="External" /><Relationship Type="http://schemas.openxmlformats.org/officeDocument/2006/relationships/hyperlink" Id="rId289" Target="https://www.jstor.org/stable/40039721" TargetMode="External" /><Relationship Type="http://schemas.openxmlformats.org/officeDocument/2006/relationships/hyperlink" Id="rId184" Target="https://www.librarything.com/forlibraries" TargetMode="External" /><Relationship Type="http://schemas.openxmlformats.org/officeDocument/2006/relationships/hyperlink" Id="rId146" Target="https://www.mockplus.com/blog/post/basic-uiux-design-concept-difference-between-wireframe-prototype" TargetMode="External" /><Relationship Type="http://schemas.openxmlformats.org/officeDocument/2006/relationships/hyperlink" Id="rId310" Target="https://www.niso.org/standards-committees/kbart" TargetMode="External" /><Relationship Type="http://schemas.openxmlformats.org/officeDocument/2006/relationships/hyperlink" Id="rId121" Target="https://www.nngroup.com/articles/ten-usability-heuristics/" TargetMode="External" /><Relationship Type="http://schemas.openxmlformats.org/officeDocument/2006/relationships/hyperlink" Id="rId305" Target="https://www.projectcounter.org/" TargetMode="External" /><Relationship Type="http://schemas.openxmlformats.org/officeDocument/2006/relationships/hyperlink" Id="rId259" Target="https://www.projectcounter.org/counter-sushi/" TargetMode="External" /><Relationship Type="http://schemas.openxmlformats.org/officeDocument/2006/relationships/hyperlink" Id="rId142" Target="https://www.storyboardthat.com/de/storyboards/1c78733f/matilda-library-visit" TargetMode="External" /><Relationship Type="http://schemas.openxmlformats.org/officeDocument/2006/relationships/hyperlink" Id="rId192"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19" Target="https://www.w3.org/WAI/standards-guidelines/wcag/" TargetMode="External" /><Relationship Type="http://schemas.openxmlformats.org/officeDocument/2006/relationships/hyperlink" Id="rId185" Target="https://www.zotero.org/groups/" TargetMode="External" /><Relationship Type="http://schemas.openxmlformats.org/officeDocument/2006/relationships/hyperlink" Id="rId288"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4" Target="media" TargetMode="External" /></Relationships>
</file>

<file path=word/_rels/footnotes.xml.rels><?xml version="1.0" encoding="UTF-8"?><Relationships xmlns="http://schemas.openxmlformats.org/package/2006/relationships"><Relationship Type="http://schemas.openxmlformats.org/officeDocument/2006/relationships/hyperlink" Id="rId348" Target="../Makefile" TargetMode="External" /><Relationship Type="http://schemas.openxmlformats.org/officeDocument/2006/relationships/hyperlink" Id="rId341" Target="README.md" TargetMode="External" /><Relationship Type="http://schemas.openxmlformats.org/officeDocument/2006/relationships/hyperlink" Id="rId345" Target="_gdrive/README.md" TargetMode="External" /><Relationship Type="http://schemas.openxmlformats.org/officeDocument/2006/relationships/hyperlink" Id="rId340" Target="_gdrive/chapters.csv" TargetMode="External" /><Relationship Type="http://schemas.openxmlformats.org/officeDocument/2006/relationships/hyperlink" Id="rId343" Target="_quarto.yml" TargetMode="External" /><Relationship Type="http://schemas.openxmlformats.org/officeDocument/2006/relationships/hyperlink" Id="rId336" Target="contributors.csv" TargetMode="External" /><Relationship Type="http://schemas.openxmlformats.org/officeDocument/2006/relationships/hyperlink" Id="rId186" Target="http://coral-erm.org" TargetMode="External" /><Relationship Type="http://schemas.openxmlformats.org/officeDocument/2006/relationships/hyperlink" Id="rId349"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2" Target="https://checkmk.com/" TargetMode="External" /><Relationship Type="http://schemas.openxmlformats.org/officeDocument/2006/relationships/hyperlink" Id="rId226"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0" Target="https://de.wikipedia.org/wiki/Datenschutz-Grundverordnung" TargetMode="External" /><Relationship Type="http://schemas.openxmlformats.org/officeDocument/2006/relationships/hyperlink" Id="rId281" Target="https://de.wikipedia.org/wiki/Datenverarbeitung_im_Auftrag" TargetMode="External" /><Relationship Type="http://schemas.openxmlformats.org/officeDocument/2006/relationships/hyperlink" Id="rId306" Target="https://de.wikipedia.org/wiki/Discovery-System" TargetMode="External" /><Relationship Type="http://schemas.openxmlformats.org/officeDocument/2006/relationships/hyperlink" Id="rId257" Target="https://de.wikipedia.org/wiki/EDIFACT" TargetMode="External" /><Relationship Type="http://schemas.openxmlformats.org/officeDocument/2006/relationships/hyperlink" Id="rId307" Target="https://de.wikipedia.org/wiki/Enterprise-Resource-Planning" TargetMode="External" /><Relationship Type="http://schemas.openxmlformats.org/officeDocument/2006/relationships/hyperlink" Id="rId316" Target="https://de.wikipedia.org/wiki/Gebrauchstauglichkeit_(Produkt)" TargetMode="External" /><Relationship Type="http://schemas.openxmlformats.org/officeDocument/2006/relationships/hyperlink" Id="rId311" Target="https://de.wikipedia.org/wiki/Lock-in-Effekt" TargetMode="External" /><Relationship Type="http://schemas.openxmlformats.org/officeDocument/2006/relationships/hyperlink" Id="rId312" Target="https://de.wikipedia.org/wiki/Machine-Readable_Cataloging" TargetMode="External" /><Relationship Type="http://schemas.openxmlformats.org/officeDocument/2006/relationships/hyperlink" Id="rId313" Target="https://de.wikipedia.org/wiki/OPAC" TargetMode="External" /><Relationship Type="http://schemas.openxmlformats.org/officeDocument/2006/relationships/hyperlink" Id="rId249" Target="https://de.wikipedia.org/wiki/OpenID" TargetMode="External" /><Relationship Type="http://schemas.openxmlformats.org/officeDocument/2006/relationships/hyperlink" Id="rId314" Target="https://de.wikipedia.org/wiki/Persona_(Mensch-Computer-Interaktion)" TargetMode="External" /><Relationship Type="http://schemas.openxmlformats.org/officeDocument/2006/relationships/hyperlink" Id="rId304" Target="https://de.wikipedia.org/wiki/Programmierschnittstelle" TargetMode="External" /><Relationship Type="http://schemas.openxmlformats.org/officeDocument/2006/relationships/hyperlink" Id="rId237" Target="https://de.wikipedia.org/wiki/Representational_State_Transfer" TargetMode="External" /><Relationship Type="http://schemas.openxmlformats.org/officeDocument/2006/relationships/hyperlink" Id="rId315" Target="https://de.wikipedia.org/wiki/Software_as_a_Service" TargetMode="External" /><Relationship Type="http://schemas.openxmlformats.org/officeDocument/2006/relationships/hyperlink" Id="rId317" Target="https://de.wikipedia.org/wiki/User_Experience" TargetMode="External" /><Relationship Type="http://schemas.openxmlformats.org/officeDocument/2006/relationships/hyperlink" Id="rId318"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04" Target="https://docs.google.com/document/d/1Cficj6r5qnnGMWIJgu-NaWiU1637aA8fUOPz-gPFD00/edit#heading=h.epp3ketud8iw" TargetMode="External" /><Relationship Type="http://schemas.openxmlformats.org/officeDocument/2006/relationships/hyperlink" Id="rId205" Target="https://docs.google.com/document/d/1Cficj6r5qnnGMWIJgu-NaWiU1637aA8fUOPz-gPFD00/edit#heading=h.owfykze6665n" TargetMode="External" /><Relationship Type="http://schemas.openxmlformats.org/officeDocument/2006/relationships/hyperlink" Id="rId294" Target="https://doi.org/10.1145/277351.277356" TargetMode="External" /><Relationship Type="http://schemas.openxmlformats.org/officeDocument/2006/relationships/hyperlink" Id="rId300" Target="https://doi.org/10.5282/o-bib/5797" TargetMode="External" /><Relationship Type="http://schemas.openxmlformats.org/officeDocument/2006/relationships/hyperlink" Id="rId322"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09"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48" Target="https://en.wikipedia.org/wiki/Shibboleth_(software)" TargetMode="External" /><Relationship Type="http://schemas.openxmlformats.org/officeDocument/2006/relationships/hyperlink" Id="rId235" Target="https://en.wikipedia.org/wiki/Standard_Interchange_Protocol" TargetMode="External" /><Relationship Type="http://schemas.openxmlformats.org/officeDocument/2006/relationships/hyperlink" Id="rId236" Target="https://en.wikipedia.org/wiki/Stunnel" TargetMode="External" /><Relationship Type="http://schemas.openxmlformats.org/officeDocument/2006/relationships/hyperlink" Id="rId207" Target="https://format.gbv.de" TargetMode="External" /><Relationship Type="http://schemas.openxmlformats.org/officeDocument/2006/relationships/hyperlink" Id="rId339" Target="https://github.com/pro4bib/handbuch-it-in-bibliotheken" TargetMode="External" /><Relationship Type="http://schemas.openxmlformats.org/officeDocument/2006/relationships/hyperlink" Id="rId323" Target="https://github.com/pro4bib/handbuch-it-in-bibliotheken/issues" TargetMode="External" /><Relationship Type="http://schemas.openxmlformats.org/officeDocument/2006/relationships/hyperlink" Id="rId332" Target="https://github.com/pro4bib/handbuch-it-in-bibliotheken/issues/7" TargetMode="External" /><Relationship Type="http://schemas.openxmlformats.org/officeDocument/2006/relationships/hyperlink" Id="rId308" Target="https://gokb.org/" TargetMode="External" /><Relationship Type="http://schemas.openxmlformats.org/officeDocument/2006/relationships/hyperlink" Id="rId190" Target="https://insights.uksg.org/articles/10.1629/2048-7754.174/" TargetMode="External" /><Relationship Type="http://schemas.openxmlformats.org/officeDocument/2006/relationships/hyperlink" Id="rId342"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1" Target="https://librarytechnology.org/products/" TargetMode="External" /><Relationship Type="http://schemas.openxmlformats.org/officeDocument/2006/relationships/hyperlink" Id="rId189" Target="https://must.de/default.html?Lib.htm" TargetMode="External" /><Relationship Type="http://schemas.openxmlformats.org/officeDocument/2006/relationships/hyperlink" Id="rId132"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7" Target="https://people.f3.htw-berlin.de/Professoren/Pruemper/instrumente.html" TargetMode="External" /><Relationship Type="http://schemas.openxmlformats.org/officeDocument/2006/relationships/hyperlink" Id="rId273" Target="https://prometheus.io/" TargetMode="External" /><Relationship Type="http://schemas.openxmlformats.org/officeDocument/2006/relationships/hyperlink" Id="rId347" Target="https://quarto.org" TargetMode="External" /><Relationship Type="http://schemas.openxmlformats.org/officeDocument/2006/relationships/hyperlink" Id="rId324" Target="https://quarto.org/" TargetMode="External" /><Relationship Type="http://schemas.openxmlformats.org/officeDocument/2006/relationships/hyperlink" Id="rId328" Target="https://quarto.org/docs/authoring/callouts.html" TargetMode="External" /><Relationship Type="http://schemas.openxmlformats.org/officeDocument/2006/relationships/hyperlink" Id="rId334" Target="https://quarto.org/docs/authoring/footnotes-and-citations.html#sec-citations" TargetMode="External" /><Relationship Type="http://schemas.openxmlformats.org/officeDocument/2006/relationships/hyperlink" Id="rId174" Target="https://unece.org/trade/uncefact/introducing-unedifact" TargetMode="External" /><Relationship Type="http://schemas.openxmlformats.org/officeDocument/2006/relationships/hyperlink" Id="rId152" Target="https://urc.library.harvard.edu/" TargetMode="External" /><Relationship Type="http://schemas.openxmlformats.org/officeDocument/2006/relationships/hyperlink" Id="rId245" Target="https://verbundwiki.gbv.de/display/VZG/DAIA" TargetMode="External" /><Relationship Type="http://schemas.openxmlformats.org/officeDocument/2006/relationships/hyperlink" Id="rId244" Target="https://verbundwiki.gbv.de/display/VZG/PAIA" TargetMode="External" /><Relationship Type="http://schemas.openxmlformats.org/officeDocument/2006/relationships/hyperlink" Id="rId182" Target="https://w.wiki/574K" TargetMode="External" /><Relationship Type="http://schemas.openxmlformats.org/officeDocument/2006/relationships/hyperlink" Id="rId153" Target="https://wiki.harvard.edu/confluence/pages/viewpage.action?pageId=232199222" TargetMode="External" /><Relationship Type="http://schemas.openxmlformats.org/officeDocument/2006/relationships/hyperlink" Id="rId149" Target="https://www.axure.com" TargetMode="External" /><Relationship Type="http://schemas.openxmlformats.org/officeDocument/2006/relationships/hyperlink" Id="rId197" Target="https://www.bibliotheksstatistik.de/" TargetMode="External" /><Relationship Type="http://schemas.openxmlformats.org/officeDocument/2006/relationships/hyperlink" Id="rId291"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48" Target="https://www.figma.com" TargetMode="External" /><Relationship Type="http://schemas.openxmlformats.org/officeDocument/2006/relationships/hyperlink" Id="rId219" Target="https://www.folio-bib.org/?page_id=247" TargetMode="External" /><Relationship Type="http://schemas.openxmlformats.org/officeDocument/2006/relationships/hyperlink" Id="rId213"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87" Target="https://www.greengeeks.com/tutorials/create-a-library-management-system-in-wordpress/" TargetMode="External" /><Relationship Type="http://schemas.openxmlformats.org/officeDocument/2006/relationships/hyperlink" Id="rId188" Target="https://www.his.de/" TargetMode="External" /><Relationship Type="http://schemas.openxmlformats.org/officeDocument/2006/relationships/hyperlink" Id="rId296" Target="https://www.infotoday.com/cilmag/jan22/Breeding--How-to-Secure-Library-Systems-From-Malware-Ransomware-and-Other-Cyberthreats.shtml" TargetMode="External" /><Relationship Type="http://schemas.openxmlformats.org/officeDocument/2006/relationships/hyperlink" Id="rId124" Target="https://www.johner-institut.de/blog/iec-62366-usability/user-experience/" TargetMode="External" /><Relationship Type="http://schemas.openxmlformats.org/officeDocument/2006/relationships/hyperlink" Id="rId289" Target="https://www.jstor.org/stable/40039721" TargetMode="External" /><Relationship Type="http://schemas.openxmlformats.org/officeDocument/2006/relationships/hyperlink" Id="rId184" Target="https://www.librarything.com/forlibraries" TargetMode="External" /><Relationship Type="http://schemas.openxmlformats.org/officeDocument/2006/relationships/hyperlink" Id="rId146" Target="https://www.mockplus.com/blog/post/basic-uiux-design-concept-difference-between-wireframe-prototype" TargetMode="External" /><Relationship Type="http://schemas.openxmlformats.org/officeDocument/2006/relationships/hyperlink" Id="rId310" Target="https://www.niso.org/standards-committees/kbart" TargetMode="External" /><Relationship Type="http://schemas.openxmlformats.org/officeDocument/2006/relationships/hyperlink" Id="rId121" Target="https://www.nngroup.com/articles/ten-usability-heuristics/" TargetMode="External" /><Relationship Type="http://schemas.openxmlformats.org/officeDocument/2006/relationships/hyperlink" Id="rId305" Target="https://www.projectcounter.org/" TargetMode="External" /><Relationship Type="http://schemas.openxmlformats.org/officeDocument/2006/relationships/hyperlink" Id="rId259" Target="https://www.projectcounter.org/counter-sushi/" TargetMode="External" /><Relationship Type="http://schemas.openxmlformats.org/officeDocument/2006/relationships/hyperlink" Id="rId142" Target="https://www.storyboardthat.com/de/storyboards/1c78733f/matilda-library-visit" TargetMode="External" /><Relationship Type="http://schemas.openxmlformats.org/officeDocument/2006/relationships/hyperlink" Id="rId192"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19" Target="https://www.w3.org/WAI/standards-guidelines/wcag/" TargetMode="External" /><Relationship Type="http://schemas.openxmlformats.org/officeDocument/2006/relationships/hyperlink" Id="rId185" Target="https://www.zotero.org/groups/" TargetMode="External" /><Relationship Type="http://schemas.openxmlformats.org/officeDocument/2006/relationships/hyperlink" Id="rId288"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4"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2022-05-27T08:27:33Z</dcterms:created>
  <dcterms:modified xsi:type="dcterms:W3CDTF">2022-05-27T08:27:33Z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2022-05-27T00:00:00+00:00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