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222.png" ContentType="image/png"/>
  <Override PartName="/word/media/rId69.svg" ContentType="image/svg+xml"/>
  <Override PartName="/word/media/rId59.svg" ContentType="image/svg+xml"/>
  <Override PartName="/word/media/rId125.svg" ContentType="image/svg+xml"/>
  <Override PartName="/word/media/rId56.png" ContentType="image/png"/>
  <Override PartName="/word/media/rId23.png" ContentType="image/png"/>
  <Override PartName="/word/media/rId259.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9"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 Nutzenenden 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6"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6" w:name="fig-anonymous-1"/>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bookmarkEnd w:id="146"/>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7"/>
    <w:bookmarkStart w:id="152"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1" w:name="fig-5"/>
          <w:p>
            <w:pPr>
              <w:pStyle w:val="Figure"/>
              <w:jc w:val="center"/>
            </w:pPr>
            <w:r>
              <w:drawing>
                <wp:inline>
                  <wp:extent cx="3048000" cy="2286000"/>
                  <wp:effectExtent b="0" l="0" r="0" t="0"/>
                  <wp:docPr descr="" title="" id="148" name="Picture"/>
                  <a:graphic>
                    <a:graphicData uri="http://schemas.openxmlformats.org/drawingml/2006/picture">
                      <pic:pic>
                        <pic:nvPicPr>
                          <pic:cNvPr descr="./media/missing.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0">
              <w:r>
                <w:rPr>
                  <w:rStyle w:val="Hyperlink"/>
                </w:rPr>
                <w:t xml:space="preserve">https://www.mockplus.com/blog/post/basic-uiux-design-concept-difference-between-wireframe-prototype</w:t>
              </w:r>
            </w:hyperlink>
            <w:r>
              <w:t xml:space="preserve"> </w:t>
            </w:r>
            <w:r>
              <w:t xml:space="preserve">(Platzhalter)</w:t>
            </w:r>
          </w:p>
          <w:bookmarkEnd w:id="151"/>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2"/>
    <w:bookmarkStart w:id="155"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3">
        <w:r>
          <w:rPr>
            <w:rStyle w:val="Hyperlink"/>
          </w:rPr>
          <w:t xml:space="preserve">Figma</w:t>
        </w:r>
      </w:hyperlink>
      <w:r>
        <w:t xml:space="preserve"> </w:t>
      </w:r>
      <w:r>
        <w:t xml:space="preserve">oder</w:t>
      </w:r>
      <w:r>
        <w:t xml:space="preserve"> </w:t>
      </w:r>
      <w:hyperlink r:id="rId154">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5"/>
    <w:bookmarkEnd w:id="156"/>
    <w:bookmarkStart w:id="16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7">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8">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1" w:name="fig-6"/>
      <w:r>
        <w:drawing>
          <wp:inline>
            <wp:extent cx="3048000" cy="2286000"/>
            <wp:effectExtent b="0" l="0" r="0" t="0"/>
            <wp:docPr descr="" title="" id="159" name="Picture"/>
            <a:graphic>
              <a:graphicData uri="http://schemas.openxmlformats.org/drawingml/2006/picture">
                <pic:pic>
                  <pic:nvPicPr>
                    <pic:cNvPr descr="./media/missing.svg" id="1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1"/>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3"/>
    <w:bookmarkStart w:id="16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4"/>
    <w:bookmarkStart w:id="16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5"/>
    <w:bookmarkEnd w:id="166"/>
    <w:bookmarkEnd w:id="167"/>
    <w:bookmarkStart w:id="168"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8"/>
    <w:bookmarkEnd w:id="169"/>
    <w:bookmarkStart w:id="29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80"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4"/>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opt/quarto/share/formats/docx/tip.png" id="1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8" name="Picture"/>
                  <a:graphic>
                    <a:graphicData uri="http://schemas.openxmlformats.org/drawingml/2006/picture">
                      <pic:pic>
                        <pic:nvPicPr>
                          <pic:cNvPr descr="./media/bms-timeline.png" id="179" name="Picture"/>
                          <pic:cNvPicPr>
                            <a:picLocks noChangeArrowheads="1" noChangeAspect="1"/>
                          </pic:cNvPicPr>
                        </pic:nvPicPr>
                        <pic:blipFill>
                          <a:blip r:embed="rId177"/>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0"/>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2"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1">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2"/>
    <w:bookmarkStart w:id="183"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3"/>
    <w:bookmarkStart w:id="184"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4"/>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5"/>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9">
        <w:r>
          <w:rPr>
            <w:rStyle w:val="Hyperlink"/>
          </w:rPr>
          <w:t xml:space="preserve">https://w.wiki/574K</w:t>
        </w:r>
      </w:hyperlink>
      <w:r>
        <w:t xml:space="preserve"> </w:t>
      </w:r>
      <w:r>
        <w:t xml:space="preserve">abgefragt werden.</w:t>
      </w:r>
    </w:p>
    <w:bookmarkEnd w:id="190"/>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9">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0"/>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note.png" id="2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4" w:name="fig-anonymous-1"/>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4"/>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5"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5"/>
    <w:bookmarkStart w:id="236"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6"/>
    <w:bookmarkStart w:id="237"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7"/>
    <w:bookmarkStart w:id="238"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8"/>
    <w:bookmarkStart w:id="239"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9"/>
    <w:bookmarkStart w:id="240"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0"/>
    <w:bookmarkStart w:id="241"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1"/>
    <w:bookmarkStart w:id="250"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2">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3">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4">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5"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5"/>
    <w:bookmarkStart w:id="246"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6"/>
    <w:bookmarkStart w:id="247"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7"/>
    <w:bookmarkStart w:id="248"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8"/>
    <w:bookmarkStart w:id="249"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9"/>
    <w:bookmarkEnd w:id="250"/>
    <w:bookmarkStart w:id="253"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1">
        <w:r>
          <w:rPr>
            <w:rStyle w:val="Hyperlink"/>
          </w:rPr>
          <w:t xml:space="preserve">PAIA</w:t>
        </w:r>
      </w:hyperlink>
      <w:r>
        <w:t xml:space="preserve"> </w:t>
      </w:r>
      <w:r>
        <w:t xml:space="preserve">und</w:t>
      </w:r>
      <w:r>
        <w:t xml:space="preserve"> </w:t>
      </w:r>
      <w:hyperlink r:id="rId252">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3"/>
    <w:bookmarkStart w:id="26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5">
        <w:r>
          <w:rPr>
            <w:rStyle w:val="Hyperlink"/>
          </w:rPr>
          <w:t xml:space="preserve">OpenID</w:t>
        </w:r>
      </w:hyperlink>
      <w:r>
        <w:t xml:space="preserve"> </w:t>
      </w:r>
      <w:r>
        <w:rPr>
          <w:rStyle w:val="FootnoteReference"/>
        </w:rPr>
        <w:footnoteReference w:id="256"/>
      </w:r>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7"/>
    <w:bookmarkEnd w:id="258"/>
    <w:bookmarkStart w:id="26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warning.png" id="261" name="Picture"/>
                          <pic:cNvPicPr>
                            <a:picLocks noChangeArrowheads="1" noChangeAspect="1"/>
                          </pic:cNvPicPr>
                        </pic:nvPicPr>
                        <pic:blipFill>
                          <a:blip r:embed="rId2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2"/>
    <w:bookmarkStart w:id="26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4"/>
    <w:bookmarkStart w:id="26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5">
        <w:r>
          <w:rPr>
            <w:rStyle w:val="Hyperlink"/>
          </w:rPr>
          <w:t xml:space="preserve">COUNTER</w:t>
        </w:r>
      </w:hyperlink>
      <w:r>
        <w:t xml:space="preserve">-Reports</w:t>
      </w:r>
      <w:r>
        <w:t xml:space="preserve"> </w:t>
      </w:r>
      <w:r>
        <w:t xml:space="preserve">für statistische Daten der Nutzung digitaler Medien importieren.</w:t>
      </w:r>
    </w:p>
    <w:bookmarkEnd w:id="266"/>
    <w:bookmarkEnd w:id="267"/>
    <w:bookmarkEnd w:id="268"/>
    <w:bookmarkStart w:id="28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note.png" id="2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1"/>
    <w:bookmarkStart w:id="27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2"/>
    <w:bookmarkStart w:id="27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3"/>
    <w:bookmarkEnd w:id="274"/>
    <w:bookmarkStart w:id="27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5"/>
    <w:bookmarkStart w:id="27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6"/>
    <w:bookmarkStart w:id="27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7"/>
    <w:bookmarkStart w:id="28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8">
        <w:r>
          <w:rPr>
            <w:rStyle w:val="Hyperlink"/>
          </w:rPr>
          <w:t xml:space="preserve">Check_MK</w:t>
        </w:r>
      </w:hyperlink>
      <w:r>
        <w:t xml:space="preserve"> </w:t>
      </w:r>
      <w:r>
        <w:t xml:space="preserve">oder</w:t>
      </w:r>
      <w:r>
        <w:t xml:space="preserve"> </w:t>
      </w:r>
      <w:hyperlink r:id="rId27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0"/>
    <w:bookmarkStart w:id="28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1"/>
    <w:bookmarkEnd w:id="282"/>
    <w:bookmarkStart w:id="28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3"/>
    <w:bookmarkStart w:id="28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4"/>
    <w:bookmarkStart w:id="28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2">
        <w:r>
          <w:rPr>
            <w:rStyle w:val="Hyperlink"/>
          </w:rPr>
          <w:t xml:space="preserve">SIP</w:t>
        </w:r>
      </w:hyperlink>
      <w:r>
        <w:t xml:space="preserve">,</w:t>
      </w:r>
      <w:r>
        <w:t xml:space="preserve"> </w:t>
      </w:r>
      <w:r>
        <w:t xml:space="preserve">oder man setzt auf moderne, allgemeine API-Standards wie</w:t>
      </w:r>
      <w:r>
        <w:t xml:space="preserve"> </w:t>
      </w:r>
      <w:hyperlink r:id="rId244">
        <w:r>
          <w:rPr>
            <w:rStyle w:val="Hyperlink"/>
          </w:rPr>
          <w:t xml:space="preserve">REST</w:t>
        </w:r>
      </w:hyperlink>
      <w:r>
        <w:t xml:space="preserve">.</w:t>
      </w:r>
    </w:p>
    <w:bookmarkEnd w:id="285"/>
    <w:bookmarkStart w:id="28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8"/>
    <w:bookmarkEnd w:id="289"/>
    <w:bookmarkStart w:id="292"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0" name="Picture"/>
                  <a:graphic>
                    <a:graphicData uri="http://schemas.openxmlformats.org/drawingml/2006/picture">
                      <pic:pic>
                        <pic:nvPicPr>
                          <pic:cNvPr descr="/opt/quarto/share/formats/docx/note.png" id="29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2"/>
    <w:bookmarkEnd w:id="293"/>
    <w:bookmarkStart w:id="30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4">
        <w:r>
          <w:rPr>
            <w:rStyle w:val="Hyperlink"/>
          </w:rPr>
          <w:t xml:space="preserve">in einer Zotero-Gruppe</w:t>
        </w:r>
      </w:hyperlink>
      <w:r>
        <w:t xml:space="preserve"> </w:t>
      </w:r>
      <w:r>
        <w:t xml:space="preserve">verwaltet. Hier davon nur die explizit im Handbuch referenzierten Publikationen:</w:t>
      </w:r>
    </w:p>
    <w:bookmarkStart w:id="308" w:name="refs"/>
    <w:bookmarkStart w:id="29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5">
        <w:r>
          <w:rPr>
            <w:rStyle w:val="Hyperlink"/>
          </w:rPr>
          <w:t xml:space="preserve">https://www.jstor.org/stable/40039721</w:t>
        </w:r>
      </w:hyperlink>
      <w:r>
        <w:t xml:space="preserve">.</w:t>
      </w:r>
    </w:p>
    <w:bookmarkEnd w:id="296"/>
    <w:bookmarkStart w:id="29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29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2">
        <w:r>
          <w:rPr>
            <w:rStyle w:val="Hyperlink"/>
          </w:rPr>
          <w:t xml:space="preserve">https://www.infotoday.com/cilmag/jan22/Breeding--How-to-Secure-Library-Systems-From-Malware-Ransomware-and-Other-Cyberthreats.shtml</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3">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6"/>
    <w:bookmarkStart w:id="32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7"/>
    <w:bookmarkStart w:id="35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8">
        <w:r>
          <w:rPr>
            <w:rStyle w:val="Hyperlink"/>
          </w:rPr>
          <w:t xml:space="preserve">Google Drive Verzeichnis</w:t>
        </w:r>
      </w:hyperlink>
      <w:r>
        <w:t xml:space="preserve"> </w:t>
      </w:r>
      <w:r>
        <w:t xml:space="preserve">zum Korrekturlesen und Kommentieren bereitgestellt. Änderungen können auch</w:t>
      </w:r>
      <w:r>
        <w:t xml:space="preserve"> </w:t>
      </w:r>
      <w:hyperlink r:id="rId32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0">
        <w:r>
          <w:rPr>
            <w:rStyle w:val="Hyperlink"/>
          </w:rPr>
          <w:t xml:space="preserve">quarto</w:t>
        </w:r>
      </w:hyperlink>
      <w:r>
        <w:t xml:space="preserve"> </w:t>
      </w:r>
      <w:r>
        <w:t xml:space="preserve">in HTML und anderen Formaten aus den Quellen zusammengebaut wird.</w:t>
      </w:r>
    </w:p>
    <w:bookmarkEnd w:id="331"/>
    <w:bookmarkStart w:id="34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2"/>
    <w:bookmarkStart w:id="33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3"/>
    <w:bookmarkStart w:id="33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4">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5"/>
    <w:bookmarkStart w:id="33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6"/>
    <w:bookmarkStart w:id="33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7"/>
    <w:bookmarkStart w:id="33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8">
        <w:r>
          <w:rPr>
            <w:rStyle w:val="Hyperlink"/>
            <w:iCs/>
            <w:i/>
          </w:rPr>
          <w:t xml:space="preserve">https://github.com/pro4bib/handbuch-it-in-bibliotheken/issues/7</w:t>
        </w:r>
      </w:hyperlink>
      <w:r>
        <w:t xml:space="preserve">)</w:t>
      </w:r>
    </w:p>
    <w:bookmarkEnd w:id="339"/>
    <w:bookmarkStart w:id="34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1"/>
    <w:bookmarkStart w:id="34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3"/>
    <w:bookmarkEnd w:id="344"/>
    <w:bookmarkStart w:id="35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6">
        <w:r>
          <w:rPr>
            <w:rStyle w:val="VerbatimChar"/>
          </w:rPr>
          <w:t xml:space="preserve">_grive/chapters.csv</w:t>
        </w:r>
      </w:hyperlink>
      <w:r>
        <w:t xml:space="preserve"> </w:t>
      </w:r>
      <w:r>
        <w:t xml:space="preserve">und in</w:t>
      </w:r>
      <w:r>
        <w:t xml:space="preserve"> </w:t>
      </w:r>
      <w:hyperlink r:id="rId34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8">
        <w:r>
          <w:rPr>
            <w:rStyle w:val="Hyperlink"/>
          </w:rPr>
          <w:t xml:space="preserve">https://it-in-bibliotheken.de/</w:t>
        </w:r>
      </w:hyperlink>
      <w:r>
        <w:t xml:space="preserve"> </w:t>
      </w:r>
      <w:r>
        <w:t xml:space="preserve">immer der aktuellste Stand einsehbar sein sollte.</w:t>
      </w:r>
    </w:p>
    <w:bookmarkStart w:id="35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1">
        <w:r>
          <w:rPr>
            <w:rStyle w:val="Hyperlink"/>
          </w:rPr>
          <w:t xml:space="preserve">README.md</w:t>
        </w:r>
      </w:hyperlink>
      <w:r>
        <w:t xml:space="preserve">)</w:t>
      </w:r>
    </w:p>
    <w:bookmarkEnd w:id="352"/>
    <w:bookmarkStart w:id="35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6"/>
    <w:bookmarkEnd w:id="357"/>
    <w:bookmarkStart w:id="35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8"/>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2">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4">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5">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20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6">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222" Target="media/rId222.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9" Target="media/rId259.png" /><Relationship Type="http://schemas.openxmlformats.org/officeDocument/2006/relationships/image" Id="rId230" Target="media/rId230.shtml" /><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_rels/footnotes.xml.rels><?xml version="1.0" encoding="UTF-8"?><Relationships xmlns="http://schemas.openxmlformats.org/package/2006/relationships"><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2022-05-27T14:23:19Z</dcterms:created>
  <dcterms:modified xsi:type="dcterms:W3CDTF">2022-05-27T14:23:19Z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