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11"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10"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1">
        <w:r>
          <w:rPr>
            <w:rStyle w:val="Hyperlink"/>
          </w:rPr>
          <w:t xml:space="preserve">https://www.din.de/de/mitwirken/normenausschuesse/naerg/veroeffentlichungen/wdc-beuth:din21:320862700</w:t>
        </w:r>
      </w:hyperlink>
      <w:r>
        <w:t xml:space="preserve">.</w:t>
      </w:r>
    </w:p>
    <w:bookmarkEnd w:id="292"/>
    <w:bookmarkStart w:id="294"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3">
        <w:r>
          <w:rPr>
            <w:rStyle w:val="Hyperlink"/>
          </w:rPr>
          <w:t xml:space="preserve">https://publikationen.dguv.de/widgets/pdf/download/article/409</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6">
        <w:r>
          <w:rPr>
            <w:rStyle w:val="Hyperlink"/>
          </w:rPr>
          <w:t xml:space="preserve">https://www.gov.uk/guidance/government-design-principles</w:t>
        </w:r>
      </w:hyperlink>
      <w:r>
        <w:t xml:space="preserve">.</w:t>
      </w:r>
    </w:p>
    <w:bookmarkEnd w:id="297"/>
    <w:bookmarkStart w:id="299"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1"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0">
        <w:r>
          <w:rPr>
            <w:rStyle w:val="Hyperlink"/>
          </w:rPr>
          <w:t xml:space="preserve">https://www.nngroup.com/articles/why-you-only-need-to-test-with-5-users/</w:t>
        </w:r>
      </w:hyperlink>
      <w:r>
        <w:t xml:space="preserve">.</w:t>
      </w:r>
    </w:p>
    <w:bookmarkEnd w:id="301"/>
    <w:bookmarkStart w:id="303"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2">
        <w:r>
          <w:rPr>
            <w:rStyle w:val="Hyperlink"/>
          </w:rPr>
          <w:t xml:space="preserve">https://doi.org/10.1145/277351.277356</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5">
        <w:r>
          <w:rPr>
            <w:rStyle w:val="Hyperlink"/>
          </w:rPr>
          <w:t xml:space="preserve">https://docplayer.org/61296444-Anforderungen-an-ein-bibliothekssystem-der-neuen-generation.html</w:t>
        </w:r>
      </w:hyperlink>
      <w:r>
        <w:t xml:space="preserve">.</w:t>
      </w:r>
    </w:p>
    <w:bookmarkEnd w:id="306"/>
    <w:bookmarkStart w:id="30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7"/>
    <w:bookmarkStart w:id="30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8">
        <w:r>
          <w:rPr>
            <w:rStyle w:val="Hyperlink"/>
          </w:rPr>
          <w:t xml:space="preserve">https://doi.org/10.5282/o-bib/5797</w:t>
        </w:r>
      </w:hyperlink>
      <w:r>
        <w:t xml:space="preserve">.</w:t>
      </w:r>
    </w:p>
    <w:bookmarkEnd w:id="309"/>
    <w:bookmarkEnd w:id="310"/>
    <w:bookmarkEnd w:id="311"/>
    <w:bookmarkStart w:id="328" w:name="glossar"/>
    <w:p>
      <w:pPr>
        <w:pStyle w:val="Heading1"/>
      </w:pPr>
      <w:r>
        <w:t xml:space="preserve">Glossar</w:t>
      </w:r>
    </w:p>
    <w:p>
      <w:pPr>
        <w:pStyle w:val="DefinitionTerm"/>
      </w:pPr>
      <w:hyperlink r:id="rId31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3">
        <w:r>
          <w:rPr>
            <w:rStyle w:val="Hyperlink"/>
          </w:rPr>
          <w:t xml:space="preserve">COUNTER</w:t>
        </w:r>
      </w:hyperlink>
    </w:p>
    <w:p>
      <w:pPr>
        <w:pStyle w:val="Definition"/>
      </w:pPr>
      <w:r>
        <w:t xml:space="preserve">Counting Online Usage of NeTworked Electronic Resources</w:t>
      </w:r>
    </w:p>
    <w:p>
      <w:pPr>
        <w:pStyle w:val="DefinitionTerm"/>
      </w:pPr>
      <w:hyperlink r:id="rId31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6">
        <w:r>
          <w:rPr>
            <w:rStyle w:val="Hyperlink"/>
          </w:rPr>
          <w:t xml:space="preserve">GOKb</w:t>
        </w:r>
      </w:hyperlink>
    </w:p>
    <w:p>
      <w:pPr>
        <w:pStyle w:val="Definition"/>
      </w:pPr>
      <w:r>
        <w:t xml:space="preserve">Global Open Knowledgebase, eine Open Data Plattform</w:t>
      </w:r>
    </w:p>
    <w:p>
      <w:pPr>
        <w:pStyle w:val="DefinitionTerm"/>
      </w:pPr>
      <w:hyperlink r:id="rId317">
        <w:r>
          <w:rPr>
            <w:rStyle w:val="Hyperlink"/>
          </w:rPr>
          <w:t xml:space="preserve">IDM</w:t>
        </w:r>
      </w:hyperlink>
    </w:p>
    <w:p>
      <w:pPr>
        <w:pStyle w:val="Definition"/>
      </w:pPr>
      <w:r>
        <w:t xml:space="preserve">Identity Management, das Speichern von Metadaten zu Personen</w:t>
      </w:r>
    </w:p>
    <w:p>
      <w:pPr>
        <w:pStyle w:val="DefinitionTerm"/>
      </w:pPr>
      <w:hyperlink r:id="rId318">
        <w:r>
          <w:rPr>
            <w:rStyle w:val="Hyperlink"/>
          </w:rPr>
          <w:t xml:space="preserve">KBART</w:t>
        </w:r>
      </w:hyperlink>
    </w:p>
    <w:p>
      <w:pPr>
        <w:pStyle w:val="Definition"/>
      </w:pPr>
      <w:r>
        <w:t xml:space="preserve">Knowledgebases and related tools, Datenformat zum Transfer von Metadaten</w:t>
      </w:r>
    </w:p>
    <w:p>
      <w:pPr>
        <w:pStyle w:val="DefinitionTerm"/>
      </w:pPr>
      <w:hyperlink r:id="rId319">
        <w:r>
          <w:rPr>
            <w:rStyle w:val="Hyperlink"/>
          </w:rPr>
          <w:t xml:space="preserve">Lock-In-Effekt</w:t>
        </w:r>
      </w:hyperlink>
    </w:p>
    <w:p>
      <w:pPr>
        <w:pStyle w:val="Definition"/>
      </w:pPr>
      <w:r>
        <w:t xml:space="preserve">Kundenbindung durch hohen Wechselaufwand</w:t>
      </w:r>
    </w:p>
    <w:p>
      <w:pPr>
        <w:pStyle w:val="DefinitionTerm"/>
      </w:pPr>
      <w:hyperlink r:id="rId32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1">
        <w:r>
          <w:rPr>
            <w:rStyle w:val="Hyperlink"/>
          </w:rPr>
          <w:t xml:space="preserve">OPAC</w:t>
        </w:r>
      </w:hyperlink>
    </w:p>
    <w:p>
      <w:pPr>
        <w:pStyle w:val="Definition"/>
      </w:pPr>
      <w:r>
        <w:t xml:space="preserve">Online Public Access Catalogue, Katalog einer Bibliothek</w:t>
      </w:r>
    </w:p>
    <w:p>
      <w:pPr>
        <w:pStyle w:val="DefinitionTerm"/>
      </w:pPr>
      <w:hyperlink r:id="rId322">
        <w:r>
          <w:rPr>
            <w:rStyle w:val="Hyperlink"/>
          </w:rPr>
          <w:t xml:space="preserve">Persona</w:t>
        </w:r>
      </w:hyperlink>
    </w:p>
    <w:p>
      <w:pPr>
        <w:pStyle w:val="Definition"/>
      </w:pPr>
      <w:r>
        <w:t xml:space="preserve">„Maske“, ein Modell zur Beschreibung eines Anforderungsszenario</w:t>
      </w:r>
    </w:p>
    <w:p>
      <w:pPr>
        <w:pStyle w:val="DefinitionTerm"/>
      </w:pPr>
      <w:hyperlink r:id="rId323">
        <w:r>
          <w:rPr>
            <w:rStyle w:val="Hyperlink"/>
          </w:rPr>
          <w:t xml:space="preserve">SaaS</w:t>
        </w:r>
      </w:hyperlink>
    </w:p>
    <w:p>
      <w:pPr>
        <w:pStyle w:val="Definition"/>
      </w:pPr>
      <w:r>
        <w:t xml:space="preserve">Software as a Service, Software und Hardware bei externem Dienstleister</w:t>
      </w:r>
    </w:p>
    <w:p>
      <w:pPr>
        <w:pStyle w:val="DefinitionTerm"/>
      </w:pPr>
      <w:hyperlink r:id="rId324">
        <w:r>
          <w:rPr>
            <w:rStyle w:val="Hyperlink"/>
          </w:rPr>
          <w:t xml:space="preserve">Usability</w:t>
        </w:r>
      </w:hyperlink>
    </w:p>
    <w:p>
      <w:pPr>
        <w:pStyle w:val="Definition"/>
      </w:pPr>
      <w:r>
        <w:t xml:space="preserve">Gebrauchstauglichkeit</w:t>
      </w:r>
    </w:p>
    <w:p>
      <w:pPr>
        <w:pStyle w:val="DefinitionTerm"/>
      </w:pPr>
      <w:hyperlink r:id="rId325">
        <w:r>
          <w:rPr>
            <w:rStyle w:val="Hyperlink"/>
          </w:rPr>
          <w:t xml:space="preserve">User Experience</w:t>
        </w:r>
      </w:hyperlink>
    </w:p>
    <w:p>
      <w:pPr>
        <w:pStyle w:val="Definition"/>
      </w:pPr>
      <w:r>
        <w:t xml:space="preserve">Nutzererfahrung</w:t>
      </w:r>
    </w:p>
    <w:p>
      <w:pPr>
        <w:pStyle w:val="DefinitionTerm"/>
      </w:pPr>
      <w:hyperlink r:id="rId326">
        <w:r>
          <w:rPr>
            <w:rStyle w:val="Hyperlink"/>
          </w:rPr>
          <w:t xml:space="preserve">VR</w:t>
        </w:r>
      </w:hyperlink>
    </w:p>
    <w:p>
      <w:pPr>
        <w:pStyle w:val="Definition"/>
      </w:pPr>
      <w:r>
        <w:t xml:space="preserve">Virtual Reality, (computer-generierte) virtuelle Umgebung</w:t>
      </w:r>
    </w:p>
    <w:p>
      <w:pPr>
        <w:pStyle w:val="DefinitionTerm"/>
      </w:pPr>
      <w:hyperlink r:id="rId32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8"/>
    <w:bookmarkStart w:id="329"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9"/>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6"/>
    <w:bookmarkStart w:id="340" w:name="struktur"/>
    <w:p>
      <w:pPr>
        <w:pStyle w:val="Heading3"/>
      </w:pPr>
      <w:r>
        <w:t xml:space="preserve">Struktur</w:t>
      </w:r>
    </w:p>
    <w:bookmarkStart w:id="338"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7">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8"/>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50">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2022-05-30T10:30:42Z</dcterms:created>
  <dcterms:modified xsi:type="dcterms:W3CDTF">2022-05-30T10:30:42Z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