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9.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6"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4"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9" w:name="fig-6"/>
          <w:p>
            <w:pPr>
              <w:pStyle w:val="Figure"/>
              <w:jc w:val="center"/>
            </w:pPr>
            <w:r>
              <w:drawing>
                <wp:inline>
                  <wp:extent cx="0" cy="0"/>
                  <wp:effectExtent b="0" l="0" r="0" t="0"/>
                  <wp:docPr descr="" title="" id="157" name="Picture"/>
                  <a:graphic>
                    <a:graphicData uri="http://schemas.openxmlformats.org/drawingml/2006/picture">
                      <pic:pic>
                        <pic:nvPicPr>
                          <pic:cNvPr descr="./media/usability_ux.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9"/>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2"/>
    <w:bookmarkEnd w:id="163"/>
    <w:bookmarkEnd w:id="164"/>
    <w:bookmarkStart w:id="165"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5"/>
    <w:bookmarkEnd w:id="166"/>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3"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88"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4">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5" name="Picture"/>
                  <a:graphic>
                    <a:graphicData uri="http://schemas.openxmlformats.org/drawingml/2006/picture">
                      <pic:pic>
                        <pic:nvPicPr>
                          <pic:cNvPr descr="/opt/quarto/share/formats/docx/tip.png" id="18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7" w:name="it-lebenszyklus"/>
            <w:r>
              <w:t xml:space="preserve">IT-Lebenszyklus</w:t>
            </w:r>
            <w:bookmarkEnd w:id="187"/>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7">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8"/>
    <w:bookmarkStart w:id="19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9"/>
    <w:bookmarkStart w:id="20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0"/>
    <w:bookmarkStart w:id="20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2"/>
    <w:bookmarkEnd w:id="203"/>
    <w:bookmarkStart w:id="20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4"/>
    <w:bookmarkEnd w:id="205"/>
    <w:bookmarkStart w:id="21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6"/>
    <w:bookmarkStart w:id="20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7"/>
    <w:bookmarkStart w:id="21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0"/>
    <w:bookmarkStart w:id="21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1">
        <w:r>
          <w:rPr>
            <w:rStyle w:val="Hyperlink"/>
          </w:rPr>
          <w:t xml:space="preserve">https://format.gbv.de</w:t>
        </w:r>
      </w:hyperlink>
      <w:r>
        <w:t xml:space="preserve">.</w:t>
      </w:r>
    </w:p>
    <w:bookmarkEnd w:id="212"/>
    <w:bookmarkStart w:id="21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3"/>
    <w:bookmarkEnd w:id="214"/>
    <w:bookmarkStart w:id="226"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opt/quarto/share/formats/docx/tip.png" id="21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8"/>
    <w:bookmarkStart w:id="22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2" w:name="fig-matrix"/>
          <w:p>
            <w:pPr>
              <w:pStyle w:val="Figure"/>
              <w:jc w:val="center"/>
            </w:pPr>
            <w:r>
              <w:drawing>
                <wp:inline>
                  <wp:extent cx="5334000" cy="4227332"/>
                  <wp:effectExtent b="0" l="0" r="0" t="0"/>
                  <wp:docPr descr="" title="" id="220" name="Picture"/>
                  <a:graphic>
                    <a:graphicData uri="http://schemas.openxmlformats.org/drawingml/2006/picture">
                      <pic:pic>
                        <pic:nvPicPr>
                          <pic:cNvPr descr="./media/matrix.png" id="221" name="Picture"/>
                          <pic:cNvPicPr>
                            <a:picLocks noChangeArrowheads="1" noChangeAspect="1"/>
                          </pic:cNvPicPr>
                        </pic:nvPicPr>
                        <pic:blipFill>
                          <a:blip r:embed="rId21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4"/>
    <w:bookmarkStart w:id="22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5"/>
    <w:bookmarkEnd w:id="226"/>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1" w:name="fig-anonymous-1"/>
          <w:p>
            <w:pPr>
              <w:jc w:val="center"/>
            </w:pPr>
            <w:hyperlink r:id="rId230">
              <w:r>
                <w:drawing>
                  <wp:inline>
                    <wp:extent cx="3810000" cy="2540000"/>
                    <wp:effectExtent b="0" l="0" r="0" t="0"/>
                    <wp:docPr descr="" title="Quelle: Stkl (CC-BY-SA 3.0)" id="228" name="Picture"/>
                    <a:graphic>
                      <a:graphicData uri="http://schemas.openxmlformats.org/drawingml/2006/picture">
                        <pic:pic>
                          <pic:nvPicPr>
                            <pic:cNvPr descr="https://upload.wikimedia.org/wikipedia/commons/9/94/BPMN-1.svg" id="229" name="Picture"/>
                            <pic:cNvPicPr>
                              <a:picLocks noChangeArrowheads="1" noChangeAspect="1"/>
                            </pic:cNvPicPr>
                          </pic:nvPicPr>
                          <pic:blipFill>
                            <a:blip r:embed="rId22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4"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3"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1"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0"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40"/>
    <w:bookmarkEnd w:id="341"/>
    <w:bookmarkStart w:id="343"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2"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2"/>
    <w:bookmarkEnd w:id="343"/>
    <w:bookmarkStart w:id="344"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4"/>
    <w:bookmarkStart w:id="346"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5">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6"/>
    <w:bookmarkStart w:id="350"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7" name="Picture"/>
                  <a:graphic>
                    <a:graphicData uri="http://schemas.openxmlformats.org/drawingml/2006/picture">
                      <pic:pic>
                        <pic:nvPicPr>
                          <pic:cNvPr descr="/opt/quarto/share/formats/docx/warning.png" id="3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9">
              <w:r>
                <w:rPr>
                  <w:rStyle w:val="Hyperlink"/>
                </w:rPr>
                <w:t xml:space="preserve">noch nicht umgesetzt</w:t>
              </w:r>
            </w:hyperlink>
            <w:r>
              <w:t xml:space="preserve">.</w:t>
            </w:r>
          </w:p>
        </w:tc>
      </w:tr>
    </w:tbl>
    <w:bookmarkEnd w:id="350"/>
    <w:bookmarkStart w:id="352"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1">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2"/>
    <w:bookmarkEnd w:id="353"/>
    <w:bookmarkStart w:id="362" w:name="technik"/>
    <w:p>
      <w:pPr>
        <w:pStyle w:val="Heading2"/>
      </w:pPr>
      <w:r>
        <w:t xml:space="preserve">Technik</w:t>
      </w:r>
    </w:p>
    <w:p>
      <w:pPr>
        <w:pStyle w:val="FirstParagraph"/>
      </w:pPr>
      <w:r>
        <w:t xml:space="preserve">Die Master-Version des Handbuch liegt in einem git-Repository unter</w:t>
      </w:r>
      <w:r>
        <w:t xml:space="preserve"> </w:t>
      </w:r>
      <w:hyperlink r:id="rId354">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5">
        <w:r>
          <w:rPr>
            <w:rStyle w:val="Hyperlink"/>
          </w:rPr>
          <w:t xml:space="preserve">https://it-in-bibliotheken.de/</w:t>
        </w:r>
      </w:hyperlink>
      <w:r>
        <w:t xml:space="preserve"> </w:t>
      </w:r>
      <w:r>
        <w:t xml:space="preserve">immer der aktuellste Stand einsehbar sein sollte.</w:t>
      </w:r>
    </w:p>
    <w:bookmarkStart w:id="35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1">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6">
        <w:r>
          <w:rPr>
            <w:rStyle w:val="Hyperlink"/>
          </w:rPr>
          <w:t xml:space="preserve">README.md</w:t>
        </w:r>
      </w:hyperlink>
      <w:r>
        <w:t xml:space="preserve">)</w:t>
      </w:r>
    </w:p>
    <w:bookmarkEnd w:id="357"/>
    <w:bookmarkStart w:id="361" w:name="konvertierung"/>
    <w:p>
      <w:pPr>
        <w:pStyle w:val="Heading3"/>
      </w:pPr>
      <w:r>
        <w:t xml:space="preserve">Konvertierung</w:t>
      </w:r>
    </w:p>
    <w:p>
      <w:pPr>
        <w:pStyle w:val="FirstParagraph"/>
      </w:pPr>
      <w:r>
        <w:t xml:space="preserve">Zur Anpassung der Konvertierung des Handbuchs mit</w:t>
      </w:r>
      <w:r>
        <w:t xml:space="preserve"> </w:t>
      </w:r>
      <w:hyperlink r:id="rId358">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9">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1"/>
    <w:bookmarkEnd w:id="362"/>
    <w:bookmarkStart w:id="36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3"/>
    <w:bookmarkEnd w:id="3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9" Target="media/rId219.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7" Target="media/rId227.shtml" /><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2022-05-31T07:02:11Z</dcterms:created>
  <dcterms:modified xsi:type="dcterms:W3CDTF">2022-05-31T07:02:11Z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