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3.png" ContentType="image/png"/>
  <Override PartName="/word/media/rId186.png" ContentType="image/png"/>
  <Override PartName="/word/media/rId55.svg" ContentType="image/svg+xml"/>
  <Override PartName="/word/media/rId136.png" ContentType="image/png"/>
  <Override PartName="/word/media/rId140.png" ContentType="image/png"/>
  <Override PartName="/word/media/rId217.png" ContentType="image/png"/>
  <Override PartName="/word/media/rId194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2022-05-16T00:00:00+00:00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einleitung"/>
    <w:p>
      <w:pPr>
        <w:pStyle w:val="Heading1"/>
      </w:pPr>
      <w:r>
        <w:t xml:space="preserve">Einleitung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(Cody Hanson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werden. Vor allem zu den für</w:t>
      </w:r>
      <w:r>
        <w:t xml:space="preserve"> </w:t>
      </w:r>
      <w:r>
        <w:t xml:space="preserve">Bibliotheken 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Bibliotheksmanagementsystemen</w:t>
        </w:r>
      </w:hyperlink>
      <w:r>
        <w:t xml:space="preserve"> </w:t>
      </w:r>
      <w:r>
        <w:t xml:space="preserve">fehlte bislang eine grundlegende Einführung.</w:t>
      </w:r>
    </w:p>
    <w:p>
      <w:pPr>
        <w:pStyle w:val="BodyText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</w:t>
      </w:r>
    </w:p>
    <w:bookmarkEnd w:id="20"/>
    <w:bookmarkStart w:id="25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 im Rahmen eines Book Sprints im</w:t>
      </w:r>
      <w:r>
        <w:t xml:space="preserve"> </w:t>
      </w:r>
      <w:r>
        <w:t xml:space="preserve">April 2022 an der Bibliothek der Technischen Hochschule Wildau erstellt.</w:t>
      </w:r>
      <w:r>
        <w:t xml:space="preserve"> </w:t>
      </w:r>
      <w:r>
        <w:t xml:space="preserve">Dazu trafen sich zwölf IT-affine Expert*innen aus dem</w:t>
      </w:r>
      <w:r>
        <w:t xml:space="preserve"> </w:t>
      </w:r>
      <w:r>
        <w:t xml:space="preserve">Bibliotheksbereich, um innerhalb von drei Tagen eine umfassende</w:t>
      </w:r>
      <w:r>
        <w:t xml:space="preserve"> </w:t>
      </w:r>
      <w:r>
        <w:t xml:space="preserve">Übersicht speziell zum Thema Bibliotheksmanagementsysteme (BMS) zu</w:t>
      </w:r>
      <w:r>
        <w:t xml:space="preserve"> </w:t>
      </w:r>
      <w:r>
        <w:t xml:space="preserve">verfassen. Weitere Autor*innen wurden im Laufe der Veranstaltung</w:t>
      </w:r>
      <w:r>
        <w:t xml:space="preserve"> </w:t>
      </w:r>
      <w:r>
        <w:t xml:space="preserve">eingebunden.</w:t>
      </w:r>
    </w:p>
    <w:p>
      <w:pPr>
        <w:pStyle w:val="BodyText"/>
      </w:pPr>
      <w:r>
        <w:t xml:space="preserve">Zur Klärung der Zielgruppe wurden einige sogenannte Personas definiert</w:t>
      </w:r>
      <w:r>
        <w:t xml:space="preserve"> </w:t>
      </w:r>
      <w:r>
        <w:t xml:space="preserve">(siehe</w:t>
      </w:r>
      <w:r>
        <w:t xml:space="preserve"> </w:t>
      </w:r>
      <w:hyperlink w:anchor="zielgruppe">
        <w:r>
          <w:rPr>
            <w:rStyle w:val="Hyperlink"/>
          </w:rPr>
          <w:t xml:space="preserve">Anhang</w:t>
        </w:r>
      </w:hyperlink>
      <w:r>
        <w:t xml:space="preserve">).</w:t>
      </w:r>
      <w:r>
        <w:t xml:space="preserve"> </w:t>
      </w:r>
      <w:r>
        <w:t xml:space="preserve">Eine Brainstorming-Session ergab zunächst relevante Themen für den</w:t>
      </w:r>
      <w:r>
        <w:t xml:space="preserve"> </w:t>
      </w:r>
      <w:r>
        <w:t xml:space="preserve">Teilbereich BMS und eine grobe Gliederung in Unterkapitel. Diese wurden</w:t>
      </w:r>
      <w:r>
        <w:t xml:space="preserve"> </w:t>
      </w:r>
      <w:r>
        <w:t xml:space="preserve">anschließend in mehreren Iterationen gemeinsam ausformuliert. Das</w:t>
      </w:r>
      <w:r>
        <w:t xml:space="preserve"> </w:t>
      </w:r>
      <w:r>
        <w:t xml:space="preserve">Ergebnis sind drei Hauptkapitel zu IT-Themen für Bibliotheken: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Bibliotheks-IT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Bibliotheks-IT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wie IT-Entwicklung, Forschungsunterstützung und Datenformate</w:t>
      </w:r>
      <w:r>
        <w:t xml:space="preserve"> </w:t>
      </w:r>
      <w:r>
        <w:t xml:space="preserve">sind bisher nicht oder nur fragmentarisch behandelt. Um diese Kapitel zu</w:t>
      </w:r>
      <w:r>
        <w:t xml:space="preserve"> </w:t>
      </w:r>
      <w:r>
        <w:t xml:space="preserve">vervollständigen und weitere Kapitel anzulegen sollen weitere Book Sprints</w:t>
      </w:r>
      <w:r>
        <w:t xml:space="preserve"> </w:t>
      </w:r>
      <w:r>
        <w:t xml:space="preserve">veranstaltet werden.</w:t>
      </w:r>
    </w:p>
    <w:p>
      <w:pPr>
        <w:pStyle w:val="BodyText"/>
      </w:pPr>
      <w:r>
        <w:t xml:space="preserve">Das Handbuch ist ein</w:t>
      </w:r>
      <w:r>
        <w:t xml:space="preserve"> </w:t>
      </w:r>
      <w:r>
        <w:t xml:space="preserve">“</w:t>
      </w:r>
      <w:r>
        <w:t xml:space="preserve">lebendiges Buch</w:t>
      </w:r>
      <w:r>
        <w:t xml:space="preserve">”</w:t>
      </w:r>
      <w:r>
        <w:t xml:space="preserve">, das stetig ergänzt und aktualisiert</w:t>
      </w:r>
      <w:r>
        <w:t xml:space="preserve"> </w:t>
      </w:r>
      <w:r>
        <w:t xml:space="preserve">werden kann. Die vorläufige Form basiert auf Markdown-Dokumenten, die aus</w:t>
      </w:r>
      <w:r>
        <w:t xml:space="preserve"> </w:t>
      </w:r>
      <w:r>
        <w:t xml:space="preserve">Google Docs exportiert</w:t>
      </w:r>
      <w:r>
        <w:t xml:space="preserve"> </w:t>
      </w:r>
      <w:hyperlink r:id="rId21">
        <w:r>
          <w:rPr>
            <w:rStyle w:val="Hyperlink"/>
          </w:rPr>
          <w:t xml:space="preserve">in einem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verwaltet und von dort mittels</w:t>
      </w:r>
      <w:r>
        <w:t xml:space="preserve"> </w:t>
      </w:r>
      <w:hyperlink r:id="rId22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 andere</w:t>
      </w:r>
      <w:r>
        <w:t xml:space="preserve"> </w:t>
      </w:r>
      <w:r>
        <w:t xml:space="preserve">Publikationsformate konvertiert werden.</w:t>
      </w:r>
    </w:p>
    <w:p>
      <w:pPr>
        <w:pStyle w:val="BodyText"/>
      </w:pPr>
      <w:r>
        <w:t xml:space="preserve">Bei der Bearbeitung sollten folgende 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numPr>
          <w:ilvl w:val="0"/>
          <w:numId w:val="1002"/>
        </w:numPr>
      </w:pPr>
      <w:r>
        <w:t xml:space="preserve">Zur Gewährleistung einer einheitlichen Form gibt es im Anhang einen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.</w:t>
      </w:r>
    </w:p>
    <w:p>
      <w:pPr>
        <w:pStyle w:val="FirstParagraph"/>
      </w:pPr>
      <w:r>
        <w:t xml:space="preserve">Weitere Hinweise zur Mitarbeit finden sich im git-repository in der Datei</w:t>
      </w:r>
      <w:r>
        <w:t xml:space="preserve"> </w:t>
      </w:r>
      <w:hyperlink r:id="rId23">
        <w:r>
          <w:rPr>
            <w:rStyle w:val="Hyperlink"/>
          </w:rPr>
          <w:t xml:space="preserve">CONTRIBUTING.md</w:t>
        </w:r>
      </w:hyperlink>
      <w:r>
        <w:t xml:space="preserve">.</w:t>
      </w:r>
    </w:p>
    <w:p>
      <w:pPr>
        <w:pStyle w:val="BodyText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4">
        <w:r>
          <w:rPr>
            <w:rStyle w:val="Hyperlink"/>
          </w:rPr>
          <w:t xml:space="preserve">https://www.th-wildau.de/hochschule/zentrale-einrichtungen/hochschulbibliothek/ueber-die-bibliothek/projekte/book-sprint/</w:t>
        </w:r>
      </w:hyperlink>
      <w:r>
        <w:t xml:space="preserve">.</w:t>
      </w:r>
    </w:p>
    <w:bookmarkEnd w:id="25"/>
    <w:bookmarkStart w:id="51" w:name="beteiligte-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26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27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28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29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0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1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 der</w:t>
      </w:r>
      <w:r>
        <w:t xml:space="preserve"> </w:t>
      </w:r>
      <w:r>
        <w:t xml:space="preserve">Staatsbibliothek Berlin</w:t>
      </w:r>
      <w:r>
        <w:br/>
      </w:r>
      <w:hyperlink r:id="rId32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3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34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35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</w:t>
      </w:r>
      <w:r>
        <w:t xml:space="preserve"> </w:t>
      </w:r>
      <w:r>
        <w:t xml:space="preserve">der ThULB Jena</w:t>
      </w:r>
      <w:r>
        <w:br/>
      </w:r>
      <w:hyperlink r:id="rId36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37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38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39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0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1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2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3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44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45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46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47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48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 öffentlichen</w:t>
      </w:r>
      <w:r>
        <w:t xml:space="preserve"> </w:t>
      </w:r>
      <w:r>
        <w:t xml:space="preserve">Verwaltung an der HWR Berlin</w:t>
      </w:r>
      <w:r>
        <w:br/>
      </w:r>
      <w:hyperlink r:id="rId49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0">
        <w:r>
          <w:rPr>
            <w:rStyle w:val="Hyperlink"/>
          </w:rPr>
          <w:t xml:space="preserve">david.zellhoefer@hwr-berlin.de</w:t>
        </w:r>
      </w:hyperlink>
    </w:p>
    <w:bookmarkEnd w:id="51"/>
    <w:bookmarkStart w:id="53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 Creative Commons Namensnennung 3.0</w:t>
      </w:r>
      <w:r>
        <w:t xml:space="preserve"> </w:t>
      </w:r>
      <w:r>
        <w:t xml:space="preserve">Deutschland (</w:t>
      </w:r>
      <w:hyperlink r:id="rId52">
        <w:r>
          <w:rPr>
            <w:rStyle w:val="Hyperlink"/>
          </w:rPr>
          <w:t xml:space="preserve">CC BY 3.0 DE</w:t>
        </w:r>
      </w:hyperlink>
      <w:r>
        <w:t xml:space="preserve">).</w:t>
      </w:r>
      <w:r>
        <w:t xml:space="preserve"> </w:t>
      </w:r>
      <w:r>
        <w:t xml:space="preserve">Das heisst,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3"/>
    <w:bookmarkEnd w:id="54"/>
    <w:bookmarkStart w:id="92" w:name="management"/>
    <w:p>
      <w:pPr>
        <w:pStyle w:val="Heading1"/>
      </w:pPr>
      <w:r>
        <w:t xml:space="preserve">Management von IT-Systemen</w:t>
      </w:r>
    </w:p>
    <w:p>
      <w:pPr>
        <w:pStyle w:val="FirstParagraph"/>
      </w:pPr>
      <w:r>
        <w:t xml:space="preserve">Zur Einführung in die Thematik werden im folgenden Abschnitt</w:t>
      </w:r>
      <w:r>
        <w:t xml:space="preserve"> </w:t>
      </w:r>
      <w:r>
        <w:t xml:space="preserve">verschiedene Aspekte des Managements von IT-Systemen in Bibliotheken</w:t>
      </w:r>
      <w:r>
        <w:t xml:space="preserve"> </w:t>
      </w:r>
      <w:r>
        <w:t xml:space="preserve">dargestellt. Die Lebenszyklus eines IT-Systems bildet den Auftakt der</w:t>
      </w:r>
      <w:r>
        <w:t xml:space="preserve"> </w:t>
      </w:r>
      <w:r>
        <w:t xml:space="preserve">Übersicht. Weiter werden Themen wie Betriebssicherheit und</w:t>
      </w:r>
      <w:r>
        <w:t xml:space="preserve"> </w:t>
      </w:r>
      <w:r>
        <w:t xml:space="preserve">Risikomanagement sowie rechtliche Rahmenbedingungen betrachtet. Den</w:t>
      </w:r>
      <w:r>
        <w:t xml:space="preserve"> </w:t>
      </w:r>
      <w:r>
        <w:t xml:space="preserve">Abschluss des Kapitels bilden Ausführungen zu notwendigen</w:t>
      </w:r>
      <w:r>
        <w:t xml:space="preserve"> </w:t>
      </w:r>
      <w:hyperlink w:anchor="kompetenzen">
        <w:r>
          <w:rPr>
            <w:rStyle w:val="Hyperlink"/>
          </w:rPr>
          <w:t xml:space="preserve">IT-Kompetenzen</w:t>
        </w:r>
      </w:hyperlink>
      <w:r>
        <w:t xml:space="preserve">, zur</w:t>
      </w:r>
      <w:r>
        <w:t xml:space="preserve"> </w:t>
      </w:r>
      <w:hyperlink w:anchor="organisation">
        <w:r>
          <w:rPr>
            <w:rStyle w:val="Hyperlink"/>
          </w:rPr>
          <w:t xml:space="preserve">IT-Organisation</w:t>
        </w:r>
      </w:hyperlink>
      <w:r>
        <w:t xml:space="preserve"> </w:t>
      </w:r>
      <w:r>
        <w:t xml:space="preserve">sowie zu</w:t>
      </w:r>
      <w:r>
        <w:t xml:space="preserve"> </w:t>
      </w:r>
      <w:hyperlink w:anchor="aus--und-weiterbildung">
        <w:r>
          <w:rPr>
            <w:rStyle w:val="Hyperlink"/>
          </w:rPr>
          <w:t xml:space="preserve">Aus- und Weiterbildung</w:t>
        </w:r>
      </w:hyperlink>
      <w:r>
        <w:t xml:space="preserve">.</w:t>
      </w:r>
    </w:p>
    <w:bookmarkStart w:id="83" w:name="it-systeme"/>
    <w:p>
      <w:pPr>
        <w:pStyle w:val="Heading2"/>
      </w:pPr>
      <w:r>
        <w:t xml:space="preserve">IT-Systeme</w:t>
      </w:r>
    </w:p>
    <w:bookmarkStart w:id="68" w:name="lebenszyklen-von-it-systemen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 (siehe</w:t>
      </w:r>
      <w:r>
        <w:t xml:space="preserve"> </w:t>
      </w:r>
      <w:r>
        <w:t xml:space="preserve">Abbildung 1). Die wesentlichen Phasen im klassischen Lebenszyklus eines</w:t>
      </w:r>
      <w:r>
        <w:t xml:space="preserve"> </w:t>
      </w:r>
      <w:r>
        <w:t xml:space="preserve">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anonymous-1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1</w:t>
            </w:r>
            <w:r>
              <w:t xml:space="preserve"> </w:t>
            </w:r>
            <w:r>
              <w:t xml:space="preserve">SDLC-Skizze (Platzhalter)</w:t>
            </w:r>
          </w:p>
          <w:bookmarkEnd w:id="58"/>
        </w:tc>
      </w:tr>
    </w:tbl>
    <w:bookmarkStart w:id="59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bookmarkEnd w:id="59"/>
    <w:bookmarkStart w:id="60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 auf die Bedeutung dieser Einbeziehung und damit</w:t>
      </w:r>
      <w:r>
        <w:t xml:space="preserve"> </w:t>
      </w:r>
      <w:r>
        <w:t xml:space="preserve">verbundener Methoden ein.</w:t>
      </w:r>
    </w:p>
    <w:bookmarkEnd w:id="60"/>
    <w:bookmarkStart w:id="61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 mit den</w:t>
      </w:r>
      <w:r>
        <w:t xml:space="preserve"> </w:t>
      </w:r>
      <w:r>
        <w:t xml:space="preserve">gewünschten Features, während nutzer*innenorientierte Vorgehensmodelle (siehe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 auf einen</w:t>
      </w:r>
      <w:r>
        <w:t xml:space="preserve"> </w:t>
      </w:r>
      <w:r>
        <w:t xml:space="preserve">iterativen Prozess setzen, welcher Produktiterationen häufiger bereitstellt und</w:t>
      </w:r>
      <w:r>
        <w:t xml:space="preserve"> </w:t>
      </w:r>
      <w:r>
        <w:t xml:space="preserve">evaluiert.</w:t>
      </w:r>
    </w:p>
    <w:bookmarkEnd w:id="61"/>
    <w:bookmarkStart w:id="62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 Umsetzung</w:t>
      </w:r>
      <w:r>
        <w:t xml:space="preserve"> </w:t>
      </w:r>
      <w:r>
        <w:t xml:space="preserve">der Anforderungen geprüft.</w:t>
      </w:r>
    </w:p>
    <w:bookmarkEnd w:id="62"/>
    <w:bookmarkStart w:id="66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 Folgende Abbildung</w:t>
      </w:r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anonymous-2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2</w:t>
            </w:r>
            <w:r>
              <w:t xml:space="preserve"> </w:t>
            </w:r>
            <w:r>
              <w:t xml:space="preserve">Verweildauer von Bibliothekssystemen in der Wartungsphase am Beispiel der Staatsbibliothek zu Berlin (Platzhalter)</w:t>
            </w:r>
          </w:p>
          <w:bookmarkEnd w:id="65"/>
        </w:tc>
      </w:tr>
    </w:tbl>
    <w:bookmarkEnd w:id="66"/>
    <w:bookmarkStart w:id="67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67"/>
    <w:bookmarkEnd w:id="68"/>
    <w:bookmarkStart w:id="76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71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 Grundsatzurteil des</w:t>
      </w:r>
      <w:r>
        <w:t xml:space="preserve"> </w:t>
      </w:r>
      <w:r>
        <w:t xml:space="preserve">EuGH aus dem Jahr 2021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wird dieses Verbot jedoch aufgeweicht. So ist</w:t>
      </w:r>
      <w:r>
        <w:t xml:space="preserve"> </w:t>
      </w:r>
      <w:r>
        <w:t xml:space="preserve">es nun rechtmäßigen Erwerbern erlaubt, Fehler in einem Computerprogramm</w:t>
      </w:r>
      <w:r>
        <w:t xml:space="preserve"> </w:t>
      </w:r>
      <w:r>
        <w:t xml:space="preserve">zu beheben und dafür 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</w:t>
      </w:r>
      <w:r>
        <w:t xml:space="preserve"> </w:t>
      </w:r>
      <w:r>
        <w:t xml:space="preserve">des zuständigen IT-Personals voraussetzt.</w:t>
      </w:r>
    </w:p>
    <w:bookmarkEnd w:id="71"/>
    <w:bookmarkStart w:id="75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 (siehe</w:t>
      </w:r>
      <w:r>
        <w:t xml:space="preserve"> </w:t>
      </w:r>
      <w:r>
        <w:t xml:space="preserve">Abbildung 3).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anonymous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3</w:t>
            </w:r>
            <w:r>
              <w:t xml:space="preserve"> </w:t>
            </w:r>
            <w:r>
              <w:t xml:space="preserve">Schichtmodell-Bild (Platzhalter)</w:t>
            </w:r>
          </w:p>
          <w:bookmarkEnd w:id="74"/>
        </w:tc>
      </w:tr>
    </w:tbl>
    <w:p>
      <w:pPr>
        <w:pStyle w:val="BodyText"/>
      </w:pPr>
      <w:r>
        <w:t xml:space="preserve">Aus der Abbildung 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75"/>
    <w:bookmarkEnd w:id="76"/>
    <w:bookmarkStart w:id="82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79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„Die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werden.”</w:t>
      </w:r>
      <w:r>
        <w:rPr>
          <w:rStyle w:val="FootnoteReference"/>
        </w:rPr>
        <w:footnoteReference w:id="77"/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Bibliotheks-IT</w:t>
        </w:r>
      </w:hyperlink>
      <w:r>
        <w:t xml:space="preserve"> </w:t>
      </w:r>
      <w:r>
        <w:t xml:space="preserve">thematisiert.</w:t>
      </w:r>
    </w:p>
    <w:bookmarkEnd w:id="79"/>
    <w:bookmarkStart w:id="81" w:name="barrierefreiheit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 §3</w:t>
      </w:r>
      <w:r>
        <w:t xml:space="preserve"> </w:t>
      </w:r>
      <w:r>
        <w:t xml:space="preserve">Behindertengleichstellungsgesetz). So leiten sich z.B. auch</w:t>
      </w:r>
      <w:r>
        <w:t xml:space="preserve"> </w:t>
      </w:r>
      <w:r>
        <w:t xml:space="preserve">Anforderungen an Angebote in Leichter Sprache o.ä. aus diesem weiten</w:t>
      </w:r>
      <w:r>
        <w:t xml:space="preserve"> </w:t>
      </w:r>
      <w:r>
        <w:t xml:space="preserve">Behinderungsbegriff ab.</w:t>
      </w:r>
    </w:p>
    <w:p>
      <w:pPr>
        <w:pStyle w:val="BodyText"/>
      </w:pPr>
      <w:r>
        <w:t xml:space="preserve">Aufbauend auf der einschlägigen Gesetzgebung regelt die BITV 2.0</w:t>
      </w:r>
      <w:r>
        <w:t xml:space="preserve"> </w:t>
      </w:r>
      <w:r>
        <w:t xml:space="preserve">(Verordnung 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rPr>
          <w:iCs/>
          <w:i/>
        </w:rPr>
        <w:t xml:space="preserve">WCAG</w:t>
      </w:r>
      <w:r>
        <w:t xml:space="preserve">)</w:t>
      </w:r>
      <w:r>
        <w:t xml:space="preserve"> </w:t>
      </w:r>
      <w:r>
        <w:t xml:space="preserve">zurück, welche die Anforderungen der Barrierefreiheit anschaulich mit</w:t>
      </w:r>
      <w:r>
        <w:t xml:space="preserve"> </w:t>
      </w:r>
      <w:r>
        <w:t xml:space="preserve">vielfältigen 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</w:t>
      </w:r>
      <w:r>
        <w:t xml:space="preserve"> </w:t>
      </w:r>
      <w:r>
        <w:t xml:space="preserve">auch 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 Suchmaschinen diesen Aspekt zur</w:t>
      </w:r>
      <w:r>
        <w:t xml:space="preserve"> </w:t>
      </w:r>
      <w:r>
        <w:t xml:space="preserve">Bewertung heranziehen.</w:t>
      </w:r>
      <w:r>
        <w:rPr>
          <w:rStyle w:val="FootnoteReference"/>
        </w:rPr>
        <w:footnoteReference w:id="80"/>
      </w:r>
    </w:p>
    <w:bookmarkEnd w:id="81"/>
    <w:bookmarkEnd w:id="82"/>
    <w:bookmarkEnd w:id="83"/>
    <w:bookmarkStart w:id="91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</w:t>
      </w:r>
      <w:r>
        <w:t xml:space="preserve"> </w:t>
      </w:r>
      <w:r>
        <w:t xml:space="preserve">bleibt jedoch für die meisten Bibliotheken eine große Herausforderung.</w:t>
      </w:r>
    </w:p>
    <w:bookmarkStart w:id="84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erfolgen, also unter Berücksichtigung</w:t>
      </w:r>
      <w:r>
        <w:t xml:space="preserve"> </w:t>
      </w:r>
      <w:r>
        <w:t xml:space="preserve">klarer Strukturen für die Planung, die Kommunikation und die Kontrolle.</w:t>
      </w:r>
    </w:p>
    <w:bookmarkEnd w:id="84"/>
    <w:bookmarkStart w:id="86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85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 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 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 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85"/>
    <w:bookmarkEnd w:id="86"/>
    <w:bookmarkStart w:id="90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 zitiert: „Most importantly, all</w:t>
      </w:r>
      <w:r>
        <w:t xml:space="preserve"> </w:t>
      </w:r>
      <w:r>
        <w:t xml:space="preserve">library staff must understand that our software is our library, and is</w:t>
      </w:r>
      <w:r>
        <w:t xml:space="preserve"> </w:t>
      </w:r>
      <w:r>
        <w:t xml:space="preserve">everyone’s responsibility.” Bezogen auf Einarbeitung und Weiterbildung</w:t>
      </w:r>
      <w:r>
        <w:t xml:space="preserve"> </w:t>
      </w:r>
      <w:r>
        <w:t xml:space="preserve">bedeutet das, dass sich Mitarbeitende mit der (Weiter-)Entwicklung von</w:t>
      </w:r>
      <w:r>
        <w:t xml:space="preserve"> </w:t>
      </w:r>
      <w:r>
        <w:t xml:space="preserve">Software ebenfalls weiterbilden und weiterentwickeln. Nur so kann die</w:t>
      </w:r>
      <w:r>
        <w:t xml:space="preserve"> </w:t>
      </w:r>
      <w:r>
        <w:t xml:space="preserve">Verantwortung von allen Mitarbeitenden mit Bezug zur Bibliotheks-IT</w:t>
      </w:r>
      <w:r>
        <w:t xml:space="preserve"> </w:t>
      </w:r>
      <w:r>
        <w:t xml:space="preserve">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87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</w:t>
      </w:r>
      <w:r>
        <w:t xml:space="preserve"> </w:t>
      </w:r>
      <w:r>
        <w:t xml:space="preserve">“</w:t>
      </w:r>
      <w:r>
        <w:t xml:space="preserve">Training on the Job</w:t>
      </w:r>
      <w:r>
        <w:t xml:space="preserve">”</w:t>
      </w:r>
      <w:r>
        <w:t xml:space="preserve"> </w:t>
      </w:r>
      <w:r>
        <w:t xml:space="preserve">erworben.</w:t>
      </w:r>
    </w:p>
    <w:p>
      <w:pPr>
        <w:pStyle w:val="BodyText"/>
      </w:pPr>
      <w:r>
        <w:t xml:space="preserve">Aktuell (Stand 2022) gibt es jedoch mehrere akademische Ausbildungsangebote für die</w:t>
      </w:r>
      <w:r>
        <w:t xml:space="preserve"> </w:t>
      </w:r>
      <w:r>
        <w:t xml:space="preserve">Arbeit in der Bibliotheks-IT:</w:t>
      </w:r>
    </w:p>
    <w:p>
      <w:pPr>
        <w:numPr>
          <w:ilvl w:val="0"/>
          <w:numId w:val="1009"/>
        </w:numPr>
      </w:pPr>
      <w:r>
        <w:t xml:space="preserve">berufsbegleitende Master-Studiengänge: TH Wildau (Bibliotheksinformatik), HWTK Leipzig, HdM Stuttgart (Data Science)</w:t>
      </w:r>
    </w:p>
    <w:p>
      <w:pPr>
        <w:numPr>
          <w:ilvl w:val="0"/>
          <w:numId w:val="1009"/>
        </w:numPr>
      </w:pPr>
      <w:r>
        <w:t xml:space="preserve">Zertifikatskurs Data Librarian: TH Köln</w:t>
      </w:r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87"/>
    <w:bookmarkStart w:id="88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0"/>
        </w:numPr>
      </w:pPr>
      <w:r>
        <w:t xml:space="preserve">Jahrestagungen der Verbundzentralen</w:t>
      </w:r>
    </w:p>
    <w:p>
      <w:pPr>
        <w:numPr>
          <w:ilvl w:val="0"/>
          <w:numId w:val="1010"/>
        </w:numPr>
      </w:pPr>
      <w:r>
        <w:t xml:space="preserve">Bibliothekstage und -konferenzen</w:t>
      </w:r>
    </w:p>
    <w:p>
      <w:pPr>
        <w:numPr>
          <w:ilvl w:val="0"/>
          <w:numId w:val="1010"/>
        </w:numPr>
      </w:pPr>
      <w:r>
        <w:t xml:space="preserve">Tagung der European Library Automation Group (ELAG)</w:t>
      </w:r>
    </w:p>
    <w:p>
      <w:pPr>
        <w:numPr>
          <w:ilvl w:val="0"/>
          <w:numId w:val="1010"/>
        </w:numPr>
      </w:pPr>
      <w:r>
        <w:t xml:space="preserve">Code4Lib-Konferenzen in den USA</w:t>
      </w:r>
    </w:p>
    <w:p>
      <w:pPr>
        <w:numPr>
          <w:ilvl w:val="0"/>
          <w:numId w:val="1010"/>
        </w:numPr>
      </w:pPr>
      <w:r>
        <w:t xml:space="preserve">Access Conference in Kanada</w:t>
      </w:r>
    </w:p>
    <w:p>
      <w:pPr>
        <w:numPr>
          <w:ilvl w:val="0"/>
          <w:numId w:val="1010"/>
        </w:numPr>
      </w:pPr>
      <w:r>
        <w:t xml:space="preserve">UKSG Annual Conference in Großbritannien</w:t>
      </w:r>
    </w:p>
    <w:p>
      <w:pPr>
        <w:numPr>
          <w:ilvl w:val="0"/>
          <w:numId w:val="1010"/>
        </w:numPr>
      </w:pPr>
      <w:r>
        <w:t xml:space="preserve">Jahrestreffen der UXLibs 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1"/>
        </w:numPr>
      </w:pPr>
      <w:r>
        <w:t xml:space="preserve">Anwendungstreffen: z.B. jährlich für DSpace, VuFind, Koha, Kitodo, OPUS, …</w:t>
      </w:r>
    </w:p>
    <w:p>
      <w:pPr>
        <w:numPr>
          <w:ilvl w:val="0"/>
          <w:numId w:val="1011"/>
        </w:numPr>
      </w:pPr>
      <w:r>
        <w:t xml:space="preserve">Library Carpentries</w:t>
      </w:r>
    </w:p>
    <w:p>
      <w:pPr>
        <w:numPr>
          <w:ilvl w:val="0"/>
          <w:numId w:val="1011"/>
        </w:numPr>
      </w:pPr>
      <w:r>
        <w:t xml:space="preserve">Mailinglisten, Foren und andere Kommunikationskanäle</w:t>
      </w:r>
    </w:p>
    <w:p>
      <w:pPr>
        <w:numPr>
          <w:ilvl w:val="0"/>
          <w:numId w:val="1011"/>
        </w:numPr>
      </w:pPr>
      <w:r>
        <w:t xml:space="preserve">persönliche Kontakte, Gruppen wie UX Roundtable</w:t>
      </w:r>
    </w:p>
    <w:p>
      <w:pPr>
        <w:numPr>
          <w:ilvl w:val="0"/>
          <w:numId w:val="1011"/>
        </w:numPr>
      </w:pPr>
      <w:r>
        <w:t xml:space="preserve">Fachpublikationen: Code4Lib Journal, Weave Journal</w:t>
      </w:r>
    </w:p>
    <w:p>
      <w:pPr>
        <w:numPr>
          <w:ilvl w:val="0"/>
          <w:numId w:val="1011"/>
        </w:numPr>
      </w:pPr>
      <w:r>
        <w:t xml:space="preserve">Soziale Medien: Weblogs, Twitter, Discord</w:t>
      </w:r>
    </w:p>
    <w:bookmarkEnd w:id="88"/>
    <w:bookmarkStart w:id="89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89"/>
    <w:bookmarkEnd w:id="90"/>
    <w:bookmarkEnd w:id="91"/>
    <w:bookmarkEnd w:id="92"/>
    <w:bookmarkStart w:id="135" w:name="anforderungen"/>
    <w:p>
      <w:pPr>
        <w:pStyle w:val="Heading1"/>
      </w:pPr>
      <w:r>
        <w:t xml:space="preserve">Anforderungen</w:t>
      </w:r>
    </w:p>
    <w:p>
      <w:pPr>
        <w:pStyle w:val="FirstParagraph"/>
      </w:pPr>
      <w:r>
        <w:t xml:space="preserve">In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 Themen wie Barrierefreiheit und software-ergonomische</w:t>
      </w:r>
      <w:r>
        <w:t xml:space="preserve"> </w:t>
      </w:r>
      <w:r>
        <w:t xml:space="preserve">Anforderungen, auch aus rechtlicher Sicht, eingegangen. Außerdem wurde</w:t>
      </w:r>
      <w:r>
        <w:t xml:space="preserve"> </w:t>
      </w:r>
      <w:r>
        <w:t xml:space="preserve">der Software-Lebenszyklus skizziert, welcher eine eher lineare</w:t>
      </w:r>
      <w:r>
        <w:t xml:space="preserve"> </w:t>
      </w:r>
      <w:r>
        <w:t xml:space="preserve">Betrachtung eines Systems vom Beginn seiner Einführung bis hin zur</w:t>
      </w:r>
      <w:r>
        <w:t xml:space="preserve"> </w:t>
      </w:r>
      <w:r>
        <w:t xml:space="preserve">Abschaltung ermöglicht. Dabei wurde implizit angenommen, dass</w:t>
      </w:r>
      <w:r>
        <w:t xml:space="preserve"> </w:t>
      </w:r>
      <w:r>
        <w:t xml:space="preserve">Anforderungen an ein System im Laufe seiner Lebenszeit weitestgehend fix</w:t>
      </w:r>
      <w:r>
        <w:t xml:space="preserve"> </w:t>
      </w:r>
      <w:r>
        <w:t xml:space="preserve">bleiben.</w:t>
      </w:r>
    </w:p>
    <w:p>
      <w:pPr>
        <w:pStyle w:val="BodyText"/>
      </w:pPr>
      <w:r>
        <w:t xml:space="preserve">Betrachtet man sein eigenes persönliches Nutzungsverhalten im digitalen</w:t>
      </w:r>
      <w:r>
        <w:t xml:space="preserve"> </w:t>
      </w:r>
      <w:r>
        <w:t xml:space="preserve">Bereich wird jedoch klar, dass sich die eigenen Präferenzen bezüglich</w:t>
      </w:r>
      <w:r>
        <w:t xml:space="preserve"> </w:t>
      </w:r>
      <w:r>
        <w:t xml:space="preserve">der Nutzung von Apps oder Webseiten ändern. Ursachen dafür sind</w:t>
      </w:r>
      <w:r>
        <w:t xml:space="preserve"> </w:t>
      </w:r>
      <w:r>
        <w:t xml:space="preserve">beispielsweise Veränderungen an Lebens- oder Arbeitskontexten,</w:t>
      </w:r>
      <w:r>
        <w:t xml:space="preserve"> </w:t>
      </w:r>
      <w:r>
        <w:t xml:space="preserve">Erwartungen an die Bedienbarkeit von Systemen oder durch die digitale</w:t>
      </w:r>
      <w:r>
        <w:t xml:space="preserve"> </w:t>
      </w:r>
      <w:r>
        <w:t xml:space="preserve">Transformation beziehungsweise technischen Fortschritt möglich gewordene</w:t>
      </w:r>
      <w:r>
        <w:t xml:space="preserve"> </w:t>
      </w:r>
      <w:r>
        <w:t xml:space="preserve">neue Nutzungsformen von Medien.</w:t>
      </w:r>
    </w:p>
    <w:bookmarkStart w:id="99" w:name="Xfa845e3ce28406ea484c457f001688c09e3321f"/>
    <w:p>
      <w:pPr>
        <w:pStyle w:val="Heading2"/>
      </w:pPr>
      <w:r>
        <w:t xml:space="preserve">Prinzipien der Nutzer*innenzentrierten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)</w:t>
      </w:r>
      <w:r>
        <w:t xml:space="preserve"> </w:t>
      </w:r>
      <w:r>
        <w:t xml:space="preserve">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2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2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 der</w:t>
      </w:r>
      <w:r>
        <w:t xml:space="preserve"> </w:t>
      </w:r>
      <w:r>
        <w:t xml:space="preserve">Nutzenden in Betracht gezogen werden müssen</w:t>
      </w:r>
      <w:r>
        <w:t xml:space="preserve"> </w:t>
      </w:r>
      <w:r>
        <w:t xml:space="preserve">(Kling und Star 1998)</w:t>
      </w:r>
      <w:r>
        <w:t xml:space="preserve">, was allein</w:t>
      </w:r>
      <w:r>
        <w:t xml:space="preserve"> </w:t>
      </w:r>
      <w:r>
        <w:t xml:space="preserve">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 (vgl. ISO 9241-210:2019). Diese Aspekte 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 </w:t>
      </w:r>
      <w:r>
        <w:t xml:space="preserve">weiter erläutert.</w:t>
      </w:r>
    </w:p>
    <w:p>
      <w:pPr>
        <w:pStyle w:val="BodyText"/>
      </w:pPr>
      <w:r>
        <w:t xml:space="preserve">Das Central Digital and Data Office des Vereinigten Köngreichs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fasst</w:t>
      </w:r>
      <w:r>
        <w:t xml:space="preserve"> </w:t>
      </w:r>
      <w:r>
        <w:t xml:space="preserve">die zentral zu bearbeitenden Arbeitspunkte im nutzer*innenzentrierten</w:t>
      </w:r>
      <w:r>
        <w:t xml:space="preserve"> </w:t>
      </w:r>
      <w:r>
        <w:t xml:space="preserve">Gestaltungsprozess und den Weg dahin prägnant in seinen</w:t>
      </w:r>
      <w:r>
        <w:t xml:space="preserve"> </w:t>
      </w:r>
      <w:r>
        <w:t xml:space="preserve">“</w:t>
      </w:r>
      <w:r>
        <w:t xml:space="preserve">Government</w:t>
      </w:r>
      <w:r>
        <w:t xml:space="preserve"> </w:t>
      </w:r>
      <w:r>
        <w:t xml:space="preserve">Design Principles</w:t>
      </w:r>
      <w:r>
        <w:t xml:space="preserve">”</w:t>
      </w:r>
      <w:r>
        <w:t xml:space="preserve"> </w:t>
      </w:r>
      <w:r>
        <w:t xml:space="preserve">zusammen:</w:t>
      </w:r>
    </w:p>
    <w:p>
      <w:pPr>
        <w:numPr>
          <w:ilvl w:val="0"/>
          <w:numId w:val="1013"/>
        </w:numPr>
      </w:pPr>
      <w:r>
        <w:t xml:space="preserve">Start with user needs</w:t>
      </w:r>
    </w:p>
    <w:p>
      <w:pPr>
        <w:numPr>
          <w:ilvl w:val="0"/>
          <w:numId w:val="1013"/>
        </w:numPr>
      </w:pPr>
      <w:r>
        <w:t xml:space="preserve">Do less</w:t>
      </w:r>
    </w:p>
    <w:p>
      <w:pPr>
        <w:numPr>
          <w:ilvl w:val="0"/>
          <w:numId w:val="1013"/>
        </w:numPr>
      </w:pPr>
      <w:r>
        <w:t xml:space="preserve">Design with data</w:t>
      </w:r>
    </w:p>
    <w:p>
      <w:pPr>
        <w:numPr>
          <w:ilvl w:val="0"/>
          <w:numId w:val="1013"/>
        </w:numPr>
      </w:pPr>
      <w:r>
        <w:t xml:space="preserve">Do the hard work to make it simple</w:t>
      </w:r>
    </w:p>
    <w:p>
      <w:pPr>
        <w:numPr>
          <w:ilvl w:val="0"/>
          <w:numId w:val="1013"/>
        </w:numPr>
      </w:pPr>
      <w:r>
        <w:t xml:space="preserve">Iterate. Then iterate again</w:t>
      </w:r>
    </w:p>
    <w:p>
      <w:pPr>
        <w:numPr>
          <w:ilvl w:val="0"/>
          <w:numId w:val="1013"/>
        </w:numPr>
      </w:pPr>
      <w:r>
        <w:t xml:space="preserve">This is for everyone</w:t>
      </w:r>
    </w:p>
    <w:p>
      <w:pPr>
        <w:numPr>
          <w:ilvl w:val="0"/>
          <w:numId w:val="1013"/>
        </w:numPr>
      </w:pPr>
      <w:r>
        <w:t xml:space="preserve">Understand context</w:t>
      </w:r>
    </w:p>
    <w:p>
      <w:pPr>
        <w:numPr>
          <w:ilvl w:val="0"/>
          <w:numId w:val="1013"/>
        </w:numPr>
      </w:pPr>
      <w:r>
        <w:t xml:space="preserve">Build digital services, not websites</w:t>
      </w:r>
    </w:p>
    <w:p>
      <w:pPr>
        <w:numPr>
          <w:ilvl w:val="0"/>
          <w:numId w:val="1013"/>
        </w:numPr>
      </w:pPr>
      <w:r>
        <w:t xml:space="preserve">Be consistent, not uniform</w:t>
      </w:r>
    </w:p>
    <w:p>
      <w:pPr>
        <w:numPr>
          <w:ilvl w:val="0"/>
          <w:numId w:val="1013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98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p>
      <w:pPr>
        <w:pStyle w:val="BodyText"/>
      </w:pPr>
      <w:r>
        <w:t xml:space="preserve">INFOBOX:</w:t>
      </w:r>
    </w:p>
    <w:p>
      <w:pPr>
        <w:pStyle w:val="BodyText"/>
      </w:pPr>
      <w:r>
        <w:t xml:space="preserve">Usability</w:t>
      </w:r>
    </w:p>
    <w:p>
      <w:pPr>
        <w:pStyle w:val="BodyText"/>
      </w:pPr>
      <w:r>
        <w:t xml:space="preserve">„Ausmaß, in dem ein System, ein Produkt oder eine Dienstleistung durch</w:t>
      </w:r>
      <w:r>
        <w:t xml:space="preserve"> </w:t>
      </w:r>
      <w:r>
        <w:t xml:space="preserve">bestimmte Benutzer in einem bestimmten Nutzungskontext genutzt werden</w:t>
      </w:r>
      <w:r>
        <w:t xml:space="preserve"> </w:t>
      </w:r>
      <w:r>
        <w:t xml:space="preserve">kann, um festgelegte Ziele effektiv, effizient und zufriedenstellend zu</w:t>
      </w:r>
      <w:r>
        <w:t xml:space="preserve"> </w:t>
      </w:r>
      <w:r>
        <w:t xml:space="preserve">erreichen” DIN EN ISO 9241-11</w:t>
      </w:r>
    </w:p>
    <w:p>
      <w:pPr>
        <w:pStyle w:val="BodyText"/>
      </w:pPr>
      <w:r>
        <w:t xml:space="preserve">User Experience</w:t>
      </w:r>
    </w:p>
    <w:p>
      <w:pPr>
        <w:pStyle w:val="BodyText"/>
      </w:pPr>
      <w:r>
        <w:t xml:space="preserve">„Wahrnehmungen und Reaktionen einer Person, die aus der tatsächlichen</w:t>
      </w:r>
      <w:r>
        <w:t xml:space="preserve"> </w:t>
      </w:r>
      <w:r>
        <w:t xml:space="preserve">und/oder der erwarteten Benutzung eines Produkts, eines Systems oder</w:t>
      </w:r>
      <w:r>
        <w:t xml:space="preserve"> </w:t>
      </w:r>
      <w:r>
        <w:t xml:space="preserve">einer Dienstleistung resultieren” DIN ISO 9241-210:2011</w:t>
      </w:r>
    </w:p>
    <w:p>
      <w:pPr>
        <w:pStyle w:val="BodyText"/>
      </w:pPr>
      <w:r>
        <w:t xml:space="preserve">ENDE INFOBOX</w:t>
      </w:r>
    </w:p>
    <w:p>
      <w:pPr>
        <w:pStyle w:val="BodyText"/>
      </w:pPr>
      <w:r>
        <w:t xml:space="preserve">Wie die untenstehende Abbildung 1 zeigt, handelt es sich bei Usability um</w:t>
      </w:r>
      <w:r>
        <w:t xml:space="preserve"> </w:t>
      </w:r>
      <w:r>
        <w:t xml:space="preserve">eine Eigenschaft eines Systems, die während der konkreten Interaktion</w:t>
      </w:r>
      <w:r>
        <w:t xml:space="preserve"> </w:t>
      </w:r>
      <w:r>
        <w:t xml:space="preserve">mit diesem relevant wird und beispielsweise angibt, inwiefern Hürden bei</w:t>
      </w:r>
      <w:r>
        <w:t xml:space="preserve"> </w:t>
      </w:r>
      <w:r>
        <w:t xml:space="preserve">der Bedienung auftreten. Zur Vermeidung von Usability-Problemen</w:t>
      </w:r>
      <w:r>
        <w:t xml:space="preserve"> </w:t>
      </w:r>
      <w:r>
        <w:t xml:space="preserve">existieren ein Vielzahl von Heuristiken, die in den einschlägigen Normen</w:t>
      </w:r>
      <w:r>
        <w:t xml:space="preserve"> </w:t>
      </w:r>
      <w:r>
        <w:t xml:space="preserve">skizziert werden bzw. durch Autoren wie Shneiderman in seinen</w:t>
      </w:r>
      <w:r>
        <w:t xml:space="preserve"> </w:t>
      </w:r>
      <w:r>
        <w:t xml:space="preserve">“</w:t>
      </w:r>
      <w:r>
        <w:t xml:space="preserve">8 golden</w:t>
      </w:r>
      <w:r>
        <w:t xml:space="preserve"> </w:t>
      </w:r>
      <w:r>
        <w:t xml:space="preserve">rules</w:t>
      </w:r>
      <w:r>
        <w:t xml:space="preserve">”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</w:t>
      </w:r>
      <w:r>
        <w:t xml:space="preserve"> </w:t>
      </w:r>
      <w:r>
        <w:t xml:space="preserve">“</w:t>
      </w:r>
      <w:hyperlink r:id="rId94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”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/media/missing.svg" id="9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1</w:t>
      </w:r>
      <w:r>
        <w:t xml:space="preserve"> </w:t>
      </w:r>
      <w:r>
        <w:t xml:space="preserve">Ersatz von Luis zu</w:t>
      </w:r>
      <w:r>
        <w:t xml:space="preserve"> </w:t>
      </w:r>
      <w:hyperlink r:id="rId97">
        <w:r>
          <w:rPr>
            <w:rStyle w:val="Hyperlink"/>
          </w:rPr>
          <w:t xml:space="preserve">https://www.johner-institut.de/blog/iec-62366-usability/user-experience/</w:t>
        </w:r>
      </w:hyperlink>
    </w:p>
    <w:bookmarkEnd w:id="98"/>
    <w:bookmarkEnd w:id="99"/>
    <w:bookmarkStart w:id="134" w:name="wie-beziehen-wir-unsere-nutzerinnen-ein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07" w:name="bedarfsermittlung"/>
    <w:p>
      <w:pPr>
        <w:pStyle w:val="Heading3"/>
      </w:pPr>
      <w:r>
        <w:t xml:space="preserve">Bedarfsermittlung</w:t>
      </w:r>
    </w:p>
    <w:bookmarkStart w:id="100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00"/>
    <w:bookmarkStart w:id="106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./media/missing.svg" id="10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2</w:t>
      </w:r>
      <w:r>
        <w:t xml:space="preserve"> </w:t>
      </w:r>
      <w:r>
        <w:t xml:space="preserve">Steimle, Toni; Wallach, Dieter (2018); Abb. 12 Neues Bild erstellen!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./media/missing.svg" id="10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Abbildung3</w:t>
      </w:r>
      <w:r>
        <w:t xml:space="preserve"> </w:t>
      </w:r>
      <w:r>
        <w:t xml:space="preserve">Aus einem</w:t>
      </w:r>
      <w:r>
        <w:t xml:space="preserve"> </w:t>
      </w:r>
      <w:hyperlink r:id="rId105">
        <w:r>
          <w:rPr>
            <w:rStyle w:val="Hyperlink"/>
          </w:rPr>
          <w:t xml:space="preserve">Vortrag zum Scenario-based Design</w:t>
        </w:r>
      </w:hyperlink>
    </w:p>
    <w:p>
      <w:pPr>
        <w:pStyle w:val="BodyText"/>
      </w:pPr>
      <w:r>
        <w:t xml:space="preserve">Außerdem kann es sich lohnen, solche Use Cases zu visualisieren. Dabei können</w:t>
      </w:r>
      <w:r>
        <w:t xml:space="preserve"> </w:t>
      </w:r>
      <w:r>
        <w:t xml:space="preserve">Start, Ende, mögliche Verzweigungen, alternative Aktionen und mehr mit</w:t>
      </w:r>
      <w:r>
        <w:t xml:space="preserve"> </w:t>
      </w:r>
      <w:r>
        <w:t xml:space="preserve">verschiedenen Formen modelliert werden. Dafür können formalisierte Systeme wie</w:t>
      </w:r>
      <w:r>
        <w:t xml:space="preserve"> </w:t>
      </w:r>
      <w:r>
        <w:t xml:space="preserve">die Unified Modelling Language (UML) zum Einsatz kommen. Sie bietet ein Set</w:t>
      </w:r>
      <w:r>
        <w:t xml:space="preserve"> </w:t>
      </w:r>
      <w:r>
        <w:t xml:space="preserve">verschiedener Formen, um Start, Ende, Verzweigungen, Alternativen und mehr</w:t>
      </w:r>
      <w:r>
        <w:t xml:space="preserve"> </w:t>
      </w:r>
      <w:r>
        <w:t xml:space="preserve">visuell zu beschreiben. Aber auch Skizzen können Nutzungsszenarien bereits</w:t>
      </w:r>
      <w:r>
        <w:t xml:space="preserve"> </w:t>
      </w:r>
      <w:r>
        <w:t xml:space="preserve">verdeutlichen und als Diskussionsgrundlage dienen, z. B. in Form von</w:t>
      </w:r>
      <w:r>
        <w:t xml:space="preserve"> </w:t>
      </w:r>
      <w:r>
        <w:t xml:space="preserve">Storyboards, die in einem 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</w:t>
      </w:r>
      <w:r>
        <w:t xml:space="preserve"> </w:t>
      </w:r>
      <w:r>
        <w:t xml:space="preserve">einer Bibliothek kann eine breite Palette von Use Cases existieren.</w:t>
      </w:r>
      <w:r>
        <w:t xml:space="preserve"> </w:t>
      </w:r>
      <w:r>
        <w:t xml:space="preserve">Manche sind dabei eher allgemein zu verstehen, andere</w:t>
      </w:r>
      <w:r>
        <w:t xml:space="preserve"> </w:t>
      </w:r>
      <w:r>
        <w:t xml:space="preserve">bibliotheksspezifisch und natürlich sind alle je nach Einrichtung bzw.</w:t>
      </w:r>
      <w:r>
        <w:t xml:space="preserve"> </w:t>
      </w:r>
      <w:r>
        <w:t xml:space="preserve">Anforderungen beliebig erweiterbar. Zu beachten ist, dass sowohl</w:t>
      </w:r>
      <w:r>
        <w:t xml:space="preserve"> </w:t>
      </w:r>
      <w:r>
        <w:t xml:space="preserve">Personas als auch Use Cases zwingend auf der Grundlage</w:t>
      </w:r>
      <w:r>
        <w:t xml:space="preserve"> </w:t>
      </w:r>
      <w:r>
        <w:t xml:space="preserve">vertrauenswürdiger Daten wie denen aus der Bedarfsermittlung erstellt</w:t>
      </w:r>
      <w:r>
        <w:t xml:space="preserve"> </w:t>
      </w:r>
      <w:r>
        <w:t xml:space="preserve">werden sollten. Solche Methoden ohne Kenntnisse der Zielgruppen</w:t>
      </w:r>
      <w:r>
        <w:t xml:space="preserve"> </w:t>
      </w:r>
      <w:r>
        <w:t xml:space="preserve">anzuwenden kann nur zur Reproduktion der eigenen Meinung führen.</w:t>
      </w:r>
    </w:p>
    <w:bookmarkEnd w:id="106"/>
    <w:bookmarkEnd w:id="107"/>
    <w:bookmarkStart w:id="112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08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08"/>
    <w:bookmarkStart w:id="109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09"/>
    <w:bookmarkStart w:id="111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4"/>
        </w:numPr>
      </w:pPr>
      <w:r>
        <w:t xml:space="preserve">Nutzungsfehler pro Zeiteinheit,</w:t>
      </w:r>
    </w:p>
    <w:p>
      <w:pPr>
        <w:numPr>
          <w:ilvl w:val="0"/>
          <w:numId w:val="1014"/>
        </w:numPr>
      </w:pPr>
      <w:r>
        <w:t xml:space="preserve">Anzahl nicht benötigter Befehle (Menus, Icons, Links)</w:t>
      </w:r>
    </w:p>
    <w:p>
      <w:pPr>
        <w:numPr>
          <w:ilvl w:val="0"/>
          <w:numId w:val="1014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4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</w:t>
      </w:r>
      <w:r>
        <w:t xml:space="preserve"> </w:t>
      </w:r>
      <w:r>
        <w:t xml:space="preserve">“</w:t>
      </w:r>
      <w:r>
        <w:t xml:space="preserve">Benutzungsfragebogen ISONORM 9241/10</w:t>
      </w:r>
      <w:r>
        <w:t xml:space="preserve">”</w:t>
      </w:r>
      <w:r>
        <w:t xml:space="preserve"> </w:t>
      </w:r>
      <w:r>
        <w:t xml:space="preserve">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10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11"/>
    <w:bookmarkEnd w:id="112"/>
    <w:bookmarkStart w:id="124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5"/>
        </w:numPr>
      </w:pPr>
      <w:r>
        <w:t xml:space="preserve">Storyboards - Skizzierung von Interaktionskonzepten</w:t>
      </w:r>
    </w:p>
    <w:p>
      <w:pPr>
        <w:numPr>
          <w:ilvl w:val="0"/>
          <w:numId w:val="1015"/>
        </w:numPr>
      </w:pPr>
      <w:r>
        <w:t xml:space="preserve">Wireframes und Mock-Ups - Skizzen der Oberflächen</w:t>
      </w:r>
    </w:p>
    <w:p>
      <w:pPr>
        <w:numPr>
          <w:ilvl w:val="0"/>
          <w:numId w:val="1015"/>
        </w:numPr>
      </w:pPr>
      <w:r>
        <w:t xml:space="preserve">Prototypen - erste funktionsfähige Iterationen</w:t>
      </w:r>
    </w:p>
    <w:bookmarkStart w:id="116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./media/missing.svg" id="11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4</w:t>
      </w:r>
      <w:r>
        <w:t xml:space="preserve"> </w:t>
      </w:r>
      <w:r>
        <w:t xml:space="preserve">Rinzler, J.W.: Star Wars Storyboards: The Original Trilogy; Abrams &amp;</w:t>
      </w:r>
      <w:r>
        <w:t xml:space="preserve"> </w:t>
      </w:r>
      <w:r>
        <w:t xml:space="preserve">Chronicle Books</w:t>
      </w:r>
    </w:p>
    <w:p>
      <w:pPr>
        <w:pStyle w:val="BodyText"/>
      </w:pPr>
      <w:r>
        <w:t xml:space="preserve">hier sollte man am besten etwas mit Bib-Bezug kritzeln, das bild ist nur</w:t>
      </w:r>
      <w:r>
        <w:t xml:space="preserve"> </w:t>
      </w:r>
      <w:r>
        <w:t xml:space="preserve">als Platzhalter zu verstehen</w:t>
      </w:r>
    </w:p>
    <w:p>
      <w:pPr>
        <w:pStyle w:val="BodyText"/>
      </w:pPr>
      <w:r>
        <w:t xml:space="preserve">z.B.</w:t>
      </w:r>
      <w:r>
        <w:t xml:space="preserve"> </w:t>
      </w:r>
      <w:hyperlink r:id="rId115">
        <w:r>
          <w:rPr>
            <w:rStyle w:val="Hyperlink"/>
          </w:rPr>
          <w:t xml:space="preserve">https://www.storyboardthat.com/de/storyboards/1c78733f/matilda-library-visit</w:t>
        </w:r>
      </w:hyperlink>
    </w:p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3852"/>
        <w:gridCol w:w="38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16"/>
    <w:bookmarkStart w:id="120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./media/missing.svg" id="11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5</w:t>
      </w:r>
      <w:r>
        <w:t xml:space="preserve"> </w:t>
      </w:r>
      <w:hyperlink r:id="rId119">
        <w:r>
          <w:rPr>
            <w:rStyle w:val="Hyperlink"/>
          </w:rPr>
          <w:t xml:space="preserve">https://www.mockplus.com/blog/post/basic-uiux-design-concept-difference-between-wireframe-prototype</w:t>
        </w:r>
      </w:hyperlink>
      <w:r>
        <w:t xml:space="preserve"> </w:t>
      </w:r>
      <w:r>
        <w:t xml:space="preserve">(Platzhalter, David könnte was per OmniGraffle bauen)</w:t>
      </w:r>
    </w:p>
    <w:p>
      <w:pPr>
        <w:pStyle w:val="BodyText"/>
      </w:pPr>
      <w:r>
        <w:t xml:space="preserve">Ein Wireframe (</w:t>
      </w:r>
      <w:r>
        <w:t xml:space="preserve">“</w:t>
      </w:r>
      <w:r>
        <w:t xml:space="preserve">Drahtmodell</w:t>
      </w:r>
      <w:r>
        <w:t xml:space="preserve">”</w:t>
      </w:r>
      <w:r>
        <w:t xml:space="preserve">) ist eine noch undetaillierte (</w:t>
      </w:r>
      <w:r>
        <w:t xml:space="preserve">“</w:t>
      </w:r>
      <w:r>
        <w:t xml:space="preserve">low-level</w:t>
      </w:r>
      <w:r>
        <w:t xml:space="preserve">”</w:t>
      </w:r>
      <w:r>
        <w:t xml:space="preserve">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 Abbildung 5). Ein Mock-Up ist, im Kontext Design, eine</w:t>
      </w:r>
      <w:r>
        <w:t xml:space="preserve"> </w:t>
      </w:r>
      <w:r>
        <w:t xml:space="preserve">ausgereifte (</w:t>
      </w:r>
      <w:r>
        <w:t xml:space="preserve">“</w:t>
      </w:r>
      <w:r>
        <w:t xml:space="preserve">high-level</w:t>
      </w:r>
      <w:r>
        <w:t xml:space="preserve">”</w:t>
      </w:r>
      <w:r>
        <w:t xml:space="preserve">) Version des Interfaces mit realistischen</w:t>
      </w:r>
      <w:r>
        <w:t xml:space="preserve"> </w:t>
      </w:r>
      <w:r>
        <w:t xml:space="preserve">Farben, Schriftarten und Elementen. Sowohl Wireframes als auch Mock-Ups</w:t>
      </w:r>
      <w:r>
        <w:t xml:space="preserve"> </w:t>
      </w:r>
      <w:r>
        <w:t xml:space="preserve">sind also rein statische Entwürfe des zukünftigen Produkts im Gegensatz</w:t>
      </w:r>
      <w:r>
        <w:t xml:space="preserve"> </w:t>
      </w:r>
      <w:r>
        <w:t xml:space="preserve">zu Prototypen, die interaktiv sind und damit echte Funktionalitäten</w:t>
      </w:r>
      <w:r>
        <w:t xml:space="preserve"> </w:t>
      </w:r>
      <w:r>
        <w:t xml:space="preserve">enthalten.</w:t>
      </w:r>
    </w:p>
    <w:bookmarkEnd w:id="120"/>
    <w:bookmarkStart w:id="123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</w:t>
      </w:r>
      <w:r>
        <w:t xml:space="preserve"> </w:t>
      </w:r>
      <w:r>
        <w:t xml:space="preserve">“</w:t>
      </w:r>
      <w:r>
        <w:t xml:space="preserve">vertical</w:t>
      </w:r>
      <w:r>
        <w:t xml:space="preserve"> </w:t>
      </w:r>
      <w:r>
        <w:t xml:space="preserve">slice</w:t>
      </w:r>
      <w:r>
        <w:t xml:space="preserve">”</w:t>
      </w:r>
      <w:r>
        <w:t xml:space="preserve">, die qualitativ hochwertige Umsetzung nur eines bestimmten Teils</w:t>
      </w:r>
      <w:r>
        <w:t xml:space="preserve"> </w:t>
      </w:r>
      <w:r>
        <w:t xml:space="preserve">des Produkts, und</w:t>
      </w:r>
      <w:r>
        <w:t xml:space="preserve"> </w:t>
      </w:r>
      <w:r>
        <w:t xml:space="preserve">“</w:t>
      </w:r>
      <w:r>
        <w:t xml:space="preserve">horizontal slice</w:t>
      </w:r>
      <w:r>
        <w:t xml:space="preserve">”</w:t>
      </w:r>
      <w:r>
        <w:t xml:space="preserve">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21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22">
        <w:r>
          <w:rPr>
            <w:rStyle w:val="Hyperlink"/>
          </w:rPr>
          <w:t xml:space="preserve">Axure</w:t>
        </w:r>
      </w:hyperlink>
      <w:r>
        <w:t xml:space="preserve">, umgesetzt werden. Diese</w:t>
      </w:r>
      <w:r>
        <w:t xml:space="preserve"> </w:t>
      </w:r>
      <w:r>
        <w:t xml:space="preserve">besitzen eine Art Bausystem für Interfaces mit mehreren Ansichten, die</w:t>
      </w:r>
      <w:r>
        <w:t xml:space="preserve"> </w:t>
      </w:r>
      <w:r>
        <w:t xml:space="preserve">über Aktionen wie den Klick auf einen Button verbunden werden können. So</w:t>
      </w:r>
      <w:r>
        <w:t xml:space="preserve"> </w:t>
      </w:r>
      <w:r>
        <w:t xml:space="preserve">kann Nutzenden gewissermaßen ein Produkt vorgetäuscht werden, das dann</w:t>
      </w:r>
      <w:r>
        <w:t xml:space="preserve"> </w:t>
      </w:r>
      <w:r>
        <w:t xml:space="preserve">mit rudimentären Funktionen bereits 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23"/>
    <w:bookmarkEnd w:id="124"/>
    <w:bookmarkStart w:id="133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25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 regelmäßig</w:t>
      </w:r>
      <w:r>
        <w:t xml:space="preserve"> </w:t>
      </w:r>
      <w:r>
        <w:t xml:space="preserve">verschiedene Methoden anwendet, um Angebote gemeinsam mit Nutzenden zu</w:t>
      </w:r>
      <w:r>
        <w:t xml:space="preserve"> </w:t>
      </w:r>
      <w:r>
        <w:t xml:space="preserve">evaluieren und diese öffentlich in einem</w:t>
      </w:r>
      <w:r>
        <w:t xml:space="preserve"> </w:t>
      </w:r>
      <w:hyperlink r:id="rId126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(siehe Abbildung unten).</w:t>
      </w:r>
      <w:r>
        <w:t xml:space="preserve"> </w:t>
      </w:r>
      <w:r>
        <w:t xml:space="preserve">Während erstgenannte unter Einbeziehung von Nutzer*innen durchgeführt</w:t>
      </w:r>
      <w:r>
        <w:t xml:space="preserve"> </w:t>
      </w:r>
      <w:r>
        <w:t xml:space="preserve">werden, werden Inspektionstests häufig durch Usability-Expert*innen</w:t>
      </w:r>
      <w:r>
        <w:t xml:space="preserve"> </w:t>
      </w:r>
      <w:r>
        <w:t xml:space="preserve">realisiert.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./media/missing.svg" id="1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6</w:t>
      </w:r>
      <w:r>
        <w:t xml:space="preserve"> </w:t>
      </w:r>
      <w:r>
        <w:t xml:space="preserve">Bildquelle: David, um 90° drehen</w:t>
      </w:r>
    </w:p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30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rPr>
          <w:rStyle w:val="FootnoteReference"/>
        </w:rPr>
        <w:footnoteReference w:id="129"/>
      </w:r>
      <w:r>
        <w:t xml:space="preserve">. Statt eines einzigen Tests mit</w:t>
      </w:r>
      <w:r>
        <w:t xml:space="preserve"> </w:t>
      </w:r>
      <w:r>
        <w:t xml:space="preserve">vielen Teilnehmenden bieten sich daher schnell durchzuführende Tests mit</w:t>
      </w:r>
      <w:r>
        <w:t xml:space="preserve"> </w:t>
      </w:r>
      <w:r>
        <w:t xml:space="preserve">wenigen Teilnehmenden an, um ein Produkt iterativ zu verbessern. Möchte</w:t>
      </w:r>
      <w:r>
        <w:t xml:space="preserve"> </w:t>
      </w:r>
      <w:r>
        <w:t xml:space="preserve">man jedoch verschiedene Typen von Nutzer*innen analysieren oder</w:t>
      </w:r>
      <w:r>
        <w:t xml:space="preserve"> </w:t>
      </w:r>
      <w:r>
        <w:t xml:space="preserve">quantitative Ergebnisse sammeln, muss die Gruppengröße entsprechend</w:t>
      </w:r>
      <w:r>
        <w:t xml:space="preserve"> </w:t>
      </w:r>
      <w:r>
        <w:t xml:space="preserve">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r>
        <w:t xml:space="preserve">[Accessibility] thematisiert wurden.</w:t>
      </w:r>
    </w:p>
    <w:bookmarkEnd w:id="130"/>
    <w:bookmarkStart w:id="131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31"/>
    <w:bookmarkStart w:id="132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32"/>
    <w:bookmarkEnd w:id="133"/>
    <w:bookmarkEnd w:id="134"/>
    <w:bookmarkEnd w:id="135"/>
    <w:bookmarkStart w:id="260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Dieses Kapitel definiert den Begriff des Bibliotheksmanagementsystems,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erläutert die gängigen Komponenten und beschreibt die Entwicklung seit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1960.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172" w:name="übersicht"/>
    <w:p>
      <w:pPr>
        <w:pStyle w:val="Heading2"/>
      </w:pPr>
      <w:r>
        <w:t xml:space="preserve">Übersicht</w:t>
      </w:r>
    </w:p>
    <w:bookmarkStart w:id="146" w:name="geschichte"/>
    <w:p>
      <w:pPr>
        <w:pStyle w:val="Heading3"/>
      </w:pPr>
      <w:r>
        <w:t xml:space="preserve">Geschichte</w:t>
      </w:r>
    </w:p>
    <w:p>
      <w:pPr>
        <w:pStyle w:val="FirstParagraph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rPr>
          <w:iCs/>
          <w:i/>
        </w:rP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kann.</w:t>
      </w:r>
      <w:r>
        <w:rPr>
          <w:rStyle w:val="FootnoteReference"/>
        </w:rPr>
        <w:footnoteReference w:id="139"/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44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</w:t>
            </w:r>
            <w:r>
              <w:t xml:space="preserve"> </w:t>
            </w:r>
            <w:r>
              <w:t xml:space="preserve">Bibliotheken in einem digitalen System abbilden sollten -</w:t>
            </w:r>
            <w:r>
              <w:t xml:space="preserve"> </w:t>
            </w:r>
            <w:r>
              <w:t xml:space="preserve">dadurch prägte sich der Begriff "Bibliothekssystem". Das</w:t>
            </w:r>
            <w:r>
              <w:t xml:space="preserve"> </w:t>
            </w:r>
            <w:r>
              <w:t xml:space="preserve">Augenmerk bei der Entwicklung lag besonders auf Nachbildungen</w:t>
            </w:r>
            <w:r>
              <w:t xml:space="preserve"> </w:t>
            </w:r>
            <w:r>
              <w:t xml:space="preserve">des Leihverkehrs unter besonderer Beachtung der Identifikation</w:t>
            </w:r>
            <w:r>
              <w:t xml:space="preserve"> </w:t>
            </w:r>
            <w:r>
              <w:t xml:space="preserve">überfälliger Medien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</w:t>
            </w:r>
            <w:r>
              <w:t xml:space="preserve"> </w:t>
            </w:r>
            <w:r>
              <w:t xml:space="preserve">US-amerikanischen Raum übernommenen Begriff "Integrated</w:t>
            </w:r>
            <w:r>
              <w:t xml:space="preserve"> </w:t>
            </w:r>
            <w:r>
              <w:t xml:space="preserve">Library System" (ILS) zurückgeht. In den 1980ern entstanden</w:t>
            </w:r>
            <w:r>
              <w:t xml:space="preserve"> </w:t>
            </w:r>
            <w:r>
              <w:t xml:space="preserve">die ersten Online-Kataloge (OPAC), die die in Bibliotheken</w:t>
            </w:r>
            <w:r>
              <w:t xml:space="preserve"> </w:t>
            </w:r>
            <w:r>
              <w:t xml:space="preserve">traditionellen Zettelkataloge nachbildeten.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</w:t>
            </w:r>
            <w:r>
              <w:t xml:space="preserve"> </w:t>
            </w:r>
            <w:r>
              <w:t xml:space="preserve">die Gewohnheiten von Bibliotheks-Nutzer*innen im Zugang zu und</w:t>
            </w:r>
            <w:r>
              <w:t xml:space="preserve"> </w:t>
            </w:r>
            <w:r>
              <w:t xml:space="preserve">Umgang mit Medien u.a. mit dem Aufkommen des WWW in ihrem</w:t>
            </w:r>
            <w:r>
              <w:t xml:space="preserve"> </w:t>
            </w:r>
            <w:r>
              <w:t xml:space="preserve">Alltag zunehmend ändern (z.B. durch die Nutzung von</w:t>
            </w:r>
            <w:r>
              <w:t xml:space="preserve"> </w:t>
            </w:r>
            <w:r>
              <w:t xml:space="preserve">Online-Shopping und Suchmaschinen), rückten die Bedürfnisse der</w:t>
            </w:r>
            <w:r>
              <w:t xml:space="preserve"> </w:t>
            </w:r>
            <w:r>
              <w:t xml:space="preserve">Nutzer*innen immer mehr in den Fokus bei der Entwicklung von</w:t>
            </w:r>
            <w:r>
              <w:t xml:space="preserve"> </w:t>
            </w:r>
            <w:r>
              <w:t xml:space="preserve">Bibliothekssystemen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</w:t>
            </w:r>
            <w:r>
              <w:t xml:space="preserve"> </w:t>
            </w:r>
            <w:r>
              <w:t xml:space="preserve">sondern digital lizenziert werden. Entsprechend entwickelt sich</w:t>
            </w:r>
            <w:r>
              <w:t xml:space="preserve"> </w:t>
            </w:r>
            <w:r>
              <w:t xml:space="preserve">das Bedürfnis nach einem Electronic Resource Management (ERM)</w:t>
            </w:r>
            <w:r>
              <w:t xml:space="preserve"> </w:t>
            </w:r>
            <w:r>
              <w:t xml:space="preserve">und neuartige BMS unterfüttern zum Ende der Epoche diesen</w:t>
            </w:r>
            <w:r>
              <w:t xml:space="preserve"> </w:t>
            </w:r>
            <w:r>
              <w:t xml:space="preserve">Wandel mit einer von Medientypen unabhängigen</w:t>
            </w:r>
            <w:r>
              <w:t xml:space="preserve"> </w:t>
            </w:r>
            <w:r>
              <w:t xml:space="preserve">Ressourcenverwaltung.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</w:t>
            </w:r>
            <w:r>
              <w:t xml:space="preserve"> </w:t>
            </w:r>
            <w:r>
              <w:t xml:space="preserve">zunehmender Beliebtheit bei den BMS-Betreiber*innen. Sie</w:t>
            </w:r>
            <w:r>
              <w:t xml:space="preserve"> </w:t>
            </w:r>
            <w:r>
              <w:t xml:space="preserve">sollen den Nutzer*innen einen deutlichen Mehrwert bieten. Seit</w:t>
            </w:r>
            <w:r>
              <w:t xml:space="preserve"> </w:t>
            </w:r>
            <w:r>
              <w:t xml:space="preserve">den 2010er Jahren sind es überwiegend kommerzielle Verlage, die</w:t>
            </w:r>
            <w:r>
              <w:t xml:space="preserve"> </w:t>
            </w:r>
            <w:r>
              <w:t xml:space="preserve">umfangreiche e-Medien-Pakete oder Indizes von Volltext- und</w:t>
            </w:r>
            <w:r>
              <w:t xml:space="preserve"> </w:t>
            </w:r>
            <w:r>
              <w:t xml:space="preserve">Bibliografie-Datenbank als lizenzierbare Resource Discovery</w:t>
            </w:r>
            <w:r>
              <w:t xml:space="preserve"> </w:t>
            </w:r>
            <w:r>
              <w:t xml:space="preserve">Services anbieten.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</w:t>
            </w:r>
            <w:r>
              <w:t xml:space="preserve"> </w:t>
            </w:r>
            <w:r>
              <w:t xml:space="preserve">sie sich deutlicher von Plattformen großer Tech-Unternehmen</w:t>
            </w:r>
            <w:r>
              <w:t xml:space="preserve"> </w:t>
            </w:r>
            <w:r>
              <w:t xml:space="preserve">abgrenzen müssen. Wissen soll neu erschlossen werden mit</w:t>
            </w:r>
            <w:r>
              <w:t xml:space="preserve"> </w:t>
            </w:r>
            <w:r>
              <w:t xml:space="preserve">innovativen 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46"/>
    <w:bookmarkStart w:id="153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17"/>
        </w:numPr>
      </w:pPr>
      <w:r>
        <w:t xml:space="preserve">Erwerbung</w:t>
      </w:r>
    </w:p>
    <w:p>
      <w:pPr>
        <w:numPr>
          <w:ilvl w:val="0"/>
          <w:numId w:val="1017"/>
        </w:numPr>
      </w:pPr>
      <w:r>
        <w:t xml:space="preserve">Katalogisierung / Erschließung</w:t>
      </w:r>
    </w:p>
    <w:p>
      <w:pPr>
        <w:numPr>
          <w:ilvl w:val="0"/>
          <w:numId w:val="1017"/>
        </w:numPr>
      </w:pPr>
      <w:r>
        <w:t xml:space="preserve">Ausleihe</w:t>
      </w:r>
    </w:p>
    <w:p>
      <w:pPr>
        <w:numPr>
          <w:ilvl w:val="0"/>
          <w:numId w:val="1017"/>
        </w:numPr>
      </w:pPr>
      <w:r>
        <w:t xml:space="preserve">ein Recherche-Modul, das sich vorwiegend an die Bibliotheksnutzenden 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48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zB folgende Aufgabengebiete:</w:t>
      </w:r>
    </w:p>
    <w:p>
      <w:pPr>
        <w:numPr>
          <w:ilvl w:val="0"/>
          <w:numId w:val="1018"/>
        </w:numPr>
      </w:pPr>
      <w:r>
        <w:t xml:space="preserve">Bestellungen</w:t>
      </w:r>
    </w:p>
    <w:p>
      <w:pPr>
        <w:numPr>
          <w:ilvl w:val="0"/>
          <w:numId w:val="1018"/>
        </w:numPr>
      </w:pPr>
      <w:r>
        <w:t xml:space="preserve">Budgetverwaltung</w:t>
      </w:r>
    </w:p>
    <w:p>
      <w:pPr>
        <w:numPr>
          <w:ilvl w:val="0"/>
          <w:numId w:val="1018"/>
        </w:numPr>
      </w:pPr>
      <w:r>
        <w:t xml:space="preserve">Rechnungsverwaltung</w:t>
      </w:r>
    </w:p>
    <w:p>
      <w:pPr>
        <w:numPr>
          <w:ilvl w:val="0"/>
          <w:numId w:val="1018"/>
        </w:numPr>
      </w:pPr>
      <w:r>
        <w:t xml:space="preserve">Lieferantenverwaltung</w:t>
      </w:r>
    </w:p>
    <w:p>
      <w:pPr>
        <w:numPr>
          <w:ilvl w:val="0"/>
          <w:numId w:val="1018"/>
        </w:numPr>
      </w:pPr>
      <w:r>
        <w:t xml:space="preserve">Zeitschriften- und Fortsetzungsabonnements</w:t>
      </w:r>
    </w:p>
    <w:p>
      <w:pPr>
        <w:numPr>
          <w:ilvl w:val="0"/>
          <w:numId w:val="1018"/>
        </w:numPr>
      </w:pPr>
      <w:r>
        <w:t xml:space="preserve">Unterstützung</w:t>
      </w:r>
      <w:r>
        <w:t xml:space="preserve"> </w:t>
      </w:r>
      <w:hyperlink r:id="rId147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18"/>
        </w:numPr>
      </w:pPr>
      <w:r>
        <w:t xml:space="preserve">Buchbinder</w:t>
      </w:r>
    </w:p>
    <w:p>
      <w:pPr>
        <w:pStyle w:val="FirstParagraph"/>
      </w:pPr>
      <w:r>
        <w:t xml:space="preserve">[siehe auch Erwerbung in der Prozessabbildung]</w:t>
      </w:r>
    </w:p>
    <w:bookmarkEnd w:id="148"/>
    <w:bookmarkStart w:id="149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 zB</w:t>
      </w:r>
      <w:r>
        <w:t xml:space="preserve"> </w:t>
      </w:r>
      <w:r>
        <w:t xml:space="preserve">anhand</w:t>
      </w:r>
    </w:p>
    <w:p>
      <w:pPr>
        <w:numPr>
          <w:ilvl w:val="0"/>
          <w:numId w:val="1019"/>
        </w:numPr>
      </w:pPr>
      <w:r>
        <w:t xml:space="preserve">Übernahme von Fremddaten</w:t>
      </w:r>
    </w:p>
    <w:p>
      <w:pPr>
        <w:numPr>
          <w:ilvl w:val="0"/>
          <w:numId w:val="1019"/>
        </w:numPr>
      </w:pPr>
      <w:r>
        <w:t xml:space="preserve">Anbindung an Verbünde</w:t>
      </w:r>
    </w:p>
    <w:p>
      <w:pPr>
        <w:numPr>
          <w:ilvl w:val="0"/>
          <w:numId w:val="1019"/>
        </w:numPr>
      </w:pPr>
      <w:r>
        <w:t xml:space="preserve">Integration digitalisierter Medien</w:t>
      </w:r>
    </w:p>
    <w:p>
      <w:pPr>
        <w:pStyle w:val="FirstParagraph"/>
      </w:pPr>
      <w:r>
        <w:t xml:space="preserve">[siehe auch Katalogisierung in der Prozessabbildung]</w:t>
      </w:r>
    </w:p>
    <w:bookmarkEnd w:id="149"/>
    <w:bookmarkStart w:id="150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zB:</w:t>
      </w:r>
    </w:p>
    <w:p>
      <w:pPr>
        <w:numPr>
          <w:ilvl w:val="0"/>
          <w:numId w:val="1020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0"/>
        </w:numPr>
      </w:pPr>
      <w:r>
        <w:t xml:space="preserve">Ausleihfristen</w:t>
      </w:r>
    </w:p>
    <w:p>
      <w:pPr>
        <w:numPr>
          <w:ilvl w:val="0"/>
          <w:numId w:val="1020"/>
        </w:numPr>
      </w:pPr>
      <w:r>
        <w:t xml:space="preserve">Verwaltung von Standorten</w:t>
      </w:r>
    </w:p>
    <w:p>
      <w:pPr>
        <w:numPr>
          <w:ilvl w:val="0"/>
          <w:numId w:val="1020"/>
        </w:numPr>
      </w:pPr>
      <w:r>
        <w:t xml:space="preserve">Versand von Benachrichtigungen</w:t>
      </w:r>
    </w:p>
    <w:p>
      <w:pPr>
        <w:numPr>
          <w:ilvl w:val="0"/>
          <w:numId w:val="1020"/>
        </w:numPr>
      </w:pPr>
      <w:r>
        <w:t xml:space="preserve">Anbindung an Selbstverbuchungslösungen</w:t>
      </w:r>
    </w:p>
    <w:p>
      <w:pPr>
        <w:numPr>
          <w:ilvl w:val="0"/>
          <w:numId w:val="1020"/>
        </w:numPr>
      </w:pPr>
      <w:r>
        <w:t xml:space="preserve">Mahngebühren</w:t>
      </w:r>
    </w:p>
    <w:p>
      <w:pPr>
        <w:pStyle w:val="FirstParagraph"/>
      </w:pPr>
      <w:hyperlink w:anchor="ausleihe">
        <w:r>
          <w:rPr>
            <w:rStyle w:val="Hyperlink"/>
          </w:rPr>
          <w:t xml:space="preserve">siehe auch Ausleihe siehe auch Katalogisierung in der Prozessabbildung</w:t>
        </w:r>
      </w:hyperlink>
    </w:p>
    <w:bookmarkEnd w:id="150"/>
    <w:bookmarkStart w:id="152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1"/>
        </w:numPr>
      </w:pPr>
      <w:r>
        <w:t xml:space="preserve">Katalog (auch OPAC genannt)</w:t>
      </w:r>
    </w:p>
    <w:p>
      <w:pPr>
        <w:numPr>
          <w:ilvl w:val="0"/>
          <w:numId w:val="1021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rPr>
          <w:rStyle w:val="FootnoteReference"/>
        </w:rPr>
        <w:footnoteReference w:id="151"/>
      </w:r>
      <w:r>
        <w:t xml:space="preserve">:</w:t>
      </w:r>
    </w:p>
    <w:p>
      <w:pPr>
        <w:numPr>
          <w:ilvl w:val="0"/>
          <w:numId w:val="1022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2"/>
        </w:numPr>
      </w:pPr>
      <w:r>
        <w:t xml:space="preserve">Mandantenfähigkeit</w:t>
      </w:r>
    </w:p>
    <w:p>
      <w:pPr>
        <w:numPr>
          <w:ilvl w:val="0"/>
          <w:numId w:val="1022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2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2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2"/>
        </w:numPr>
      </w:pPr>
      <w:r>
        <w:t xml:space="preserve">Statistik-Werkzeuge</w:t>
      </w:r>
    </w:p>
    <w:p>
      <w:pPr>
        <w:numPr>
          <w:ilvl w:val="0"/>
          <w:numId w:val="1022"/>
        </w:numPr>
      </w:pPr>
      <w:r>
        <w:t xml:space="preserve">Erzeugung von Semesterapparaten</w:t>
      </w:r>
    </w:p>
    <w:p>
      <w:pPr>
        <w:numPr>
          <w:ilvl w:val="0"/>
          <w:numId w:val="1022"/>
        </w:numPr>
      </w:pPr>
      <w:r>
        <w:t xml:space="preserve">Anlegen von Favoriten-Listen</w:t>
      </w:r>
    </w:p>
    <w:p>
      <w:pPr>
        <w:numPr>
          <w:ilvl w:val="0"/>
          <w:numId w:val="1022"/>
        </w:numPr>
      </w:pPr>
      <w:r>
        <w:t xml:space="preserve">Anzeige von Buchcovern</w:t>
      </w:r>
    </w:p>
    <w:bookmarkEnd w:id="152"/>
    <w:bookmarkEnd w:id="153"/>
    <w:bookmarkStart w:id="156" w:name="aktuell-relevante-software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Der Markt von BMS ist wie bei Software üblich dynamisch, so dass jede</w:t>
      </w:r>
      <w:r>
        <w:t xml:space="preserve"> </w:t>
      </w:r>
      <w:r>
        <w:t xml:space="preserve">Übersicht nach einigen Jahren veraltet ist. Stand Mitte 2022 haben</w:t>
      </w:r>
      <w:r>
        <w:t xml:space="preserve"> </w:t>
      </w:r>
      <w:r>
        <w:t xml:space="preserve">folgende BMS die derzeit größte Marktreife und -durchdringung im</w:t>
      </w:r>
      <w:r>
        <w:t xml:space="preserve"> </w:t>
      </w:r>
      <w:r>
        <w:t xml:space="preserve">deutschsprachigen Raum. Alle vier verfügen über wesentliche Merkmale</w:t>
      </w:r>
      <w:r>
        <w:t xml:space="preserve"> </w:t>
      </w:r>
      <w:r>
        <w:t xml:space="preserve">eines Next Generation-BMS.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6"/>
        <w:gridCol w:w="1605"/>
        <w:gridCol w:w="2461"/>
        <w:gridCol w:w="1284"/>
        <w:gridCol w:w="1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</w:t>
            </w:r>
            <w:r>
              <w:t xml:space="preserve"> </w:t>
            </w:r>
            <w:r>
              <w:t xml:space="preserve">NRW, 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ExLibris,</w:t>
            </w:r>
          </w:p>
          <w:p>
            <w:pPr>
              <w:jc w:val="left"/>
            </w:pPr>
            <w:r>
              <w:t xml:space="preserve">integrierte</w:t>
            </w:r>
            <w:r>
              <w:t xml:space="preserve"> </w:t>
            </w:r>
            <w:r>
              <w:t xml:space="preserve">Apps durch</w:t>
            </w:r>
            <w:r>
              <w:t xml:space="preserve"> </w:t>
            </w:r>
            <w:r>
              <w:t xml:space="preserve">Bibliotheken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ERM-Modul in</w:t>
            </w:r>
            <w:r>
              <w:t xml:space="preserve"> </w:t>
            </w:r>
            <w:r>
              <w:t xml:space="preserve">einzelnen</w:t>
            </w:r>
            <w:r>
              <w:t xml:space="preserve"> </w:t>
            </w:r>
            <w:r>
              <w:t xml:space="preserve">deutschen</w:t>
            </w:r>
            <w:r>
              <w:t xml:space="preserve"> </w:t>
            </w:r>
            <w:r>
              <w:t xml:space="preserve">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</w:t>
            </w:r>
            <w:r>
              <w:t xml:space="preserve"> </w:t>
            </w:r>
            <w:r>
              <w:t xml:space="preserve">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zahlreiche ÖBs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</w:t>
            </w:r>
            <w:r>
              <w:t xml:space="preserve"> </w:t>
            </w: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vereinzelte</w:t>
            </w:r>
            <w:r>
              <w:t xml:space="preserve"> </w:t>
            </w:r>
            <w:r>
              <w:t xml:space="preserve">Bibliotheken in</w:t>
            </w:r>
            <w:r>
              <w:t xml:space="preserve"> </w:t>
            </w:r>
            <w:r>
              <w:t xml:space="preserve">Deutschland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OCLC</w:t>
            </w:r>
          </w:p>
        </w:tc>
      </w:tr>
    </w:tbl>
    <w:p>
      <w:pPr>
        <w:pStyle w:val="BodyText"/>
      </w:pPr>
      <w:r>
        <w:t xml:space="preserve">Darüber hinaus sind unter Anderem folgende technisch inzwischen</w:t>
      </w:r>
      <w:r>
        <w:t xml:space="preserve"> </w:t>
      </w:r>
      <w:r>
        <w:t xml:space="preserve">weitgehend überholte Systeme an vielen Bibliotheken noch im Einsatz:</w:t>
      </w:r>
    </w:p>
    <w:p>
      <w:pPr>
        <w:numPr>
          <w:ilvl w:val="0"/>
          <w:numId w:val="1023"/>
        </w:numPr>
      </w:pPr>
      <w:r>
        <w:t xml:space="preserve">PICA LBS</w:t>
      </w:r>
    </w:p>
    <w:p>
      <w:pPr>
        <w:numPr>
          <w:ilvl w:val="0"/>
          <w:numId w:val="1023"/>
        </w:numPr>
      </w:pPr>
      <w:r>
        <w:t xml:space="preserve">Sunrise</w:t>
      </w:r>
    </w:p>
    <w:p>
      <w:pPr>
        <w:numPr>
          <w:ilvl w:val="0"/>
          <w:numId w:val="1023"/>
        </w:numPr>
      </w:pPr>
      <w:r>
        <w:t xml:space="preserve">aDIS/BMS</w:t>
      </w:r>
    </w:p>
    <w:p>
      <w:pPr>
        <w:numPr>
          <w:ilvl w:val="0"/>
          <w:numId w:val="1023"/>
        </w:numPr>
      </w:pPr>
      <w:r>
        <w:t xml:space="preserve">allegro und allegro-c</w:t>
      </w:r>
    </w:p>
    <w:p>
      <w:pPr>
        <w:numPr>
          <w:ilvl w:val="0"/>
          <w:numId w:val="1023"/>
        </w:numPr>
      </w:pPr>
      <w:r>
        <w:t xml:space="preserve">Libero</w:t>
      </w:r>
    </w:p>
    <w:p>
      <w:pPr>
        <w:numPr>
          <w:ilvl w:val="0"/>
          <w:numId w:val="1023"/>
        </w:numPr>
      </w:pPr>
      <w:r>
        <w:t xml:space="preserve">Bibliomondo</w:t>
      </w:r>
    </w:p>
    <w:p>
      <w:pPr>
        <w:numPr>
          <w:ilvl w:val="0"/>
          <w:numId w:val="1023"/>
        </w:numPr>
      </w:pPr>
      <w:r>
        <w:t xml:space="preserve">Perpustakaan</w:t>
      </w:r>
    </w:p>
    <w:p>
      <w:pPr>
        <w:pStyle w:val="FirstParagraph"/>
      </w:pPr>
      <w:r>
        <w:t xml:space="preserve">Eine internationale Übersicht von BMS enthält der von Marshall Breeding</w:t>
      </w:r>
      <w:r>
        <w:t xml:space="preserve"> </w:t>
      </w:r>
      <w:r>
        <w:t xml:space="preserve">gepflegte</w:t>
      </w:r>
      <w:r>
        <w:t xml:space="preserve"> </w:t>
      </w:r>
      <w:hyperlink r:id="rId154">
        <w:r>
          <w:rPr>
            <w:rStyle w:val="Hyperlink"/>
          </w:rPr>
          <w:t xml:space="preserve">Library Technology Guide</w:t>
        </w:r>
      </w:hyperlink>
      <w:r>
        <w:t xml:space="preserve">.</w:t>
      </w:r>
      <w:r>
        <w:t xml:space="preserve"> </w:t>
      </w:r>
      <w:r>
        <w:t xml:space="preserve">Weitere BMS sind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55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bookmarkEnd w:id="156"/>
    <w:bookmarkStart w:id="164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 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4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5"/>
        </w:numPr>
      </w:pPr>
      <w:hyperlink r:id="rId157">
        <w:r>
          <w:rPr>
            <w:rStyle w:val="Hyperlink"/>
          </w:rPr>
          <w:t xml:space="preserve">Library Thing for Libraries</w:t>
        </w:r>
      </w:hyperlink>
    </w:p>
    <w:p>
      <w:pPr>
        <w:numPr>
          <w:ilvl w:val="0"/>
          <w:numId w:val="1025"/>
        </w:numPr>
      </w:pPr>
      <w:hyperlink r:id="rId158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5"/>
        </w:numPr>
      </w:pPr>
      <w:r>
        <w:t xml:space="preserve">Stand-Alone-Lösungen für Electronic Resource Management wie</w:t>
      </w:r>
      <w:r>
        <w:t xml:space="preserve"> </w:t>
      </w:r>
      <w:hyperlink r:id="rId159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6"/>
        </w:numPr>
        <w:pStyle w:val="Compact"/>
      </w:pPr>
      <w:r>
        <w:t xml:space="preserve">Plugins für Wordpress wie</w:t>
      </w:r>
      <w:r>
        <w:t xml:space="preserve"> </w:t>
      </w:r>
      <w:hyperlink r:id="rId160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27"/>
        </w:numPr>
        <w:pStyle w:val="Compact"/>
      </w:pPr>
      <w:r>
        <w:t xml:space="preserve">Finanzbuchhaltungssysteme wie SAP,</w:t>
      </w:r>
      <w:r>
        <w:t xml:space="preserve"> </w:t>
      </w:r>
      <w:hyperlink r:id="rId161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28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Bei Schulbibliotheken ist die Software</w:t>
      </w:r>
      <w:r>
        <w:t xml:space="preserve"> </w:t>
      </w:r>
      <w:hyperlink r:id="rId162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relativ weit verbreitet, die alle wesentlichen Grundfunktionen eines BMS</w:t>
      </w:r>
      <w:r>
        <w:t xml:space="preserve"> </w:t>
      </w:r>
      <w:r>
        <w:t xml:space="preserve">beinhaltet, sich aber ausdrücklich an nicht-bibliothekarisch</w:t>
      </w:r>
      <w:r>
        <w:t xml:space="preserve"> </w:t>
      </w:r>
      <w:r>
        <w:t xml:space="preserve">vorgebildetes Personal richtet.</w:t>
      </w:r>
    </w:p>
    <w:p>
      <w:pPr>
        <w:pStyle w:val="BodyText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63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</w:t>
      </w:r>
      <w:r>
        <w:t xml:space="preserve"> </w:t>
      </w:r>
      <w:r>
        <w:t xml:space="preserve">auf dieses klassische Instrument gänzlich zu verzichten.</w:t>
      </w:r>
    </w:p>
    <w:bookmarkEnd w:id="164"/>
    <w:bookmarkStart w:id="167" w:name="X20b62cd44c03308a320ab47226bafd0be5278da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29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</w:t>
      </w:r>
      <w:r>
        <w:t xml:space="preserve"> </w:t>
      </w:r>
      <w:r>
        <w:t xml:space="preserve">Gebühren)</w:t>
      </w:r>
    </w:p>
    <w:p>
      <w:pPr>
        <w:numPr>
          <w:ilvl w:val="0"/>
          <w:numId w:val="1029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29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0"/>
        </w:numPr>
      </w:pPr>
      <w:r>
        <w:t xml:space="preserve">Haushaltssysteme wie SAP, HIS Haushalt-ERP</w:t>
      </w:r>
    </w:p>
    <w:p>
      <w:pPr>
        <w:numPr>
          <w:ilvl w:val="0"/>
          <w:numId w:val="1030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0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1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 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2"/>
        </w:numPr>
      </w:pPr>
      <w:r>
        <w:t xml:space="preserve">Fernleihe</w:t>
      </w:r>
    </w:p>
    <w:p>
      <w:pPr>
        <w:numPr>
          <w:ilvl w:val="0"/>
          <w:numId w:val="1032"/>
        </w:numPr>
      </w:pPr>
      <w:r>
        <w:t xml:space="preserve">Dokumentenlieferdienste (z.B.:</w:t>
      </w:r>
      <w:r>
        <w:t xml:space="preserve"> </w:t>
      </w:r>
      <w:hyperlink r:id="rId165">
        <w:r>
          <w:rPr>
            <w:rStyle w:val="Hyperlink"/>
          </w:rPr>
          <w:t xml:space="preserve">Subito</w:t>
        </w:r>
      </w:hyperlink>
      <w:r>
        <w:t xml:space="preserve">, und</w:t>
      </w:r>
      <w:r>
        <w:t xml:space="preserve"> </w:t>
      </w:r>
      <w:r>
        <w:t xml:space="preserve">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und in</w:t>
      </w:r>
      <w:r>
        <w:t xml:space="preserve"> </w:t>
      </w:r>
      <w:r>
        <w:t xml:space="preserve">spezialisierten Discovery-Systemen gesammelt. Dort können sie für eine</w:t>
      </w:r>
      <w:r>
        <w:t xml:space="preserve"> </w:t>
      </w:r>
      <w:r>
        <w:t xml:space="preserve">übergreifende Recherche genutzt werden.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 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67"/>
    <w:bookmarkStart w:id="168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54"/>
        <w:gridCol w:w="1926"/>
        <w:gridCol w:w="3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</w:t>
            </w:r>
            <w:r>
              <w:t xml:space="preserve"> </w:t>
            </w:r>
            <w:r>
              <w:t xml:space="preserve">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</w:t>
            </w:r>
            <w:r>
              <w:t xml:space="preserve"> </w:t>
            </w:r>
            <w:r>
              <w:t xml:space="preserve">Platform 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168"/>
    <w:bookmarkStart w:id="169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3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3"/>
        </w:numPr>
      </w:pPr>
      <w:r>
        <w:t xml:space="preserve">die GoKB als kooperativ gepflegte Knowledge Base für elektronische Ressourcen</w:t>
      </w:r>
    </w:p>
    <w:bookmarkEnd w:id="169"/>
    <w:bookmarkStart w:id="171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4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4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170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 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4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171"/>
    <w:bookmarkEnd w:id="172"/>
    <w:bookmarkStart w:id="174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folgender Beispiele darstellen:</w:t>
      </w:r>
    </w:p>
    <w:p>
      <w:pPr>
        <w:numPr>
          <w:ilvl w:val="0"/>
          <w:numId w:val="1035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5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Prozess beginnt mit der</w:t>
      </w:r>
      <w:r>
        <w:t xml:space="preserve"> </w:t>
      </w:r>
      <w:r>
        <w:t xml:space="preserve">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173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6"/>
        </w:numPr>
      </w:pPr>
      <w:r>
        <w:t xml:space="preserve">Gruppenbildung Universitätsbibliothek:</w:t>
      </w:r>
    </w:p>
    <w:p>
      <w:pPr>
        <w:numPr>
          <w:ilvl w:val="1"/>
          <w:numId w:val="1037"/>
        </w:numPr>
      </w:pPr>
      <w:r>
        <w:t xml:space="preserve">intern: Studierende, Lehrende, weitere Universitätsangehörige</w:t>
      </w:r>
    </w:p>
    <w:p>
      <w:pPr>
        <w:numPr>
          <w:ilvl w:val="1"/>
          <w:numId w:val="1037"/>
        </w:numPr>
      </w:pPr>
      <w:r>
        <w:t xml:space="preserve">extern: externe Wissenschaftler*innen, interessierte Öffentlichkeit</w:t>
      </w:r>
    </w:p>
    <w:p>
      <w:pPr>
        <w:numPr>
          <w:ilvl w:val="0"/>
          <w:numId w:val="1036"/>
        </w:numPr>
      </w:pPr>
      <w:r>
        <w:t xml:space="preserve">Gruppenbildung öffentlichen Bibliothek: Kinder, Jugendliche, 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38"/>
        </w:numPr>
      </w:pPr>
      <w:r>
        <w:t xml:space="preserve">Präsenzbestände vs. ausleihbare Medien,</w:t>
      </w:r>
    </w:p>
    <w:p>
      <w:pPr>
        <w:numPr>
          <w:ilvl w:val="0"/>
          <w:numId w:val="1038"/>
        </w:numPr>
      </w:pPr>
      <w:r>
        <w:t xml:space="preserve">besonders wertvolle Medien oder</w:t>
      </w:r>
    </w:p>
    <w:p>
      <w:pPr>
        <w:numPr>
          <w:ilvl w:val="0"/>
          <w:numId w:val="1038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173"/>
    <w:bookmarkEnd w:id="174"/>
    <w:bookmarkStart w:id="183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 Publikationen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175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175"/>
    <w:bookmarkStart w:id="176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176"/>
    <w:bookmarkStart w:id="179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177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178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179"/>
    <w:bookmarkStart w:id="181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(CSV, XML, JSON oder RDF) die je nach BMS besser oder schlechter</w:t>
      </w:r>
      <w:r>
        <w:t xml:space="preserve"> </w:t>
      </w:r>
      <w:r>
        <w:t xml:space="preserve">unterstützt werden.</w:t>
      </w:r>
    </w:p>
    <w:p>
      <w:pPr>
        <w:pStyle w:val="BodyText"/>
      </w:pPr>
      <w:r>
        <w:t xml:space="preserve">Beispiele für bibliographische Standardformate sind MARC-21, BIBFRAME</w:t>
      </w:r>
      <w:r>
        <w:t xml:space="preserve"> </w:t>
      </w:r>
      <w:r>
        <w:t xml:space="preserve">und als kleinster gemeinsamer Nenner Dublin Core. Das PICA-Format bzw.</w:t>
      </w:r>
      <w:r>
        <w:t xml:space="preserve"> </w:t>
      </w:r>
      <w:r>
        <w:t xml:space="preserve">darauf aufbauende Formate ist vor allem als Internformat in den</w:t>
      </w:r>
      <w:r>
        <w:t xml:space="preserve"> </w:t>
      </w:r>
      <w:r>
        <w:t xml:space="preserve">Bibliotheksverbünden GBV, BSZ und an der DNB verbeitet.</w:t>
      </w:r>
    </w:p>
    <w:p>
      <w:pPr>
        <w:pStyle w:val="BodyText"/>
      </w:pPr>
      <w:r>
        <w:t xml:space="preserve">Verbreitete Metadaten-Schnittstellen sind Z39.50, SRU und OAI-PMH.</w:t>
      </w:r>
    </w:p>
    <w:p>
      <w:pPr>
        <w:pStyle w:val="BodyText"/>
      </w:pPr>
      <w:r>
        <w:t xml:space="preserve">Beispiele für relevante Formate und Schnittstellen für digitale Inhalte</w:t>
      </w:r>
      <w:r>
        <w:t xml:space="preserve"> </w:t>
      </w:r>
      <w:r>
        <w:t xml:space="preserve">sind PDF, METS/MODS und IIIF.</w:t>
      </w:r>
    </w:p>
    <w:p>
      <w:pPr>
        <w:pStyle w:val="BodyText"/>
      </w:pPr>
      <w:r>
        <w:t xml:space="preserve">Beispiele für relevante Schnittstellen für BMS-Verwaltungsdaten sind</w:t>
      </w:r>
      <w:r>
        <w:t xml:space="preserve"> </w:t>
      </w:r>
      <w:r>
        <w:t xml:space="preserve">LDAP und PAIA.</w:t>
      </w:r>
    </w:p>
    <w:p>
      <w:pPr>
        <w:pStyle w:val="BodyText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180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181"/>
    <w:bookmarkStart w:id="182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182"/>
    <w:bookmarkEnd w:id="183"/>
    <w:bookmarkStart w:id="193" w:name="beschaffung-und-marktanalyse"/>
    <w:p>
      <w:pPr>
        <w:pStyle w:val="Heading2"/>
      </w:pPr>
      <w:r>
        <w:t xml:space="preserve">Beschaffung und Marktanalyse</w:t>
      </w:r>
    </w:p>
    <w:p>
      <w:pPr>
        <w:pStyle w:val="FirstParagraph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184">
        <w:r>
          <w:rPr>
            <w:rStyle w:val="Hyperlink"/>
          </w:rPr>
          <w:t xml:space="preserve">Übersicht deutscher 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1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1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1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1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</w:t>
      </w:r>
      <w:r>
        <w:t xml:space="preserve"> </w:t>
      </w:r>
      <w:r>
        <w:t xml:space="preserve">mehr vorgenommen werden.</w:t>
      </w:r>
    </w:p>
    <w:bookmarkStart w:id="185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</w:t>
      </w:r>
      <w:r>
        <w:t xml:space="preserve"> </w:t>
      </w:r>
      <w:r>
        <w:t xml:space="preserve">mit Anwendungsbibliotheken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Auswahlentscheidung</w:t>
      </w:r>
    </w:p>
    <w:bookmarkEnd w:id="185"/>
    <w:bookmarkStart w:id="191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</w:t>
      </w:r>
      <w:r>
        <w:t xml:space="preserve"> </w:t>
      </w:r>
      <w:r>
        <w:t xml:space="preserve">gut abbilden können. Die Anforderungen aus dem Kapitel</w:t>
      </w:r>
      <w:r>
        <w:t xml:space="preserve"> </w:t>
      </w:r>
      <w:r>
        <w:t xml:space="preserve">Nutzer*innenzentrierte Gestaltung gelten grundsätzlich natürlich auch</w:t>
      </w:r>
      <w:r>
        <w:t xml:space="preserve"> </w:t>
      </w:r>
      <w:r>
        <w:t xml:space="preserve">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89" w:name="fig-anonymous-4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für eine Matrix zur Einordnung von Funktionalitäten</w:t>
            </w:r>
          </w:p>
          <w:bookmarkEnd w:id="189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190">
        <w:r>
          <w:rPr>
            <w:rStyle w:val="Hyperlink"/>
          </w:rPr>
          <w:t xml:space="preserve">von HBZ und VZG entwickelte Kriterienkatalog</w:t>
        </w:r>
      </w:hyperlink>
      <w:r>
        <w:t xml:space="preserve">.</w:t>
      </w:r>
      <w:r>
        <w:t xml:space="preserve"> </w:t>
      </w:r>
      <w:r>
        <w:t xml:space="preserve">Dieses umfangreiche Dokument zeigt die Anforderungen an alle Komponenten</w:t>
      </w:r>
      <w:r>
        <w:t xml:space="preserve"> </w:t>
      </w:r>
      <w:r>
        <w:t xml:space="preserve">auf 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191"/>
    <w:bookmarkStart w:id="192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 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3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</w:t>
      </w:r>
      <w:r>
        <w:t xml:space="preserve"> </w:t>
      </w:r>
      <w:r>
        <w:t xml:space="preserve">Konditionen</w:t>
      </w:r>
    </w:p>
    <w:p>
      <w:pPr>
        <w:numPr>
          <w:ilvl w:val="0"/>
          <w:numId w:val="1043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3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50"/>
        <w:gridCol w:w="2084"/>
        <w:gridCol w:w="2292"/>
        <w:gridCol w:w="22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 und</w:t>
            </w:r>
            <w:r>
              <w:t xml:space="preserve"> </w:t>
            </w:r>
            <w:r>
              <w:t xml:space="preserve">Leistungsstruktur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</w:t>
            </w:r>
            <w:r>
              <w:t xml:space="preserve"> </w:t>
            </w:r>
            <w:r>
              <w:t xml:space="preserve">wendungscommunity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  <w:r>
              <w:br/>
            </w:r>
            <w:r>
              <w:br/>
            </w:r>
            <w:r>
              <w:t xml:space="preserve">klare</w:t>
            </w:r>
            <w:r>
              <w:t xml:space="preserve"> </w:t>
            </w:r>
            <w:r>
              <w:t xml:space="preserve">V</w:t>
            </w:r>
            <w:r>
              <w:t xml:space="preserve"> </w:t>
            </w:r>
            <w:r>
              <w:t xml:space="preserve">erantwortlichkeiten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Anwe</w:t>
            </w:r>
            <w:r>
              <w:t xml:space="preserve"> </w:t>
            </w:r>
            <w:r>
              <w:t xml:space="preserve">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</w:t>
            </w:r>
            <w:r>
              <w:t xml:space="preserve"> </w:t>
            </w:r>
            <w:r>
              <w:t xml:space="preserve">die Services rund</w:t>
            </w:r>
            <w:r>
              <w:t xml:space="preserve"> </w:t>
            </w:r>
            <w:r>
              <w:t xml:space="preserve">um Migration,</w:t>
            </w:r>
            <w:r>
              <w:t xml:space="preserve"> </w:t>
            </w:r>
            <w:r>
              <w:t xml:space="preserve">Betrieb und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  <w:r>
              <w:t xml:space="preserve"> </w:t>
            </w:r>
            <w:r>
              <w:t xml:space="preserve">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</w:t>
            </w:r>
            <w:r>
              <w:t xml:space="preserve"> </w:t>
            </w:r>
            <w:r>
              <w:t xml:space="preserve">und 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</w:t>
            </w:r>
            <w:r>
              <w:t xml:space="preserve"> </w:t>
            </w:r>
            <w:r>
              <w:t xml:space="preserve">stellerspezifische)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192"/>
    <w:bookmarkEnd w:id="193"/>
    <w:bookmarkStart w:id="237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98" w:name="fig-anonymous-1"/>
          <w:p>
            <w:pPr>
              <w:jc w:val="center"/>
            </w:pPr>
            <w:hyperlink r:id="rId197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195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19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 BPMN-Prozessabbildung</w:t>
            </w:r>
          </w:p>
          <w:bookmarkEnd w:id="198"/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199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199"/>
    <w:bookmarkStart w:id="200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4"/>
        </w:numPr>
      </w:pPr>
      <w:r>
        <w:t xml:space="preserve">Intuitive Benutzbarkeit</w:t>
      </w:r>
    </w:p>
    <w:p>
      <w:pPr>
        <w:numPr>
          <w:ilvl w:val="0"/>
          <w:numId w:val="1044"/>
        </w:numPr>
      </w:pPr>
      <w:r>
        <w:t xml:space="preserve">Barrierearme Gestaltung</w:t>
      </w:r>
    </w:p>
    <w:p>
      <w:pPr>
        <w:numPr>
          <w:ilvl w:val="0"/>
          <w:numId w:val="1044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 [rechtlichen Rahmenbedingungen]</w:t>
      </w:r>
      <w:r>
        <w:t xml:space="preserve"> </w:t>
      </w:r>
      <w:r>
        <w:t xml:space="preserve">und zu den [Prinzipien der Gestaltung] angesprochen.</w:t>
      </w:r>
    </w:p>
    <w:bookmarkEnd w:id="200"/>
    <w:bookmarkStart w:id="201" w:name="erwerbung-1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5"/>
        </w:numPr>
      </w:pPr>
      <w:r>
        <w:t xml:space="preserve">Überprüfen von vorhandenen Beständen (Vorakzession)</w:t>
      </w:r>
    </w:p>
    <w:p>
      <w:pPr>
        <w:numPr>
          <w:ilvl w:val="0"/>
          <w:numId w:val="1045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5"/>
        </w:numPr>
      </w:pPr>
      <w:r>
        <w:t xml:space="preserve">Verwaltung von Lieferantendaten</w:t>
      </w:r>
    </w:p>
    <w:p>
      <w:pPr>
        <w:numPr>
          <w:ilvl w:val="0"/>
          <w:numId w:val="1045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5"/>
        </w:numPr>
      </w:pPr>
      <w:r>
        <w:t xml:space="preserve">Überwachung von Bestellungen</w:t>
      </w:r>
    </w:p>
    <w:p>
      <w:pPr>
        <w:numPr>
          <w:ilvl w:val="0"/>
          <w:numId w:val="1045"/>
        </w:numPr>
      </w:pPr>
      <w:r>
        <w:t xml:space="preserve">Anlegen und Verwalten von Budgets</w:t>
      </w:r>
    </w:p>
    <w:p>
      <w:pPr>
        <w:numPr>
          <w:ilvl w:val="0"/>
          <w:numId w:val="1045"/>
        </w:numPr>
      </w:pPr>
      <w:r>
        <w:t xml:space="preserve">Akzessionierung von Medien</w:t>
      </w:r>
    </w:p>
    <w:p>
      <w:pPr>
        <w:numPr>
          <w:ilvl w:val="0"/>
          <w:numId w:val="1045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5"/>
        </w:numPr>
      </w:pPr>
      <w:r>
        <w:t xml:space="preserve">Verwaltung von Bindeaufträgen</w:t>
      </w:r>
    </w:p>
    <w:p>
      <w:pPr>
        <w:numPr>
          <w:ilvl w:val="0"/>
          <w:numId w:val="1045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01"/>
    <w:bookmarkStart w:id="202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46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46"/>
        </w:numPr>
      </w:pPr>
      <w:r>
        <w:t xml:space="preserve">Zuordnung von digitalen Inhalten zu Paketen</w:t>
      </w:r>
    </w:p>
    <w:p>
      <w:pPr>
        <w:numPr>
          <w:ilvl w:val="0"/>
          <w:numId w:val="1046"/>
        </w:numPr>
      </w:pPr>
      <w:r>
        <w:t xml:space="preserve">Verwaltung von Paketen</w:t>
      </w:r>
    </w:p>
    <w:p>
      <w:pPr>
        <w:numPr>
          <w:ilvl w:val="0"/>
          <w:numId w:val="1046"/>
        </w:numPr>
      </w:pPr>
      <w:r>
        <w:t xml:space="preserve">Bezug von bibliografischen Daten von Aggregatoren und Verlagen</w:t>
      </w:r>
    </w:p>
    <w:p>
      <w:pPr>
        <w:numPr>
          <w:ilvl w:val="0"/>
          <w:numId w:val="1046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46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46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02"/>
    <w:bookmarkStart w:id="203" w:name="katalogisierung-1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47"/>
        </w:numPr>
      </w:pPr>
      <w:r>
        <w:t xml:space="preserve">Übernahme von Katalogdaten aus Bibliotheksverbünden</w:t>
      </w:r>
    </w:p>
    <w:p>
      <w:pPr>
        <w:numPr>
          <w:ilvl w:val="0"/>
          <w:numId w:val="1047"/>
        </w:numPr>
      </w:pPr>
      <w:r>
        <w:t xml:space="preserve">Möglichkeit der Integration von Normdaten</w:t>
      </w:r>
    </w:p>
    <w:p>
      <w:pPr>
        <w:numPr>
          <w:ilvl w:val="0"/>
          <w:numId w:val="1047"/>
        </w:numPr>
      </w:pPr>
      <w:r>
        <w:t xml:space="preserve">Erfassung von lokalen Daten</w:t>
      </w:r>
    </w:p>
    <w:p>
      <w:pPr>
        <w:numPr>
          <w:ilvl w:val="0"/>
          <w:numId w:val="1047"/>
        </w:numPr>
      </w:pPr>
      <w:r>
        <w:t xml:space="preserve">Konfigurierbarkeit von Erfassungsmasken</w:t>
      </w:r>
    </w:p>
    <w:bookmarkEnd w:id="203"/>
    <w:bookmarkStart w:id="204" w:name="katalog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48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48"/>
        </w:numPr>
      </w:pPr>
      <w:r>
        <w:t xml:space="preserve">Angebot von Möglichkeiten der Suche nach bekannten Titeln</w:t>
      </w:r>
    </w:p>
    <w:p>
      <w:pPr>
        <w:numPr>
          <w:ilvl w:val="0"/>
          <w:numId w:val="1048"/>
        </w:numPr>
      </w:pPr>
      <w:r>
        <w:t xml:space="preserve">Angebot von Möglichkeiten der Suche nach Themen</w:t>
      </w:r>
    </w:p>
    <w:p>
      <w:pPr>
        <w:numPr>
          <w:ilvl w:val="0"/>
          <w:numId w:val="1048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48"/>
        </w:numPr>
      </w:pPr>
      <w:r>
        <w:t xml:space="preserve">Anzeige von Verfügbarkeitsinformationen</w:t>
      </w:r>
    </w:p>
    <w:p>
      <w:pPr>
        <w:numPr>
          <w:ilvl w:val="0"/>
          <w:numId w:val="1048"/>
        </w:numPr>
      </w:pPr>
      <w:r>
        <w:t xml:space="preserve">Anzeige von Neuerwerbungslisten</w:t>
      </w:r>
    </w:p>
    <w:p>
      <w:pPr>
        <w:numPr>
          <w:ilvl w:val="0"/>
          <w:numId w:val="1048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48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48"/>
        </w:numPr>
      </w:pPr>
      <w:r>
        <w:t xml:space="preserve">Anpassbarkeit der Katalogoberfläche an das Corporate Design (wenigstens</w:t>
      </w:r>
      <w:r>
        <w:t xml:space="preserve"> </w:t>
      </w:r>
      <w:r>
        <w:t xml:space="preserve">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49"/>
        </w:numPr>
      </w:pPr>
      <w:r>
        <w:t xml:space="preserve">Klassischer Katalog (OPAC) als Bestandteil des BMS</w:t>
      </w:r>
    </w:p>
    <w:p>
      <w:pPr>
        <w:numPr>
          <w:ilvl w:val="0"/>
          <w:numId w:val="1049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49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49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04"/>
    <w:bookmarkStart w:id="205" w:name="ausleihe-1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0"/>
        </w:numPr>
      </w:pPr>
      <w:r>
        <w:t xml:space="preserve">Anlegen von Nutzergruppen, Standorten, Medienarten</w:t>
      </w:r>
    </w:p>
    <w:p>
      <w:pPr>
        <w:numPr>
          <w:ilvl w:val="0"/>
          <w:numId w:val="1050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</w:t>
      </w:r>
      <w:r>
        <w:t xml:space="preserve"> </w:t>
      </w:r>
      <w:r>
        <w:t xml:space="preserve">Standorten, Medienarten</w:t>
      </w:r>
    </w:p>
    <w:p>
      <w:pPr>
        <w:numPr>
          <w:ilvl w:val="0"/>
          <w:numId w:val="1050"/>
        </w:numPr>
      </w:pPr>
      <w:r>
        <w:t xml:space="preserve">Verbuchung von Medien (Ausleihe, Rücknahme)</w:t>
      </w:r>
    </w:p>
    <w:p>
      <w:pPr>
        <w:numPr>
          <w:ilvl w:val="0"/>
          <w:numId w:val="1050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0"/>
        </w:numPr>
      </w:pPr>
      <w:r>
        <w:t xml:space="preserve">Ermöglichen von Bestellungen und Vormerkungen</w:t>
      </w:r>
    </w:p>
    <w:p>
      <w:pPr>
        <w:numPr>
          <w:ilvl w:val="0"/>
          <w:numId w:val="1050"/>
        </w:numPr>
      </w:pPr>
      <w:r>
        <w:t xml:space="preserve">Mahnwesen (Fristen, Mahnstufen)</w:t>
      </w:r>
    </w:p>
    <w:p>
      <w:pPr>
        <w:numPr>
          <w:ilvl w:val="0"/>
          <w:numId w:val="1050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0"/>
        </w:numPr>
      </w:pPr>
      <w:r>
        <w:t xml:space="preserve">Gebührenverwaltung</w:t>
      </w:r>
    </w:p>
    <w:p>
      <w:pPr>
        <w:numPr>
          <w:ilvl w:val="0"/>
          <w:numId w:val="1050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0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0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0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05"/>
    <w:bookmarkStart w:id="214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06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07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 wird. Moderne BMS unterstützen mittlerweile</w:t>
      </w:r>
      <w:r>
        <w:t xml:space="preserve"> </w:t>
      </w:r>
      <w:r>
        <w:t xml:space="preserve">zusätzlich auch allgemeine Kommunikationsprotokolle, etwa über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09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</w:t>
      </w:r>
      <w:r>
        <w:t xml:space="preserve">“</w:t>
      </w:r>
      <w:r>
        <w:t xml:space="preserve">klack</w:t>
      </w:r>
      <w:r>
        <w:t xml:space="preserve">”</w:t>
      </w:r>
      <w:r>
        <w:t xml:space="preserve">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09"/>
    <w:bookmarkStart w:id="210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</w:t>
      </w:r>
      <w:r>
        <w:t xml:space="preserve"> </w:t>
      </w:r>
      <w:r>
        <w:t xml:space="preserve">“</w:t>
      </w:r>
      <w:r>
        <w:t xml:space="preserve">SN …</w:t>
      </w:r>
      <w:r>
        <w:t xml:space="preserve">”</w:t>
      </w:r>
      <w:r>
        <w:t xml:space="preserve"> </w:t>
      </w:r>
      <w:r>
        <w:t xml:space="preserve">in Wagen 3,</w:t>
      </w:r>
      <w:r>
        <w:t xml:space="preserve"> </w:t>
      </w:r>
      <w:r>
        <w:t xml:space="preserve">“</w:t>
      </w:r>
      <w:r>
        <w:t xml:space="preserve">ist vorgemerkt</w:t>
      </w:r>
      <w:r>
        <w:t xml:space="preserve">”</w:t>
      </w:r>
      <w:r>
        <w:t xml:space="preserve"> </w:t>
      </w:r>
      <w:r>
        <w:t xml:space="preserve">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10"/>
    <w:bookmarkStart w:id="211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11"/>
    <w:bookmarkStart w:id="212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12"/>
    <w:bookmarkStart w:id="213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13"/>
    <w:bookmarkEnd w:id="214"/>
    <w:bookmarkStart w:id="223" w:name="systemintegration-über-schnittstellen"/>
    <w:p>
      <w:pPr>
        <w:pStyle w:val="Heading3"/>
      </w:pPr>
      <w:r>
        <w:t xml:space="preserve">Systemintegration über Schnittstellen</w:t>
      </w:r>
    </w:p>
    <w:bookmarkStart w:id="222" w:name="anforderungen-1"/>
    <w:p>
      <w:pPr>
        <w:pStyle w:val="Heading4"/>
      </w:pPr>
      <w:r>
        <w:t xml:space="preserve">Anforderungen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1"/>
        </w:numPr>
      </w:pPr>
      <w:r>
        <w:t xml:space="preserve">Bereitstellung von Konto- und Verfügbarkeitsinformationen, z.B. über</w:t>
      </w:r>
      <w:r>
        <w:t xml:space="preserve"> </w:t>
      </w:r>
      <w:hyperlink r:id="rId215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16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1"/>
        </w:numPr>
      </w:pPr>
      <w:r>
        <w:t xml:space="preserve">Anbindung an Buchhaltungssysteme wie SAP oder HIS Haushalt-ERO</w:t>
      </w:r>
    </w:p>
    <w:p>
      <w:pPr>
        <w:numPr>
          <w:ilvl w:val="0"/>
          <w:numId w:val="1051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Bereitstellung von bibliografischen Daten</w:t>
      </w:r>
    </w:p>
    <w:p>
      <w:pPr>
        <w:numPr>
          <w:ilvl w:val="0"/>
          <w:numId w:val="1051"/>
        </w:numPr>
      </w:pPr>
      <w:r>
        <w:t xml:space="preserve">Recherche in Fremddatenbeständen, z.B. über Z39.50</w:t>
      </w:r>
    </w:p>
    <w:p>
      <w:pPr>
        <w:numPr>
          <w:ilvl w:val="0"/>
          <w:numId w:val="1051"/>
        </w:numPr>
      </w:pPr>
      <w:r>
        <w:t xml:space="preserve">Schnittstellen zu Kataloganreicherungsdiensten (Buchcover)</w:t>
      </w:r>
    </w:p>
    <w:p>
      <w:pPr>
        <w:numPr>
          <w:ilvl w:val="0"/>
          <w:numId w:val="1051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Verbund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TODO</w:t>
            </w:r>
          </w:p>
          <w:bookmarkStart w:id="220" w:name="fernleihe"/>
          <w:p>
            <w:pPr>
              <w:pStyle w:val="Heading4"/>
            </w:pPr>
            <w:r>
              <w:t xml:space="preserve">Fernleihe</w:t>
            </w:r>
          </w:p>
          <w:p>
            <w:pPr>
              <w:pStyle w:val="FirstParagraph"/>
            </w:pPr>
            <w:r>
              <w:t xml:space="preserve">TODO</w:t>
            </w:r>
          </w:p>
          <w:bookmarkEnd w:id="220"/>
          <w:bookmarkStart w:id="221" w:name="linkresolver"/>
          <w:p>
            <w:pPr>
              <w:pStyle w:val="Heading4"/>
            </w:pPr>
            <w:r>
              <w:t xml:space="preserve">LinkResolver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ToDo</w:t>
            </w:r>
          </w:p>
        </w:tc>
      </w:tr>
    </w:tbl>
    <w:bookmarkEnd w:id="221"/>
    <w:bookmarkEnd w:id="222"/>
    <w:bookmarkEnd w:id="223"/>
    <w:bookmarkStart w:id="236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29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24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OpenID</w:t>
        </w:r>
      </w:hyperlink>
      <w:r>
        <w:t xml:space="preserve"> </w:t>
      </w:r>
      <w:r>
        <w:rPr>
          <w:rStyle w:val="FootnoteReference"/>
        </w:rPr>
        <w:footnoteReference w:id="226"/>
      </w:r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28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 Beispiel</w:t>
      </w:r>
      <w:r>
        <w:t xml:space="preserve"> </w:t>
      </w:r>
      <w:r>
        <w:t xml:space="preserve">kann die Speicherung des Geburtsdatums angesehen werden. Wird für die</w:t>
      </w:r>
      <w:r>
        <w:t xml:space="preserve"> </w:t>
      </w:r>
      <w:r>
        <w:t xml:space="preserve">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</w:t>
      </w:r>
      <w:r>
        <w:t xml:space="preserve"> </w:t>
      </w:r>
      <w:r>
        <w:t xml:space="preserve">Identity Management) ist eine Anbindung an diese sinnvoll. Dieses IDM</w:t>
      </w:r>
      <w:r>
        <w:t xml:space="preserve"> </w:t>
      </w:r>
      <w:r>
        <w:t xml:space="preserve">enthält dann allerdings 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</w:t>
      </w:r>
      <w:r>
        <w:t xml:space="preserve"> </w:t>
      </w:r>
      <w:r>
        <w:t xml:space="preserve">Kapitel zum technischen Betrieb eines BMS.</w:t>
      </w:r>
    </w:p>
    <w:bookmarkEnd w:id="228"/>
    <w:bookmarkEnd w:id="229"/>
    <w:bookmarkStart w:id="230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30"/>
    <w:bookmarkStart w:id="231" w:name="haushalt"/>
    <w:p>
      <w:pPr>
        <w:pStyle w:val="Heading4"/>
      </w:pPr>
      <w:r>
        <w:t xml:space="preserve">Haushalt</w:t>
      </w:r>
    </w:p>
    <w:p>
      <w:pPr>
        <w:pStyle w:val="FirstParagraph"/>
      </w:pPr>
      <w:r>
        <w:t xml:space="preserve">TODO</w:t>
      </w:r>
    </w:p>
    <w:bookmarkEnd w:id="231"/>
    <w:bookmarkStart w:id="233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32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</w:t>
      </w:r>
      <w:r>
        <w:t xml:space="preserve"> </w:t>
      </w:r>
      <w:r>
        <w:t xml:space="preserve">“</w:t>
      </w:r>
      <w:r>
        <w:t xml:space="preserve">E-Rechnungs-Workflow</w:t>
      </w:r>
      <w:r>
        <w:t xml:space="preserve">”</w:t>
      </w:r>
      <w:r>
        <w:t xml:space="preserve"> </w:t>
      </w:r>
      <w:r>
        <w:t xml:space="preserve">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</w:t>
      </w:r>
      <w:r>
        <w:t xml:space="preserve"> </w:t>
      </w:r>
      <w:r>
        <w:t xml:space="preserve">“</w:t>
      </w:r>
      <w:r>
        <w:t xml:space="preserve">abgehakt</w:t>
      </w:r>
      <w:r>
        <w:t xml:space="preserve">”</w:t>
      </w:r>
      <w:r>
        <w:t xml:space="preserve"> </w:t>
      </w:r>
      <w:r>
        <w:t xml:space="preserve">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33"/>
    <w:bookmarkStart w:id="235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34">
        <w:r>
          <w:rPr>
            <w:rStyle w:val="Hyperlink"/>
          </w:rPr>
          <w:t xml:space="preserve">COUNTER</w:t>
        </w:r>
      </w:hyperlink>
      <w:r>
        <w:t xml:space="preserve">-Reports</w:t>
      </w:r>
      <w:r>
        <w:t xml:space="preserve"> </w:t>
      </w:r>
      <w:r>
        <w:t xml:space="preserve">für statistische Daten der Nutzung digitaler Medien importieren.</w:t>
      </w:r>
    </w:p>
    <w:bookmarkEnd w:id="235"/>
    <w:bookmarkEnd w:id="236"/>
    <w:bookmarkEnd w:id="237"/>
    <w:bookmarkStart w:id="256" w:name="technischer-betrieb"/>
    <w:p>
      <w:pPr>
        <w:pStyle w:val="Heading2"/>
      </w:pPr>
      <w:r>
        <w:t xml:space="preserve">Technischer Betrieb</w:t>
      </w:r>
    </w:p>
    <w:bookmarkStart w:id="241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Die Nutzung eines BMS ist auf verschiedenen Wegen möglich. Sie</w:t>
      </w:r>
      <w:r>
        <w:t xml:space="preserve"> </w:t>
      </w:r>
      <w:r>
        <w:t xml:space="preserve">unterscheiden sich in den Punkten Installation, Kosten, Pflege &amp;</w:t>
      </w:r>
      <w:r>
        <w:t xml:space="preserve"> </w:t>
      </w:r>
      <w:r>
        <w:t xml:space="preserve">Wartung, sowie Backup &amp; Support.</w:t>
      </w:r>
    </w:p>
    <w:bookmarkStart w:id="238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“</w:t>
      </w:r>
      <w:r>
        <w:t xml:space="preserve">on-premise</w:t>
      </w:r>
      <w:r>
        <w:t xml:space="preserve">”</w:t>
      </w:r>
      <w:r>
        <w:t xml:space="preserve"> </w:t>
      </w:r>
      <w:r>
        <w:t xml:space="preserve">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38"/>
    <w:bookmarkStart w:id="239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39"/>
    <w:bookmarkStart w:id="240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</w:t>
      </w:r>
      <w:r>
        <w:t xml:space="preserve"> </w:t>
      </w:r>
      <w:r>
        <w:t xml:space="preserve">weil dabei eine 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40"/>
    <w:bookmarkEnd w:id="241"/>
    <w:bookmarkStart w:id="242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2"/>
        </w:numPr>
      </w:pPr>
      <w:r>
        <w:t xml:space="preserve">Personalkosten für den laufenden Betrieb</w:t>
      </w:r>
    </w:p>
    <w:p>
      <w:pPr>
        <w:numPr>
          <w:ilvl w:val="0"/>
          <w:numId w:val="1052"/>
        </w:numPr>
      </w:pPr>
      <w:r>
        <w:t xml:space="preserve">Lizenzkosten und Wartungsverträge der Software</w:t>
      </w:r>
    </w:p>
    <w:p>
      <w:pPr>
        <w:numPr>
          <w:ilvl w:val="0"/>
          <w:numId w:val="1052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42"/>
    <w:bookmarkStart w:id="243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</w:t>
      </w:r>
      <w:r>
        <w:t xml:space="preserve"> </w:t>
      </w:r>
      <w:r>
        <w:t xml:space="preserve">allgemein aufgestellt ist.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</w:t>
      </w:r>
      <w:r>
        <w:t xml:space="preserve"> </w:t>
      </w:r>
      <w:r>
        <w:t xml:space="preserve">Die 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43"/>
    <w:bookmarkStart w:id="244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44"/>
    <w:bookmarkStart w:id="249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“</w:t>
      </w:r>
      <w:r>
        <w:t xml:space="preserve">Statusbericht</w:t>
      </w:r>
      <w:r>
        <w:t xml:space="preserve">”</w:t>
      </w:r>
      <w:r>
        <w:t xml:space="preserve"> </w:t>
      </w:r>
      <w:r>
        <w:t xml:space="preserve">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47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45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46">
        <w:r>
          <w:rPr>
            <w:rStyle w:val="Hyperlink"/>
          </w:rPr>
          <w:t xml:space="preserve">Prometheus</w:t>
        </w:r>
      </w:hyperlink>
      <w:r>
        <w:t xml:space="preserve">. Diese Anwendungen</w:t>
      </w:r>
      <w:r>
        <w:t xml:space="preserve"> </w:t>
      </w:r>
      <w:r>
        <w:t xml:space="preserve">bieten eine kontinuierliche Überwachung von Systemen anhand definierter</w:t>
      </w:r>
      <w:r>
        <w:t xml:space="preserve"> </w:t>
      </w:r>
      <w:r>
        <w:t xml:space="preserve">Metriken und warnen die Administratoren aktiv, wenn definierte Werte</w:t>
      </w:r>
      <w:r>
        <w:t xml:space="preserve"> </w:t>
      </w:r>
      <w:r>
        <w:t xml:space="preserve">bestimmte 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47"/>
    <w:bookmarkStart w:id="248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48"/>
    <w:bookmarkEnd w:id="249"/>
    <w:bookmarkStart w:id="250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(Marshall Breeding 2022)</w:t>
      </w:r>
      <w:r>
        <w:t xml:space="preserve">:</w:t>
      </w:r>
    </w:p>
    <w:p>
      <w:pPr>
        <w:numPr>
          <w:ilvl w:val="0"/>
          <w:numId w:val="1054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4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4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4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4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4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</w:t>
      </w:r>
      <w:r>
        <w:t xml:space="preserve"> </w:t>
      </w:r>
      <w:r>
        <w:t xml:space="preserve">“</w:t>
      </w:r>
      <w:r>
        <w:t xml:space="preserve">Bleiben Sie wachsam, in Bezug</w:t>
      </w:r>
      <w:r>
        <w:t xml:space="preserve"> </w:t>
      </w:r>
      <w:r>
        <w:t xml:space="preserve">auf ungewöhnliche Ereignisse auf Ihren IT-Systemen</w:t>
      </w:r>
      <w:r>
        <w:t xml:space="preserve">”</w:t>
      </w:r>
      <w:r>
        <w:t xml:space="preserve">.</w:t>
      </w:r>
    </w:p>
    <w:bookmarkEnd w:id="250"/>
    <w:bookmarkStart w:id="251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5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5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</w:t>
      </w:r>
      <w:r>
        <w:t xml:space="preserve"> </w:t>
      </w:r>
      <w:r>
        <w:t xml:space="preserve">Wichtig für diese Entscheidung ist die Frage, wie schnell ein</w:t>
      </w:r>
      <w:r>
        <w:t xml:space="preserve"> </w:t>
      </w:r>
      <w:r>
        <w:t xml:space="preserve">System wiederhergestellt werden kann/soll.</w:t>
      </w:r>
    </w:p>
    <w:p>
      <w:pPr>
        <w:numPr>
          <w:ilvl w:val="0"/>
          <w:numId w:val="1055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</w:t>
      </w:r>
      <w:r>
        <w:t xml:space="preserve"> </w:t>
      </w:r>
      <w:r>
        <w:t xml:space="preserve">verschlüsselt werden.</w:t>
      </w:r>
    </w:p>
    <w:p>
      <w:pPr>
        <w:numPr>
          <w:ilvl w:val="0"/>
          <w:numId w:val="1055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51"/>
    <w:bookmarkStart w:id="252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56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56"/>
        </w:numPr>
      </w:pPr>
      <w:r>
        <w:t xml:space="preserve">Selbstverbucher für die Ausleihe und/oder Rückgabe</w:t>
      </w:r>
    </w:p>
    <w:p>
      <w:pPr>
        <w:numPr>
          <w:ilvl w:val="0"/>
          <w:numId w:val="1056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56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56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06">
        <w:r>
          <w:rPr>
            <w:rStyle w:val="Hyperlink"/>
          </w:rPr>
          <w:t xml:space="preserve">SIP</w:t>
        </w:r>
      </w:hyperlink>
      <w:r>
        <w:t xml:space="preserve">,</w:t>
      </w:r>
      <w:r>
        <w:t xml:space="preserve"> </w:t>
      </w:r>
      <w:r>
        <w:t xml:space="preserve">oder man setzt auf moderne, allgemeine API-Standards wie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52"/>
    <w:bookmarkStart w:id="255" w:name="datenschutz-user-tracking-analytics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57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57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57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58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58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8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</w:t>
      </w:r>
      <w:r>
        <w:t xml:space="preserve"> </w:t>
      </w:r>
      <w:r>
        <w:t xml:space="preserve">den einzelnen Personen zuzuordnen sind</w:t>
      </w:r>
    </w:p>
    <w:p>
      <w:pPr>
        <w:numPr>
          <w:ilvl w:val="0"/>
          <w:numId w:val="1058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</w:t>
      </w:r>
      <w:r>
        <w:t xml:space="preserve"> </w:t>
      </w:r>
      <w:r>
        <w:t xml:space="preserve">sollten ebenfalls pseudonymisierte oder anonymisierte Datensätze zur</w:t>
      </w:r>
      <w:r>
        <w:t xml:space="preserve"> </w:t>
      </w:r>
      <w:r>
        <w:t xml:space="preserve">Grundlage genommen 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 Software</w:t>
        </w:r>
      </w:hyperlink>
      <w:r>
        <w:t xml:space="preserve">),</w:t>
      </w:r>
      <w:r>
        <w:t xml:space="preserve"> </w:t>
      </w:r>
      <w:r>
        <w:t xml:space="preserve">muss Folgendes sichergestellt sein:</w:t>
      </w:r>
    </w:p>
    <w:p>
      <w:pPr>
        <w:numPr>
          <w:ilvl w:val="0"/>
          <w:numId w:val="1059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59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59"/>
        </w:numPr>
      </w:pPr>
      <w:r>
        <w:t xml:space="preserve">Der Ausschluss von User-Tracking durch Ad-Tech (Werbe-Netzwerke)</w:t>
      </w:r>
    </w:p>
    <w:p>
      <w:pPr>
        <w:numPr>
          <w:ilvl w:val="0"/>
          <w:numId w:val="1059"/>
        </w:numPr>
      </w:pPr>
      <w:r>
        <w:t xml:space="preserve">Der Abschluss eines</w:t>
      </w:r>
      <w:r>
        <w:t xml:space="preserve"> </w:t>
      </w:r>
      <w:hyperlink r:id="rId254">
        <w:r>
          <w:rPr>
            <w:rStyle w:val="Hyperlink"/>
          </w:rPr>
          <w:t xml:space="preserve">Datenverarbeitungsvertrags im 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</w:t>
      </w:r>
      <w:r>
        <w:t xml:space="preserve"> </w:t>
      </w:r>
      <w:r>
        <w:t xml:space="preserve">Der Einsatz solcher Analytics-Technologien unterminiert die Integrität</w:t>
      </w:r>
      <w:r>
        <w:t xml:space="preserve"> </w:t>
      </w:r>
      <w:r>
        <w:t xml:space="preserve">konventioneller IDM-Systeme und tangiert somit nicht nur</w:t>
      </w:r>
      <w:r>
        <w:t xml:space="preserve"> </w:t>
      </w:r>
      <w:r>
        <w:t xml:space="preserve">datenschutzrechtliche Belange, sondern auch die IT-Sicherheit.</w:t>
      </w:r>
      <w:r>
        <w:t xml:space="preserve"> </w:t>
      </w:r>
      <w:r>
        <w:t xml:space="preserve">Idealerweise sollte bereits vor der Anschaffung einer BMS-Lösung</w:t>
      </w:r>
      <w:r>
        <w:t xml:space="preserve"> </w:t>
      </w:r>
      <w:r>
        <w:t xml:space="preserve">abgeklärt werden, ob solche Analytics-Technologien eingesetzt werden. Im</w:t>
      </w:r>
      <w:r>
        <w:t xml:space="preserve"> </w:t>
      </w:r>
      <w:r>
        <w:t xml:space="preserve">Zweifelsfall sollte immer der*die lokale Datenschutzbeauftragte oder</w:t>
      </w:r>
      <w:r>
        <w:t xml:space="preserve"> </w:t>
      </w:r>
      <w:r>
        <w:t xml:space="preserve">IT-Sicherheitsbeauftragte hinzugezogen werden.</w:t>
      </w:r>
    </w:p>
    <w:bookmarkEnd w:id="255"/>
    <w:bookmarkEnd w:id="256"/>
    <w:bookmarkStart w:id="259" w:name="zusammenfassung-und-ausblick"/>
    <w:p>
      <w:pPr>
        <w:pStyle w:val="Heading2"/>
      </w:pPr>
      <w:r>
        <w:t xml:space="preserve">Zusammenfassung und Ausblick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Hier fehlt noch ein Abschnitt der das Kapitel BMS in 2-3 Sätzen</w:t>
            </w:r>
            <w:r>
              <w:t xml:space="preserve"> </w:t>
            </w:r>
            <w:r>
              <w:t xml:space="preserve">zusammenfasst und einen wertenden Ausblick gibt. Insbesondere sollten</w:t>
            </w:r>
            <w:r>
              <w:t xml:space="preserve"> </w:t>
            </w:r>
            <w:r>
              <w:t xml:space="preserve">folgende Aspekte hervorgehoben und erläutert werden: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BMS ist kein statisches System. Rolle und Anforderungen an BMS</w:t>
            </w:r>
            <w:r>
              <w:t xml:space="preserve"> </w:t>
            </w:r>
            <w:r>
              <w:t xml:space="preserve">ändern sich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Die integration mit anderen Informationssystemen nimmt zu</w:t>
            </w:r>
            <w:r>
              <w:t xml:space="preserve"> </w:t>
            </w:r>
            <w:r>
              <w:t xml:space="preserve">(Import/Export und Zusammenführung von Daten aus anderen Quellen</w:t>
            </w:r>
            <w:r>
              <w:t xml:space="preserve"> </w:t>
            </w:r>
            <w:r>
              <w:t xml:space="preserve">wie Wikidata)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Open Data, öffentliche Datennutzung und Transparenz</w:t>
            </w:r>
          </w:p>
        </w:tc>
      </w:tr>
    </w:tbl>
    <w:bookmarkEnd w:id="259"/>
    <w:bookmarkEnd w:id="260"/>
    <w:bookmarkStart w:id="276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Weiterführende Literatur und Quellen zum Themenbereich IT in Bibliotheken werden</w:t>
      </w:r>
      <w:r>
        <w:t xml:space="preserve"> </w:t>
      </w:r>
      <w:hyperlink r:id="rId261">
        <w:r>
          <w:rPr>
            <w:rStyle w:val="Hyperlink"/>
          </w:rPr>
          <w:t xml:space="preserve">in einer Zotero-Gruppe</w:t>
        </w:r>
      </w:hyperlink>
      <w:r>
        <w:t xml:space="preserve"> </w:t>
      </w:r>
      <w:r>
        <w:t xml:space="preserve">verwaltet. Hier davon nur die explizit im Handbuch referenzierten Publikationen:</w:t>
      </w:r>
    </w:p>
    <w:bookmarkStart w:id="275" w:name="refs"/>
    <w:bookmarkStart w:id="263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62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63"/>
    <w:bookmarkStart w:id="265" w:name="ref-cody_hanson_opinion_2015"/>
    <w:p>
      <w:pPr>
        <w:pStyle w:val="Bibliography"/>
      </w:pPr>
      <w:r>
        <w:t xml:space="preserve">Cody Hanson.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64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265"/>
    <w:bookmarkStart w:id="266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66"/>
    <w:bookmarkStart w:id="268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267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268"/>
    <w:bookmarkStart w:id="270" w:name="ref-marshall_breeding_how_2022"/>
    <w:p>
      <w:pPr>
        <w:pStyle w:val="Bibliography"/>
      </w:pPr>
      <w:r>
        <w:t xml:space="preserve">Marshall Breeding.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69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70"/>
    <w:bookmarkStart w:id="271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271"/>
    <w:bookmarkStart w:id="272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272"/>
    <w:bookmarkStart w:id="274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273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274"/>
    <w:bookmarkEnd w:id="275"/>
    <w:bookmarkEnd w:id="276"/>
    <w:bookmarkStart w:id="293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277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278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279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32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280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281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282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283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284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285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286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287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“</w:t>
      </w:r>
      <w:r>
        <w:t xml:space="preserve">Maske</w:t>
      </w:r>
      <w:r>
        <w:t xml:space="preserve">”</w:t>
      </w:r>
      <w:r>
        <w:t xml:space="preserve">, ein Modell zur Beschreibung eines Anforderungsszenario</w:t>
      </w:r>
    </w:p>
    <w:p>
      <w:pPr>
        <w:pStyle w:val="DefinitionTerm"/>
      </w:pPr>
      <w:hyperlink r:id="rId288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289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290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291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292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 </w:t>
      </w:r>
    </w:p>
    <w:bookmarkEnd w:id="293"/>
    <w:bookmarkStart w:id="294" w:name="zielgruppe"/>
    <w:p>
      <w:pPr>
        <w:pStyle w:val="Heading1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t xml:space="preserve">Personas definiert: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</w:t>
      </w:r>
      <w:r>
        <w:t xml:space="preserve"> </w:t>
      </w:r>
      <w:r>
        <w:t xml:space="preserve">eine Kooperation für fachliche Beratung und gemeinsame Aktivitäten</w:t>
      </w:r>
      <w:r>
        <w:t xml:space="preserve"> </w:t>
      </w:r>
      <w:r>
        <w:t xml:space="preserve">bei der Informationskompetenz-Vermittlung.</w:t>
      </w:r>
    </w:p>
    <w:p>
      <w:pPr>
        <w:numPr>
          <w:ilvl w:val="0"/>
          <w:numId w:val="1061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</w:t>
      </w:r>
      <w:r>
        <w:t xml:space="preserve"> </w:t>
      </w:r>
      <w:r>
        <w:t xml:space="preserve">Bibliothek gehört einem Bibliotheksverbund an. Die Bibliothek</w:t>
      </w:r>
      <w:r>
        <w:t xml:space="preserve"> </w:t>
      </w:r>
      <w:r>
        <w:t xml:space="preserve">plant einen Neubau, der gemeinsam mit dem Rechen- und</w:t>
      </w:r>
      <w:r>
        <w:t xml:space="preserve"> </w:t>
      </w:r>
      <w:r>
        <w:t xml:space="preserve">Medienzentrum bezogen werden soll.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</w:t>
      </w:r>
      <w:r>
        <w:t xml:space="preserve"> </w:t>
      </w:r>
      <w:r>
        <w:t xml:space="preserve">Vorbildung.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294"/>
    <w:bookmarkStart w:id="299" w:name="styleguide"/>
    <w:p>
      <w:pPr>
        <w:pStyle w:val="Heading1"/>
      </w:pPr>
      <w:r>
        <w:t xml:space="preserve">Styleguide</w:t>
      </w:r>
    </w:p>
    <w:bookmarkStart w:id="295" w:name="stil-und-aktualität"/>
    <w:p>
      <w:pPr>
        <w:pStyle w:val="Heading2"/>
      </w:pPr>
      <w:r>
        <w:t xml:space="preserve">Stil und Aktualität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</w:t>
      </w:r>
      <w:r>
        <w:t xml:space="preserve"> </w:t>
      </w:r>
      <w:r>
        <w:t xml:space="preserve">reicht es, wenn das Buch zentrale Aussagen belegt bzw. auf die</w:t>
      </w:r>
      <w:r>
        <w:t xml:space="preserve"> </w:t>
      </w:r>
      <w:r>
        <w:t xml:space="preserve">wichtigsten aktuellen Studien verweist und somit auch Tipps zur</w:t>
      </w:r>
      <w:r>
        <w:t xml:space="preserve"> </w:t>
      </w:r>
      <w:r>
        <w:t xml:space="preserve">weiterführenden Lektüre bietet.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bookmarkEnd w:id="295"/>
    <w:bookmarkStart w:id="296" w:name="schreibweise-fachbegriffe-und-verweise"/>
    <w:p>
      <w:pPr>
        <w:pStyle w:val="Heading2"/>
      </w:pPr>
      <w:r>
        <w:t xml:space="preserve">Schreibweise, Fachbegriffe und Verweise</w:t>
      </w:r>
    </w:p>
    <w:p>
      <w:pPr>
        <w:numPr>
          <w:ilvl w:val="0"/>
          <w:numId w:val="1063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</w:t>
      </w:r>
    </w:p>
    <w:p>
      <w:pPr>
        <w:numPr>
          <w:ilvl w:val="0"/>
          <w:numId w:val="1063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3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Dies kann auch als Fußnote geschehen. Die eingeführten</w:t>
      </w:r>
      <w:r>
        <w:t xml:space="preserve"> </w:t>
      </w:r>
      <w:r>
        <w:t xml:space="preserve">Fachbegriffe müssen in einem Glossar für das gesamte Buch</w:t>
      </w:r>
      <w:r>
        <w:t xml:space="preserve"> </w:t>
      </w:r>
      <w:r>
        <w:t xml:space="preserve">gebündelt werden.</w:t>
      </w:r>
    </w:p>
    <w:p>
      <w:pPr>
        <w:numPr>
          <w:ilvl w:val="0"/>
          <w:numId w:val="1063"/>
        </w:numPr>
      </w:pPr>
      <w:r>
        <w:t xml:space="preserve">Im Glossar werden Fachbegriffe und Abkürzungen aufgelöst und ggf</w:t>
      </w:r>
      <w:r>
        <w:t xml:space="preserve"> </w:t>
      </w:r>
      <w:r>
        <w:t xml:space="preserve">verlinkt. Im Glossar werden _keine_ Firmennamen aufgenommen,</w:t>
      </w:r>
      <w:r>
        <w:t xml:space="preserve"> </w:t>
      </w:r>
      <w:r>
        <w:t xml:space="preserve">auch wenn sie Akronyme sind.</w:t>
      </w:r>
    </w:p>
    <w:p>
      <w:pPr>
        <w:numPr>
          <w:ilvl w:val="0"/>
          <w:numId w:val="1063"/>
        </w:numPr>
      </w:pPr>
      <w:r>
        <w:t xml:space="preserve">Wir vermeiden IT-Jargon.</w:t>
      </w:r>
    </w:p>
    <w:p>
      <w:pPr>
        <w:numPr>
          <w:ilvl w:val="0"/>
          <w:numId w:val="1063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63"/>
        </w:numPr>
      </w:pPr>
      <w:r>
        <w:t xml:space="preserve">Wir verwenden in Deutschland und Österreich übliche Anführungszeichen („…“)</w:t>
      </w:r>
    </w:p>
    <w:p>
      <w:pPr>
        <w:numPr>
          <w:ilvl w:val="0"/>
          <w:numId w:val="1063"/>
        </w:numPr>
      </w:pPr>
      <w:r>
        <w:t xml:space="preserve">Die Nennung von Quellen in Fußnoten sollten nur dann vorgenommen</w:t>
      </w:r>
      <w:r>
        <w:t xml:space="preserve"> </w:t>
      </w:r>
      <w:r>
        <w:t xml:space="preserve">werden, wenn in der jeweiligen Textpassage auch wirklich</w:t>
      </w:r>
      <w:r>
        <w:t xml:space="preserve"> </w:t>
      </w:r>
      <w:r>
        <w:t xml:space="preserve">paraphrasiert oder wörtlich zitiert wird.</w:t>
      </w:r>
    </w:p>
    <w:p>
      <w:pPr>
        <w:numPr>
          <w:ilvl w:val="0"/>
          <w:numId w:val="1063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63"/>
        </w:numPr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verlinkt, also ein Link auf das Wort gesetzt statt</w:t>
      </w:r>
      <w:r>
        <w:t xml:space="preserve"> </w:t>
      </w:r>
      <w:r>
        <w:t xml:space="preserve">einer Fußnote.</w:t>
      </w:r>
    </w:p>
    <w:bookmarkEnd w:id="296"/>
    <w:bookmarkStart w:id="298" w:name="struktur"/>
    <w:p>
      <w:pPr>
        <w:pStyle w:val="Heading2"/>
      </w:pPr>
      <w:r>
        <w:t xml:space="preserve">Struktur</w:t>
      </w:r>
    </w:p>
    <w:p>
      <w:pPr>
        <w:numPr>
          <w:ilvl w:val="0"/>
          <w:numId w:val="1064"/>
        </w:numPr>
      </w:pPr>
      <w:r>
        <w:t xml:space="preserve">Wir verwenden kurze, unverschachtelte Sätze.</w:t>
      </w:r>
    </w:p>
    <w:p>
      <w:pPr>
        <w:numPr>
          <w:ilvl w:val="0"/>
          <w:numId w:val="1064"/>
        </w:numPr>
      </w:pPr>
      <w:r>
        <w:t xml:space="preserve">Wir schreiben stark strukturiert, d.h. mit vielen</w:t>
      </w:r>
      <w:r>
        <w:t xml:space="preserve"> </w:t>
      </w:r>
      <w:r>
        <w:t xml:space="preserve">Zwischenüberschriften, und, wo es inhaltlich passt, in</w:t>
      </w:r>
      <w:r>
        <w:t xml:space="preserve"> </w:t>
      </w:r>
      <w:r>
        <w:t xml:space="preserve">stichpunktartigen Listen.</w:t>
      </w:r>
    </w:p>
    <w:p>
      <w:pPr>
        <w:numPr>
          <w:ilvl w:val="0"/>
          <w:numId w:val="1064"/>
        </w:numPr>
      </w:pPr>
      <w:r>
        <w:t xml:space="preserve">Wir erzeugen Sinnabschnitte, die möglichst für sich stehend verständlich sind.</w:t>
      </w:r>
    </w:p>
    <w:p>
      <w:pPr>
        <w:numPr>
          <w:ilvl w:val="0"/>
          <w:numId w:val="1064"/>
        </w:numPr>
      </w:pPr>
      <w:r>
        <w:t xml:space="preserve">Das Handbuch ist durch Überschriften bis zur vierten Ebene.</w:t>
      </w:r>
      <w:r>
        <w:t xml:space="preserve"> </w:t>
      </w:r>
      <w:r>
        <w:t xml:space="preserve">Innerhalb von Abschnitten können als Gliederungshilfe wichtige</w:t>
      </w:r>
      <w:r>
        <w:t xml:space="preserve"> </w:t>
      </w:r>
      <w:r>
        <w:t xml:space="preserve">Begriff auch durch Fettdruck hervorgehoben werden</w:t>
      </w:r>
    </w:p>
    <w:p>
      <w:pPr>
        <w:numPr>
          <w:ilvl w:val="0"/>
          <w:numId w:val="1064"/>
        </w:numPr>
      </w:pPr>
      <w:r>
        <w:t xml:space="preserve">Kursive Hervorhebung sollte nur für Namen, Glossareinträge und Zitate</w:t>
      </w:r>
      <w:r>
        <w:t xml:space="preserve"> </w:t>
      </w:r>
      <w:r>
        <w:t xml:space="preserve">verwendet werden.</w:t>
      </w:r>
    </w:p>
    <w:p>
      <w:pPr>
        <w:numPr>
          <w:ilvl w:val="0"/>
          <w:numId w:val="1064"/>
        </w:numPr>
      </w:pPr>
      <w:r>
        <w:t xml:space="preserve">Jedes Kapitel hat ein Abstract, in dem die behandelten Themen</w:t>
      </w:r>
      <w:r>
        <w:t xml:space="preserve"> </w:t>
      </w:r>
      <w:r>
        <w:t xml:space="preserve">kurz und verständlich genannt werden, einschließlich der</w:t>
      </w:r>
      <w:r>
        <w:t xml:space="preserve"> </w:t>
      </w:r>
      <w:r>
        <w:t xml:space="preserve">wichtigsten Stichwörter.</w:t>
      </w:r>
    </w:p>
    <w:p>
      <w:pPr>
        <w:numPr>
          <w:ilvl w:val="0"/>
          <w:numId w:val="1064"/>
        </w:numPr>
      </w:pPr>
      <w:r>
        <w:t xml:space="preserve">Jedes Kapitel beginnt (unter dem Abstract, siehe oben) mit</w:t>
      </w:r>
      <w:r>
        <w:t xml:space="preserve"> </w:t>
      </w:r>
      <w:r>
        <w:t xml:space="preserve">einer erklärenden Einleitung, die das Thema veranschaulicht und es</w:t>
      </w:r>
      <w:r>
        <w:t xml:space="preserve"> </w:t>
      </w:r>
      <w:r>
        <w:t xml:space="preserve">ggf. zu anderen Themen abgrenzt/es mit ihnen verbindet.</w:t>
      </w:r>
    </w:p>
    <w:p>
      <w:pPr>
        <w:numPr>
          <w:ilvl w:val="0"/>
          <w:numId w:val="1064"/>
        </w:numPr>
      </w:pPr>
      <w:r>
        <w:t xml:space="preserve">Redundanz ist (oft) okay. Also z.B.</w:t>
      </w:r>
    </w:p>
    <w:p>
      <w:pPr>
        <w:numPr>
          <w:ilvl w:val="1"/>
          <w:numId w:val="1065"/>
        </w:numPr>
      </w:pPr>
      <w:r>
        <w:t xml:space="preserve">Fließtext, der zwei alternative Produkttypen unterscheidet und</w:t>
      </w:r>
      <w:r>
        <w:t xml:space="preserve"> </w:t>
      </w:r>
      <w:r>
        <w:t xml:space="preserve">danach nochmal stichpunktartig oder gegenübergestellt in</w:t>
      </w:r>
      <w:r>
        <w:t xml:space="preserve"> </w:t>
      </w:r>
      <w:r>
        <w:t xml:space="preserve">Tabellenspalten: Entscheidungskriterien dafür, welches der</w:t>
      </w:r>
      <w:r>
        <w:t xml:space="preserve"> </w:t>
      </w:r>
      <w:r>
        <w:t xml:space="preserve">beiden ich in welcher Situation wähle</w:t>
      </w:r>
    </w:p>
    <w:p>
      <w:pPr>
        <w:numPr>
          <w:ilvl w:val="1"/>
          <w:numId w:val="1065"/>
        </w:numPr>
      </w:pPr>
      <w:r>
        <w:t xml:space="preserve">oder: erklärender Fließtext und dann nochmal eine Infobox mit</w:t>
      </w:r>
      <w:r>
        <w:t xml:space="preserve"> </w:t>
      </w:r>
      <w:r>
        <w:t xml:space="preserve">Eckdaten zu einem bestimmten Produkt.</w:t>
      </w:r>
    </w:p>
    <w:p>
      <w:pPr>
        <w:numPr>
          <w:ilvl w:val="0"/>
          <w:numId w:val="1064"/>
        </w:numPr>
      </w:pPr>
      <w:r>
        <w:t xml:space="preserve">Zusätzlich können verschieden Arten von Infoboxen verwendet werden</w:t>
      </w:r>
      <w:r>
        <w:t xml:space="preserve"> </w:t>
      </w:r>
      <w:r>
        <w:t xml:space="preserve">(siehe</w:t>
      </w:r>
      <w:r>
        <w:t xml:space="preserve"> </w:t>
      </w:r>
      <w:hyperlink r:id="rId297">
        <w:r>
          <w:rPr>
            <w:rStyle w:val="Hyperlink"/>
          </w:rPr>
          <w:t xml:space="preserve">https://quarto.org/docs/authoring/callouts.html</w:t>
        </w:r>
      </w:hyperlink>
      <w:r>
        <w:t xml:space="preserve">)</w:t>
      </w:r>
    </w:p>
    <w:bookmarkEnd w:id="298"/>
    <w:bookmarkEnd w:id="2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7">
        <w:r>
          <w:rPr>
            <w:rStyle w:val="Hyperlink"/>
          </w:rPr>
          <w:t xml:space="preserve">https://en.wikipedia.org/wiki/Identity_provider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3" Target="media/rId143.png" /><Relationship Type="http://schemas.openxmlformats.org/officeDocument/2006/relationships/image" Id="rId186" Target="media/rId186.png" /><Relationship Type="http://schemas.openxmlformats.org/officeDocument/2006/relationships/image" Id="rId55" Target="media/rId55.sv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217" Target="media/rId217.png" /><Relationship Type="http://schemas.openxmlformats.org/officeDocument/2006/relationships/image" Id="rId194" Target="media/rId194.shtml" /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language>de</dc:language>
  <cp:keywords/>
  <dcterms:created xsi:type="dcterms:W3CDTF">2022-05-16T15:35:05Z</dcterms:created>
  <dcterms:modified xsi:type="dcterms:W3CDTF">2022-05-16T15:35:05Z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date">
    <vt:lpwstr>2022-05-16T00:00:00+00:00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number-depth">
    <vt:lpwstr>1</vt:lpwstr>
  </property>
  <property fmtid="{D5CDD505-2E9C-101B-9397-08002B2CF9AE}" pid="10" name="toc-title">
    <vt:lpwstr>Inhaltsverzeichnis</vt:lpwstr>
  </property>
  <property fmtid="{D5CDD505-2E9C-101B-9397-08002B2CF9AE}" pid="11" name="website">
    <vt:lpwstr/>
  </property>
</Properties>
</file>