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D0 ENGINE v1.6</w:t>
      </w:r>
    </w:p>
    <w:p>
      <w:pPr>
        <w:spacing w:after="120"/>
        <w:jc w:val="center"/>
      </w:pPr>
      <w:r>
        <w:rPr>
          <w:rFonts w:ascii="Arial" w:cs="Arial" w:eastAsia="Arial" w:hAnsi="Arial"/>
          <w:color w:val="2B5A8C"/>
          <w:sz w:val="28"/>
          <w:szCs w:val="28"/>
        </w:rPr>
        <w:t xml:space="preserve">Reflection Rank Formalization Roadmap</w:t>
      </w:r>
    </w:p>
    <w:p>
      <w:pPr>
        <w:spacing w:after="120"/>
        <w:jc w:val="center"/>
      </w:pPr>
      <w:r>
        <w:rPr>
          <w:rFonts w:ascii="Arial" w:cs="Arial" w:eastAsia="Arial" w:hAnsi="Arial"/>
          <w:i/>
          <w:iCs/>
          <w:color w:val="555555"/>
          <w:sz w:val="22"/>
          <w:szCs w:val="22"/>
        </w:rPr>
        <w:t xml:space="preserve">Presentation-Independent Strength Geometry for Foundations of Mathematics</w:t>
      </w:r>
    </w:p>
    <w:p>
      <w:pPr>
        <w:spacing w:after="600"/>
        <w:jc w:val="center"/>
      </w:pPr>
      <w:r>
        <w:rPr>
          <w:rFonts w:ascii="Arial" w:cs="Arial" w:eastAsia="Arial" w:hAnsi="Arial"/>
          <w:color w:val="777777"/>
          <w:sz w:val="20"/>
          <w:szCs w:val="20"/>
        </w:rPr>
        <w:t xml:space="preserve">February 2026 • Cold-Boot Ready • Self-Contained</w:t>
      </w:r>
    </w:p>
    <w:p>
      <w:pPr>
        <w:pBdr>
          <w:bottom w:val="single" w:color="1B3A5C" w:sz="6" w:space="1"/>
        </w:pBdr>
        <w:spacing w:before="200" w:after="200"/>
      </w:pPr>
    </w:p>
    <w:p>
      <w:pPr>
        <w:spacing w:after="80"/>
        <w:jc w:val="center"/>
      </w:pPr>
      <w:r>
        <w:rPr>
          <w:rFonts w:ascii="Arial" w:cs="Arial" w:eastAsia="Arial" w:hAnsi="Arial"/>
          <w:b/>
          <w:bCs/>
          <w:color w:val="999999"/>
          <w:sz w:val="18"/>
          <w:szCs w:val="18"/>
        </w:rPr>
        <w:t xml:space="preserve">LINEAGE</w:t>
      </w:r>
    </w:p>
    <w:p>
      <w:pPr>
        <w:spacing w:after="40"/>
        <w:jc w:val="center"/>
      </w:pPr>
      <w:r>
        <w:rPr>
          <w:rFonts w:ascii="Arial" w:cs="Arial" w:eastAsia="Arial" w:hAnsi="Arial"/>
          <w:color w:val="999999"/>
          <w:sz w:val="18"/>
          <w:szCs w:val="18"/>
        </w:rPr>
        <w:t xml:space="preserve">D0 v1.0 (Generator) → v1.5 (Foundations Instantiation) → v1.6 (Layered StrengthSpace)</w:t>
      </w:r>
    </w:p>
    <w:p>
      <w:pPr>
        <w:spacing w:after="200"/>
        <w:jc w:val="center"/>
      </w:pPr>
      <w:r>
        <w:rPr>
          <w:rFonts w:ascii="Arial" w:cs="Arial" w:eastAsia="Arial" w:hAnsi="Arial"/>
          <w:color w:val="999999"/>
          <w:sz w:val="18"/>
          <w:szCs w:val="18"/>
        </w:rPr>
        <w:t xml:space="preserve">This document: Research specification for the ρ(ℱ) vertical coordinate</w:t>
      </w:r>
    </w:p>
    <w:p>
      <w:r>
        <w:br w:type="page"/>
      </w:r>
    </w:p>
    <w:p>
      <w:pPr>
        <w:pStyle w:val="Heading1"/>
        <w:spacing w:before="400" w:after="200"/>
      </w:pPr>
      <w:r>
        <w:rPr>
          <w:rFonts w:ascii="Arial" w:cs="Arial" w:eastAsia="Arial" w:hAnsi="Arial"/>
          <w:b/>
          <w:bCs/>
          <w:color w:val="1B3A5C"/>
          <w:sz w:val="28"/>
          <w:szCs w:val="28"/>
        </w:rPr>
        <w:t xml:space="preserve">Part 0 — What This Document Is</w:t>
      </w:r>
    </w:p>
    <w:p>
      <w:pPr>
        <w:spacing w:after="120" w:line="276"/>
      </w:pPr>
      <w:r>
        <w:rPr>
          <w:rFonts w:ascii="Arial" w:cs="Arial" w:eastAsia="Arial" w:hAnsi="Arial"/>
          <w:color w:val="1A1A1A"/>
          <w:sz w:val="21"/>
          <w:szCs w:val="21"/>
        </w:rPr>
        <w:t xml:space="preserve">This is the formalization roadmap for ρ(ℱ), the reflection rank coordinate of the D0 v1.6 StrengthSpace. It converts the 12-month research vision into actionable first steps with concrete bibliography, proof obligations, and milestone criteria.</w:t>
      </w:r>
    </w:p>
    <w:p>
      <w:pPr>
        <w:spacing w:after="80"/>
      </w:pPr>
    </w:p>
    <w:p>
      <w:pPr>
        <w:spacing w:after="120" w:line="276"/>
      </w:pPr>
      <w:r>
        <w:rPr>
          <w:rFonts w:ascii="Arial" w:cs="Arial" w:eastAsia="Arial" w:hAnsi="Arial"/>
          <w:b/>
          <w:bCs/>
          <w:color w:val="1A1A1A"/>
          <w:sz w:val="21"/>
          <w:szCs w:val="21"/>
        </w:rPr>
        <w:t xml:space="preserve">What is proven: </w:t>
      </w:r>
      <w:r>
        <w:rPr>
          <w:rFonts w:ascii="Arial" w:cs="Arial" w:eastAsia="Arial" w:hAnsi="Arial"/>
          <w:color w:val="1A1A1A"/>
          <w:sz w:val="21"/>
          <w:szCs w:val="21"/>
        </w:rPr>
        <w:t xml:space="preserve">Satisfaction invariance under signature morphisms (Goguen-Burstall). Strength is not representation-invariant (Hamkins + obstruction analysis). Layered product space σ(ℱ) = (ρ, w, c, u) is the correct architecture.</w:t>
      </w:r>
    </w:p>
    <w:p>
      <w:pPr>
        <w:spacing w:after="120" w:line="276"/>
      </w:pPr>
      <w:r>
        <w:rPr>
          <w:rFonts w:ascii="Arial" w:cs="Arial" w:eastAsia="Arial" w:hAnsi="Arial"/>
          <w:b/>
          <w:bCs/>
          <w:color w:val="1A1A1A"/>
          <w:sz w:val="21"/>
          <w:szCs w:val="21"/>
        </w:rPr>
        <w:t xml:space="preserve">What this document does: </w:t>
      </w:r>
      <w:r>
        <w:rPr>
          <w:rFonts w:ascii="Arial" w:cs="Arial" w:eastAsia="Arial" w:hAnsi="Arial"/>
          <w:color w:val="1A1A1A"/>
          <w:sz w:val="21"/>
          <w:szCs w:val="21"/>
        </w:rPr>
        <w:t xml:space="preserve">Specifies exactly what must be done to formalize ρ(ℱ) via Beklemishev reflection calculus, maps it to five validated domains, identifies proof obligations, and provides a concrete bibliography.</w:t>
      </w:r>
    </w:p>
    <w:p>
      <w:pPr>
        <w:spacing w:after="120" w:line="276"/>
      </w:pPr>
      <w:r>
        <w:rPr>
          <w:rFonts w:ascii="Arial" w:cs="Arial" w:eastAsia="Arial" w:hAnsi="Arial"/>
          <w:b/>
          <w:bCs/>
          <w:color w:val="1A1A1A"/>
          <w:sz w:val="21"/>
          <w:szCs w:val="21"/>
        </w:rPr>
        <w:t xml:space="preserve">What this document does not do: </w:t>
      </w:r>
      <w:r>
        <w:rPr>
          <w:rFonts w:ascii="Arial" w:cs="Arial" w:eastAsia="Arial" w:hAnsi="Arial"/>
          <w:color w:val="1A1A1A"/>
          <w:sz w:val="21"/>
          <w:szCs w:val="21"/>
        </w:rPr>
        <w:t xml:space="preserve">Execute the formalization. That requires 12–18 months of dedicated research. This is the project specification, not the project.</w:t>
      </w:r>
    </w:p>
    <w:p>
      <w:pPr>
        <w:spacing w:after="120" w:line="276"/>
      </w:pPr>
      <w:r>
        <w:rPr>
          <w:rFonts w:ascii="Arial" w:cs="Arial" w:eastAsia="Arial" w:hAnsi="Arial"/>
          <w:b/>
          <w:bCs/>
          <w:color w:val="1A1A1A"/>
          <w:sz w:val="21"/>
          <w:szCs w:val="21"/>
        </w:rPr>
        <w:t xml:space="preserve">Honest boundary: </w:t>
      </w:r>
      <w:r>
        <w:rPr>
          <w:rFonts w:ascii="Arial" w:cs="Arial" w:eastAsia="Arial" w:hAnsi="Arial"/>
          <w:color w:val="1A1A1A"/>
          <w:sz w:val="21"/>
          <w:szCs w:val="21"/>
        </w:rPr>
        <w:t xml:space="preserve">This roadmap is TYPE-C (conjectured/planned). It becomes TYPE-B when proof obligations are discharged. It becomes TYPE-S if the resulting theory is proven complete for the target class.</w:t>
      </w:r>
    </w:p>
    <w:p>
      <w:pPr>
        <w:pBdr>
          <w:bottom w:val="single" w:color="1B3A5C" w:sz="6" w:space="1"/>
        </w:pBdr>
        <w:spacing w:before="200" w:after="200"/>
      </w:pPr>
    </w:p>
    <w:p>
      <w:pPr>
        <w:pStyle w:val="Heading1"/>
        <w:spacing w:before="400" w:after="200"/>
      </w:pPr>
      <w:r>
        <w:rPr>
          <w:rFonts w:ascii="Arial" w:cs="Arial" w:eastAsia="Arial" w:hAnsi="Arial"/>
          <w:b/>
          <w:bCs/>
          <w:color w:val="1B3A5C"/>
          <w:sz w:val="28"/>
          <w:szCs w:val="28"/>
        </w:rPr>
        <w:t xml:space="preserve">Part I — The Problem</w:t>
      </w:r>
    </w:p>
    <w:p>
      <w:pPr>
        <w:pStyle w:val="Heading2"/>
        <w:spacing w:before="320" w:after="160"/>
      </w:pPr>
      <w:r>
        <w:rPr>
          <w:rFonts w:ascii="Arial" w:cs="Arial" w:eastAsia="Arial" w:hAnsi="Arial"/>
          <w:b/>
          <w:bCs/>
          <w:color w:val="2B5A8C"/>
          <w:sz w:val="24"/>
          <w:szCs w:val="24"/>
        </w:rPr>
        <w:t xml:space="preserve">1.1 Obstruction 1: Proof Calculus Dependence</w:t>
      </w:r>
    </w:p>
    <w:p>
      <w:pPr>
        <w:spacing w:after="120" w:line="276"/>
      </w:pPr>
      <w:r>
        <w:rPr>
          <w:rFonts w:ascii="Arial" w:cs="Arial" w:eastAsia="Arial" w:hAnsi="Arial"/>
          <w:color w:val="1A1A1A"/>
          <w:sz w:val="21"/>
          <w:szCs w:val="21"/>
        </w:rPr>
        <w:t xml:space="preserve">The D0 v1.5 StrengthSpace attempted to assign proof-theoretic ordinals as the primary strength coordinate. This fails because ordinal extraction depends on cut-elimination strategy, reduction ordering, and notation system. Two proof systems presenting the identical theory can yield different ordinal analyses. The ordinal is a property of the proof presentation, not the mathematics.</w:t>
      </w:r>
    </w:p>
    <w:p>
      <w:pPr>
        <w:pStyle w:val="Heading2"/>
        <w:spacing w:before="320" w:after="160"/>
      </w:pPr>
      <w:r>
        <w:rPr>
          <w:rFonts w:ascii="Arial" w:cs="Arial" w:eastAsia="Arial" w:hAnsi="Arial"/>
          <w:b/>
          <w:bCs/>
          <w:color w:val="2B5A8C"/>
          <w:sz w:val="24"/>
          <w:szCs w:val="24"/>
        </w:rPr>
        <w:t xml:space="preserve">1.2 What We Need</w:t>
      </w:r>
    </w:p>
    <w:p>
      <w:pPr>
        <w:spacing w:after="120" w:line="276"/>
      </w:pPr>
      <w:r>
        <w:rPr>
          <w:rFonts w:ascii="Arial" w:cs="Arial" w:eastAsia="Arial" w:hAnsi="Arial"/>
          <w:color w:val="1A1A1A"/>
          <w:sz w:val="21"/>
          <w:szCs w:val="21"/>
        </w:rPr>
        <w:t xml:space="preserve">A strength measure that is well-defined, well-ordered (for the vertical coordinate), and presentation-independent. It must agree with known proof-theoretic ordinals for standard theories but be derived without passing through Gentzen-style cut-elimination.</w:t>
      </w:r>
    </w:p>
    <w:p>
      <w:pPr>
        <w:pStyle w:val="Heading2"/>
        <w:spacing w:before="320" w:after="160"/>
      </w:pPr>
      <w:r>
        <w:rPr>
          <w:rFonts w:ascii="Arial" w:cs="Arial" w:eastAsia="Arial" w:hAnsi="Arial"/>
          <w:b/>
          <w:bCs/>
          <w:color w:val="2B5A8C"/>
          <w:sz w:val="24"/>
          <w:szCs w:val="24"/>
        </w:rPr>
        <w:t xml:space="preserve">1.3 The Candidate: Beklemishev Reflection Rank</w:t>
      </w:r>
    </w:p>
    <w:p>
      <w:pPr>
        <w:spacing w:after="120" w:line="276"/>
      </w:pPr>
      <w:r>
        <w:rPr>
          <w:rFonts w:ascii="Arial" w:cs="Arial" w:eastAsia="Arial" w:hAnsi="Arial"/>
          <w:color w:val="1A1A1A"/>
          <w:sz w:val="21"/>
          <w:szCs w:val="21"/>
        </w:rPr>
        <w:t xml:space="preserve">Lev Beklemishev's graded provability algebras and reflection calculus provide exactly this. The reflection rank ρ(ℱ) is defined as the supremum of ordinals α such that the α-th iterate of the uniform reflection principle over ℱ is consistent. This is:</w:t>
      </w:r>
    </w:p>
    <w:p>
      <w:pPr>
        <w:pStyle w:val="ListParagraph"/>
        <w:numPr>
          <w:ilvl w:val="0"/>
          <w:numId w:val="2"/>
        </w:numPr>
        <w:spacing w:after="60" w:line="276"/>
      </w:pPr>
      <w:r>
        <w:rPr>
          <w:rFonts w:ascii="Arial" w:cs="Arial" w:eastAsia="Arial" w:hAnsi="Arial"/>
          <w:color w:val="1A1A1A"/>
          <w:sz w:val="21"/>
          <w:szCs w:val="21"/>
        </w:rPr>
        <w:t xml:space="preserve">Well-defined: consistency is a Π₁ property, independent of proof calculus.</w:t>
      </w:r>
    </w:p>
    <w:p>
      <w:pPr>
        <w:pStyle w:val="ListParagraph"/>
        <w:numPr>
          <w:ilvl w:val="0"/>
          <w:numId w:val="2"/>
        </w:numPr>
        <w:spacing w:after="60" w:line="276"/>
      </w:pPr>
      <w:r>
        <w:rPr>
          <w:rFonts w:ascii="Arial" w:cs="Arial" w:eastAsia="Arial" w:hAnsi="Arial"/>
          <w:color w:val="1A1A1A"/>
          <w:sz w:val="21"/>
          <w:szCs w:val="21"/>
        </w:rPr>
        <w:t xml:space="preserve">Well-ordered: reflection iterates are linearly ordered by consistency strength.</w:t>
      </w:r>
    </w:p>
    <w:p>
      <w:pPr>
        <w:pStyle w:val="ListParagraph"/>
        <w:numPr>
          <w:ilvl w:val="0"/>
          <w:numId w:val="2"/>
        </w:numPr>
        <w:spacing w:after="60" w:line="276"/>
      </w:pPr>
      <w:r>
        <w:rPr>
          <w:rFonts w:ascii="Arial" w:cs="Arial" w:eastAsia="Arial" w:hAnsi="Arial"/>
          <w:color w:val="1A1A1A"/>
          <w:sz w:val="21"/>
          <w:szCs w:val="21"/>
        </w:rPr>
        <w:t xml:space="preserve">Presentation-independent: depends on what ℱ proves, not how it proves it.</w:t>
      </w:r>
    </w:p>
    <w:p>
      <w:pPr>
        <w:pStyle w:val="ListParagraph"/>
        <w:numPr>
          <w:ilvl w:val="0"/>
          <w:numId w:val="2"/>
        </w:numPr>
        <w:spacing w:after="60" w:line="276"/>
      </w:pPr>
      <w:r>
        <w:rPr>
          <w:rFonts w:ascii="Arial" w:cs="Arial" w:eastAsia="Arial" w:hAnsi="Arial"/>
          <w:color w:val="1A1A1A"/>
          <w:sz w:val="21"/>
          <w:szCs w:val="21"/>
        </w:rPr>
        <w:t xml:space="preserve">Calibrated: matches known proof-theoretic ordinals for PA, ACA₀, ATR₀, etc.</w:t>
      </w:r>
    </w:p>
    <w:p>
      <w:pPr>
        <w:pStyle w:val="Heading2"/>
        <w:spacing w:before="320" w:after="160"/>
      </w:pPr>
      <w:r>
        <w:rPr>
          <w:rFonts w:ascii="Arial" w:cs="Arial" w:eastAsia="Arial" w:hAnsi="Arial"/>
          <w:b/>
          <w:bCs/>
          <w:color w:val="2B5A8C"/>
          <w:sz w:val="24"/>
          <w:szCs w:val="24"/>
        </w:rPr>
        <w:t xml:space="preserve">1.4 What Remains Open</w:t>
      </w:r>
    </w:p>
    <w:p>
      <w:pPr>
        <w:spacing w:after="120" w:line="276"/>
      </w:pPr>
      <w:r>
        <w:rPr>
          <w:rFonts w:ascii="Arial" w:cs="Arial" w:eastAsia="Arial" w:hAnsi="Arial"/>
          <w:color w:val="1A1A1A"/>
          <w:sz w:val="21"/>
          <w:szCs w:val="21"/>
        </w:rPr>
        <w:t xml:space="preserve">Beklemishev's results cover a specific range of theories (extensions of EA, elementary arithmetic). Extending to all five D0-validated domains requires new work, particularly for bounded arithmetic (feasible reflection) and constructive systems (realizability reflection). This is the research program.</w:t>
      </w:r>
    </w:p>
    <w:p>
      <w:r>
        <w:br w:type="page"/>
      </w:r>
    </w:p>
    <w:p>
      <w:pPr>
        <w:pStyle w:val="Heading1"/>
        <w:spacing w:before="400" w:after="200"/>
      </w:pPr>
      <w:r>
        <w:rPr>
          <w:rFonts w:ascii="Arial" w:cs="Arial" w:eastAsia="Arial" w:hAnsi="Arial"/>
          <w:b/>
          <w:bCs/>
          <w:color w:val="1B3A5C"/>
          <w:sz w:val="28"/>
          <w:szCs w:val="28"/>
        </w:rPr>
        <w:t xml:space="preserve">Part II — The Target</w:t>
      </w:r>
    </w:p>
    <w:p>
      <w:pPr>
        <w:pStyle w:val="Heading2"/>
        <w:spacing w:before="320" w:after="160"/>
      </w:pPr>
      <w:r>
        <w:rPr>
          <w:rFonts w:ascii="Arial" w:cs="Arial" w:eastAsia="Arial" w:hAnsi="Arial"/>
          <w:b/>
          <w:bCs/>
          <w:color w:val="2B5A8C"/>
          <w:sz w:val="24"/>
          <w:szCs w:val="24"/>
        </w:rPr>
        <w:t xml:space="preserve">2.1 StrengthSpace v1.6 Architecture</w:t>
      </w:r>
    </w:p>
    <w:p>
      <w:pPr>
        <w:spacing w:after="120" w:line="276"/>
      </w:pPr>
      <w:r>
        <w:rPr>
          <w:rFonts w:ascii="Arial" w:cs="Arial" w:eastAsia="Arial" w:hAnsi="Arial"/>
          <w:color w:val="1A1A1A"/>
          <w:sz w:val="21"/>
          <w:szCs w:val="21"/>
        </w:rPr>
        <w:t xml:space="preserve">The full StrengthSpace is a partially ordered product:</w:t>
      </w:r>
    </w:p>
    <w:p>
      <w:pPr>
        <w:spacing w:after="80"/>
      </w:pPr>
    </w:p>
    <w:p>
      <w:pPr>
        <w:spacing w:after="120"/>
        <w:ind w:left="720"/>
      </w:pPr>
      <w:r>
        <w:rPr>
          <w:rFonts w:ascii="Courier New" w:cs="Courier New" w:eastAsia="Courier New" w:hAnsi="Courier New"/>
          <w:color w:val="1B3A5C"/>
          <w:sz w:val="22"/>
          <w:szCs w:val="22"/>
        </w:rPr>
        <w:t xml:space="preserve">σ(ℱ) = (ρ(ℱ), w(ℱ), c(ℱ), u(ℱ)) ∈ Ord × W × C × 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Coordinate</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Name</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Type</w:t>
            </w:r>
          </w:p>
        </w:tc>
        <w:tc>
          <w:tcPr>
            <w:tcW w:type="dxa" w:w="2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ρ(ℱ)</w:t>
            </w:r>
          </w:p>
        </w:tc>
        <w:tc>
          <w:tcPr>
            <w:tcW w:type="dxa" w:w="26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Reflection rank</w:t>
            </w:r>
          </w:p>
        </w:tc>
        <w:tc>
          <w:tcPr>
            <w:tcW w:type="dxa" w:w="26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Ord (well-ordered)</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TARGET OF THIS ROADMAP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w(ℱ)</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Witness extraction profile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{none, feasible, canonical, mandatory}</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Specified, not formalized</w:t>
            </w:r>
          </w:p>
        </w:tc>
      </w:tr>
      <w:tr>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c(ℱ)</w:t>
            </w:r>
          </w:p>
        </w:tc>
        <w:tc>
          <w:tcPr>
            <w:tcW w:type="dxa" w:w="26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Closure operator position</w:t>
            </w:r>
          </w:p>
        </w:tc>
        <w:tc>
          <w:tcPr>
            <w:tcW w:type="dxa" w:w="26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Lattice (partial order)</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Partially open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u(ℱ)</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Categorical universality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Enriched category level</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Partially open</w:t>
            </w:r>
          </w:p>
        </w:tc>
      </w:tr>
    </w:tbl>
    <w:p>
      <w:pPr>
        <w:spacing w:after="80"/>
      </w:pPr>
    </w:p>
    <w:p>
      <w:pPr>
        <w:spacing w:after="120" w:line="276"/>
      </w:pPr>
      <w:r>
        <w:rPr>
          <w:rFonts w:ascii="Arial" w:cs="Arial" w:eastAsia="Arial" w:hAnsi="Arial"/>
          <w:color w:val="1A1A1A"/>
          <w:sz w:val="21"/>
          <w:szCs w:val="21"/>
        </w:rPr>
        <w:t xml:space="preserve">This roadmap addresses ρ(ℱ) only. The other coordinates are specified in D0 v1.6 but remain open research.</w:t>
      </w:r>
    </w:p>
    <w:p>
      <w:pPr>
        <w:pStyle w:val="Heading2"/>
        <w:spacing w:before="320" w:after="160"/>
      </w:pPr>
      <w:r>
        <w:rPr>
          <w:rFonts w:ascii="Arial" w:cs="Arial" w:eastAsia="Arial" w:hAnsi="Arial"/>
          <w:b/>
          <w:bCs/>
          <w:color w:val="2B5A8C"/>
          <w:sz w:val="24"/>
          <w:szCs w:val="24"/>
        </w:rPr>
        <w:t xml:space="preserve">2.2 Calibration Targets</w:t>
      </w:r>
    </w:p>
    <w:p>
      <w:pPr>
        <w:spacing w:after="120" w:line="276"/>
      </w:pPr>
      <w:r>
        <w:rPr>
          <w:rFonts w:ascii="Arial" w:cs="Arial" w:eastAsia="Arial" w:hAnsi="Arial"/>
          <w:color w:val="1A1A1A"/>
          <w:sz w:val="21"/>
          <w:szCs w:val="21"/>
        </w:rPr>
        <w:t xml:space="preserve">The formalization must produce reflection rank assignments for all five validated domains that agree with known proof-theoretic ordinals: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2360"/>
      </w:tblGrid>
      <w:t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Domain</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Theory</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Known Ordinal</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 ρ(ℱ)</w:t>
            </w:r>
          </w:p>
        </w:tc>
        <w:tc>
          <w:tcPr>
            <w:tcW w:type="dxa" w:w="2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Notes</w:t>
            </w:r>
          </w:p>
        </w:tc>
      </w:tr>
      <w:tr>
        <w:tc>
          <w:tcPr>
            <w:tcW w:type="dxa" w:w="14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ZFC</w:t>
            </w:r>
          </w:p>
        </w:tc>
        <w:tc>
          <w:tcPr>
            <w:tcW w:type="dxa" w:w="2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ZF + Choice</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Inaccessible hierarchy</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 all countable ordinals</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Requires large cardinal axioms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 / ACA₀</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Peano Arithmetic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ε₀</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ε₀</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Beklemishev: proven match</w:t>
            </w:r>
          </w:p>
        </w:tc>
      </w:tr>
      <w:tr>
        <w:tc>
          <w:tcPr>
            <w:tcW w:type="dxa" w:w="14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RCA₀</w:t>
            </w:r>
          </w:p>
        </w:tc>
        <w:tc>
          <w:tcPr>
            <w:tcW w:type="dxa" w:w="2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Recursive Comprehension</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ω^ω</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ω^ω</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Base system of reverse math</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WKL₀</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Weak König's Lemma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ω^ω</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ω^ω (same ρ, different c)</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Same ρ as RCA₀, separated by c(ℱ)</w:t>
            </w:r>
          </w:p>
        </w:tc>
      </w:tr>
      <w:tr>
        <w:tc>
          <w:tcPr>
            <w:tcW w:type="dxa" w:w="14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ATR₀</w:t>
            </w:r>
          </w:p>
        </w:tc>
        <w:tc>
          <w:tcPr>
            <w:tcW w:type="dxa" w:w="2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Arith. Transfinite Rec.</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Γ₀</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Γ₀</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Predicative limit</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PV₁</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Poly-time functions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&lt; ω^ω</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Open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Requires feasible reflection</w:t>
            </w:r>
          </w:p>
        </w:tc>
      </w:tr>
      <w:tr>
        <w:tc>
          <w:tcPr>
            <w:tcW w:type="dxa" w:w="14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BISH</w:t>
            </w:r>
          </w:p>
        </w:tc>
        <w:tc>
          <w:tcPr>
            <w:tcW w:type="dxa" w:w="2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Bishop Constructive</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 ε₀ (classical content)</w:t>
            </w:r>
          </w:p>
        </w:tc>
        <w:tc>
          <w:tcPr>
            <w:tcW w:type="dxa" w:w="1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Open</w:t>
            </w:r>
          </w:p>
        </w:tc>
        <w:tc>
          <w:tcPr>
            <w:tcW w:type="dxa" w:w="2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Requires realizability reflection</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Cubical HoTT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MLTT + univalence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 ε₀</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Open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Requires type-theoretic reflection</w:t>
            </w:r>
          </w:p>
        </w:tc>
      </w:tr>
    </w:tbl>
    <w:p>
      <w:r>
        <w:br w:type="page"/>
      </w:r>
    </w:p>
    <w:p>
      <w:pPr>
        <w:pStyle w:val="Heading1"/>
        <w:spacing w:before="400" w:after="200"/>
      </w:pPr>
      <w:r>
        <w:rPr>
          <w:rFonts w:ascii="Arial" w:cs="Arial" w:eastAsia="Arial" w:hAnsi="Arial"/>
          <w:b/>
          <w:bCs/>
          <w:color w:val="1B3A5C"/>
          <w:sz w:val="28"/>
          <w:szCs w:val="28"/>
        </w:rPr>
        <w:t xml:space="preserve">Part III — Beklemishev Reflection Calculus: Core Theory</w:t>
      </w:r>
    </w:p>
    <w:p>
      <w:pPr>
        <w:pStyle w:val="Heading2"/>
        <w:spacing w:before="320" w:after="160"/>
      </w:pPr>
      <w:r>
        <w:rPr>
          <w:rFonts w:ascii="Arial" w:cs="Arial" w:eastAsia="Arial" w:hAnsi="Arial"/>
          <w:b/>
          <w:bCs/>
          <w:color w:val="2B5A8C"/>
          <w:sz w:val="24"/>
          <w:szCs w:val="24"/>
        </w:rPr>
        <w:t xml:space="preserve">3.1 Uniform Reflection Principle</w:t>
      </w:r>
    </w:p>
    <w:p>
      <w:pPr>
        <w:spacing w:after="120" w:line="276"/>
      </w:pPr>
      <w:r>
        <w:rPr>
          <w:rFonts w:ascii="Arial" w:cs="Arial" w:eastAsia="Arial" w:hAnsi="Arial"/>
          <w:color w:val="1A1A1A"/>
          <w:sz w:val="21"/>
          <w:szCs w:val="21"/>
        </w:rPr>
        <w:t xml:space="preserve">For a theory T in the language of arithmetic, the uniform reflection principle RFN(T) is the schema:</w:t>
      </w:r>
    </w:p>
    <w:p>
      <w:pPr>
        <w:spacing w:after="120"/>
        <w:ind w:left="720"/>
      </w:pPr>
      <w:r>
        <w:rPr>
          <w:rFonts w:ascii="Courier New" w:cs="Courier New" w:eastAsia="Courier New" w:hAnsi="Courier New"/>
          <w:color w:val="1B3A5C"/>
          <w:sz w:val="22"/>
          <w:szCs w:val="22"/>
        </w:rPr>
        <w:t xml:space="preserve">RFN(T) := ∀φ (Prov_T(⌜φ⌝) → φ)</w:t>
      </w:r>
    </w:p>
    <w:p>
      <w:pPr>
        <w:spacing w:after="120" w:line="276"/>
      </w:pPr>
      <w:r>
        <w:rPr>
          <w:rFonts w:ascii="Arial" w:cs="Arial" w:eastAsia="Arial" w:hAnsi="Arial"/>
          <w:color w:val="1A1A1A"/>
          <w:sz w:val="21"/>
          <w:szCs w:val="21"/>
        </w:rPr>
        <w:t xml:space="preserve">This says: everything T proves is true. Equivalently, T is sound.</w:t>
      </w:r>
    </w:p>
    <w:p>
      <w:pPr>
        <w:pStyle w:val="Heading2"/>
        <w:spacing w:before="320" w:after="160"/>
      </w:pPr>
      <w:r>
        <w:rPr>
          <w:rFonts w:ascii="Arial" w:cs="Arial" w:eastAsia="Arial" w:hAnsi="Arial"/>
          <w:b/>
          <w:bCs/>
          <w:color w:val="2B5A8C"/>
          <w:sz w:val="24"/>
          <w:szCs w:val="24"/>
        </w:rPr>
        <w:t xml:space="preserve">3.2 Iterated Reflection</w:t>
      </w:r>
    </w:p>
    <w:p>
      <w:pPr>
        <w:spacing w:after="120" w:line="276"/>
      </w:pPr>
      <w:r>
        <w:rPr>
          <w:rFonts w:ascii="Arial" w:cs="Arial" w:eastAsia="Arial" w:hAnsi="Arial"/>
          <w:color w:val="1A1A1A"/>
          <w:sz w:val="21"/>
          <w:szCs w:val="21"/>
        </w:rPr>
        <w:t xml:space="preserve">Define the reflection hierarchy over a base theory T:</w:t>
      </w:r>
    </w:p>
    <w:p>
      <w:pPr>
        <w:pStyle w:val="ListParagraph"/>
        <w:numPr>
          <w:ilvl w:val="0"/>
          <w:numId w:val="2"/>
        </w:numPr>
        <w:spacing w:after="60" w:line="276"/>
      </w:pPr>
      <w:r>
        <w:rPr>
          <w:rFonts w:ascii="Arial" w:cs="Arial" w:eastAsia="Arial" w:hAnsi="Arial"/>
          <w:color w:val="1A1A1A"/>
          <w:sz w:val="21"/>
          <w:szCs w:val="21"/>
        </w:rPr>
        <w:t xml:space="preserve">T₀ = T</w:t>
      </w:r>
    </w:p>
    <w:p>
      <w:pPr>
        <w:pStyle w:val="ListParagraph"/>
        <w:numPr>
          <w:ilvl w:val="0"/>
          <w:numId w:val="2"/>
        </w:numPr>
        <w:spacing w:after="60" w:line="276"/>
      </w:pPr>
      <w:r>
        <w:rPr>
          <w:rFonts w:ascii="Arial" w:cs="Arial" w:eastAsia="Arial" w:hAnsi="Arial"/>
          <w:color w:val="1A1A1A"/>
          <w:sz w:val="21"/>
          <w:szCs w:val="21"/>
        </w:rPr>
        <w:t xml:space="preserve">T_{α+1} = T_α + RFN(T_α)</w:t>
      </w:r>
    </w:p>
    <w:p>
      <w:pPr>
        <w:pStyle w:val="ListParagraph"/>
        <w:numPr>
          <w:ilvl w:val="0"/>
          <w:numId w:val="2"/>
        </w:numPr>
        <w:spacing w:after="60" w:line="276"/>
      </w:pPr>
      <w:r>
        <w:rPr>
          <w:rFonts w:ascii="Arial" w:cs="Arial" w:eastAsia="Arial" w:hAnsi="Arial"/>
          <w:color w:val="1A1A1A"/>
          <w:sz w:val="21"/>
          <w:szCs w:val="21"/>
        </w:rPr>
        <w:t xml:space="preserve">T_λ = ⋃_{α&lt;λ} T_α for limit λ</w:t>
      </w:r>
    </w:p>
    <w:p>
      <w:pPr>
        <w:spacing w:after="80"/>
      </w:pPr>
    </w:p>
    <w:p>
      <w:pPr>
        <w:spacing w:after="120" w:line="276"/>
      </w:pPr>
      <w:r>
        <w:rPr>
          <w:rFonts w:ascii="Arial" w:cs="Arial" w:eastAsia="Arial" w:hAnsi="Arial"/>
          <w:color w:val="1A1A1A"/>
          <w:sz w:val="21"/>
          <w:szCs w:val="21"/>
        </w:rPr>
        <w:t xml:space="preserve">The reflection rank of T is:</w:t>
      </w:r>
    </w:p>
    <w:p>
      <w:pPr>
        <w:spacing w:after="120"/>
        <w:ind w:left="720"/>
      </w:pPr>
      <w:r>
        <w:rPr>
          <w:rFonts w:ascii="Courier New" w:cs="Courier New" w:eastAsia="Courier New" w:hAnsi="Courier New"/>
          <w:color w:val="1B3A5C"/>
          <w:sz w:val="22"/>
          <w:szCs w:val="22"/>
        </w:rPr>
        <w:t xml:space="preserve">ρ(T) = sup { α | T_α is consistent }</w:t>
      </w:r>
    </w:p>
    <w:p>
      <w:pPr>
        <w:pStyle w:val="Heading2"/>
        <w:spacing w:before="320" w:after="160"/>
      </w:pPr>
      <w:r>
        <w:rPr>
          <w:rFonts w:ascii="Arial" w:cs="Arial" w:eastAsia="Arial" w:hAnsi="Arial"/>
          <w:b/>
          <w:bCs/>
          <w:color w:val="2B5A8C"/>
          <w:sz w:val="24"/>
          <w:szCs w:val="24"/>
        </w:rPr>
        <w:t xml:space="preserve">3.3 Why This Is Presentation-Independent</w:t>
      </w:r>
    </w:p>
    <w:p>
      <w:pPr>
        <w:spacing w:after="120" w:line="276"/>
      </w:pPr>
      <w:r>
        <w:rPr>
          <w:rFonts w:ascii="Arial" w:cs="Arial" w:eastAsia="Arial" w:hAnsi="Arial"/>
          <w:color w:val="1A1A1A"/>
          <w:sz w:val="21"/>
          <w:szCs w:val="21"/>
        </w:rPr>
        <w:t xml:space="preserve">The key property: ρ(T) depends only on the deductive closure of T, not on how T is axiomatized or how proofs are constructed. The consistency predicate Prov_T is defined via Godel numbering of provability, which is invariant under change of proof system for the same deductive closure. Two proof calculi that prove exactly the same theorems yield the same ρ.</w:t>
      </w:r>
    </w:p>
    <w:p>
      <w:pPr>
        <w:spacing w:after="80"/>
      </w:pPr>
    </w:p>
    <w:p>
      <w:pPr>
        <w:spacing w:after="120" w:line="276"/>
      </w:pPr>
      <w:r>
        <w:rPr>
          <w:rFonts w:ascii="Arial" w:cs="Arial" w:eastAsia="Arial" w:hAnsi="Arial"/>
          <w:i/>
          <w:iCs/>
          <w:color w:val="555555"/>
          <w:sz w:val="21"/>
          <w:szCs w:val="21"/>
        </w:rPr>
        <w:t xml:space="preserve">This is what kills Obstruction 1. The reflection rank is a property of the theory, not the proof presentation.</w:t>
      </w:r>
    </w:p>
    <w:p>
      <w:pPr>
        <w:pStyle w:val="Heading2"/>
        <w:spacing w:before="320" w:after="160"/>
      </w:pPr>
      <w:r>
        <w:rPr>
          <w:rFonts w:ascii="Arial" w:cs="Arial" w:eastAsia="Arial" w:hAnsi="Arial"/>
          <w:b/>
          <w:bCs/>
          <w:color w:val="2B5A8C"/>
          <w:sz w:val="24"/>
          <w:szCs w:val="24"/>
        </w:rPr>
        <w:t xml:space="preserve">3.4 Graded Provability Algebras</w:t>
      </w:r>
    </w:p>
    <w:p>
      <w:pPr>
        <w:spacing w:after="120" w:line="276"/>
      </w:pPr>
      <w:r>
        <w:rPr>
          <w:rFonts w:ascii="Arial" w:cs="Arial" w:eastAsia="Arial" w:hAnsi="Arial"/>
          <w:color w:val="1A1A1A"/>
          <w:sz w:val="21"/>
          <w:szCs w:val="21"/>
        </w:rPr>
        <w:t xml:space="preserve">Beklemishev introduces graded provability algebras (GPAs) as algebraic structures encoding the reflection hierarchy. A GPA is a Boolean algebra with a family of operators [n] for n ∈ ω satisfying:</w:t>
      </w:r>
    </w:p>
    <w:p>
      <w:pPr>
        <w:pStyle w:val="ListParagraph"/>
        <w:numPr>
          <w:ilvl w:val="0"/>
          <w:numId w:val="2"/>
        </w:numPr>
        <w:spacing w:after="60" w:line="276"/>
      </w:pPr>
      <w:r>
        <w:rPr>
          <w:rFonts w:ascii="Arial" w:cs="Arial" w:eastAsia="Arial" w:hAnsi="Arial"/>
          <w:color w:val="1A1A1A"/>
          <w:sz w:val="21"/>
          <w:szCs w:val="21"/>
        </w:rPr>
        <w:t xml:space="preserve">[0]a = □a (ordinary provability operator)</w:t>
      </w:r>
    </w:p>
    <w:p>
      <w:pPr>
        <w:pStyle w:val="ListParagraph"/>
        <w:numPr>
          <w:ilvl w:val="0"/>
          <w:numId w:val="2"/>
        </w:numPr>
        <w:spacing w:after="60" w:line="276"/>
      </w:pPr>
      <w:r>
        <w:rPr>
          <w:rFonts w:ascii="Arial" w:cs="Arial" w:eastAsia="Arial" w:hAnsi="Arial"/>
          <w:color w:val="1A1A1A"/>
          <w:sz w:val="21"/>
          <w:szCs w:val="21"/>
        </w:rPr>
        <w:t xml:space="preserve">[n+1]a ≤ [n]a (stronger reflection → weaker)</w:t>
      </w:r>
    </w:p>
    <w:p>
      <w:pPr>
        <w:pStyle w:val="ListParagraph"/>
        <w:numPr>
          <w:ilvl w:val="0"/>
          <w:numId w:val="2"/>
        </w:numPr>
        <w:spacing w:after="60" w:line="276"/>
      </w:pPr>
      <w:r>
        <w:rPr>
          <w:rFonts w:ascii="Arial" w:cs="Arial" w:eastAsia="Arial" w:hAnsi="Arial"/>
          <w:color w:val="1A1A1A"/>
          <w:sz w:val="21"/>
          <w:szCs w:val="21"/>
        </w:rPr>
        <w:t xml:space="preserve">Algebraic identities encoding Löb's theorem and reflection</w:t>
      </w:r>
    </w:p>
    <w:p>
      <w:pPr>
        <w:spacing w:after="80"/>
      </w:pPr>
    </w:p>
    <w:p>
      <w:pPr>
        <w:spacing w:after="120" w:line="276"/>
      </w:pPr>
      <w:r>
        <w:rPr>
          <w:rFonts w:ascii="Arial" w:cs="Arial" w:eastAsia="Arial" w:hAnsi="Arial"/>
          <w:color w:val="1A1A1A"/>
          <w:sz w:val="21"/>
          <w:szCs w:val="21"/>
        </w:rPr>
        <w:t xml:space="preserve">The ordinal analysis of T is recovered from the GPA of T by computing the order type of the Lindenbaum algebra under the graded operators. This gives a purely algebraic path to the proof-theoretic ordinal, bypassing cut-elimination entirely.</w:t>
      </w:r>
    </w:p>
    <w:p>
      <w:pPr>
        <w:pStyle w:val="Heading2"/>
        <w:spacing w:before="320" w:after="160"/>
      </w:pPr>
      <w:r>
        <w:rPr>
          <w:rFonts w:ascii="Arial" w:cs="Arial" w:eastAsia="Arial" w:hAnsi="Arial"/>
          <w:b/>
          <w:bCs/>
          <w:color w:val="2B5A8C"/>
          <w:sz w:val="24"/>
          <w:szCs w:val="24"/>
        </w:rPr>
        <w:t xml:space="preserve">3.5 Known Calibration Results</w:t>
      </w:r>
    </w:p>
    <w:p>
      <w:pPr>
        <w:spacing w:after="120" w:line="276"/>
      </w:pPr>
      <w:r>
        <w:rPr>
          <w:rFonts w:ascii="Arial" w:cs="Arial" w:eastAsia="Arial" w:hAnsi="Arial"/>
          <w:color w:val="1A1A1A"/>
          <w:sz w:val="21"/>
          <w:szCs w:val="21"/>
        </w:rPr>
        <w:t xml:space="preserve">Beklemishev and collaborators have established:</w:t>
      </w:r>
    </w:p>
    <w:p>
      <w:pPr>
        <w:pStyle w:val="ListParagraph"/>
        <w:numPr>
          <w:ilvl w:val="0"/>
          <w:numId w:val="2"/>
        </w:numPr>
        <w:spacing w:after="60" w:line="276"/>
      </w:pPr>
      <w:r>
        <w:rPr>
          <w:rFonts w:ascii="Arial" w:cs="Arial" w:eastAsia="Arial" w:hAnsi="Arial"/>
          <w:color w:val="1A1A1A"/>
          <w:sz w:val="21"/>
          <w:szCs w:val="21"/>
        </w:rPr>
        <w:t xml:space="preserve">EA (Elementary Arithmetic): ρ = ω</w:t>
      </w:r>
    </w:p>
    <w:p>
      <w:pPr>
        <w:pStyle w:val="ListParagraph"/>
        <w:numPr>
          <w:ilvl w:val="0"/>
          <w:numId w:val="2"/>
        </w:numPr>
        <w:spacing w:after="60" w:line="276"/>
      </w:pPr>
      <w:r>
        <w:rPr>
          <w:rFonts w:ascii="Arial" w:cs="Arial" w:eastAsia="Arial" w:hAnsi="Arial"/>
          <w:color w:val="1A1A1A"/>
          <w:sz w:val="21"/>
          <w:szCs w:val="21"/>
        </w:rPr>
        <w:t xml:space="preserve">IΣ₁ (Induction for Σ₁ formulas): ρ = ω^ω</w:t>
      </w:r>
    </w:p>
    <w:p>
      <w:pPr>
        <w:pStyle w:val="ListParagraph"/>
        <w:numPr>
          <w:ilvl w:val="0"/>
          <w:numId w:val="2"/>
        </w:numPr>
        <w:spacing w:after="60" w:line="276"/>
      </w:pPr>
      <w:r>
        <w:rPr>
          <w:rFonts w:ascii="Arial" w:cs="Arial" w:eastAsia="Arial" w:hAnsi="Arial"/>
          <w:color w:val="1A1A1A"/>
          <w:sz w:val="21"/>
          <w:szCs w:val="21"/>
        </w:rPr>
        <w:t xml:space="preserve">PA (Peano Arithmetic): ρ = ε₀</w:t>
      </w:r>
    </w:p>
    <w:p>
      <w:pPr>
        <w:pStyle w:val="ListParagraph"/>
        <w:numPr>
          <w:ilvl w:val="0"/>
          <w:numId w:val="2"/>
        </w:numPr>
        <w:spacing w:after="60" w:line="276"/>
      </w:pPr>
      <w:r>
        <w:rPr>
          <w:rFonts w:ascii="Arial" w:cs="Arial" w:eastAsia="Arial" w:hAnsi="Arial"/>
          <w:color w:val="1A1A1A"/>
          <w:sz w:val="21"/>
          <w:szCs w:val="21"/>
        </w:rPr>
        <w:t xml:space="preserve">Extensions via iterated reflection: systematic ordinal computation</w:t>
      </w:r>
    </w:p>
    <w:p>
      <w:pPr>
        <w:spacing w:after="80"/>
      </w:pPr>
    </w:p>
    <w:p>
      <w:pPr>
        <w:spacing w:after="120" w:line="276"/>
      </w:pPr>
      <w:r>
        <w:rPr>
          <w:rFonts w:ascii="Arial" w:cs="Arial" w:eastAsia="Arial" w:hAnsi="Arial"/>
          <w:color w:val="1A1A1A"/>
          <w:sz w:val="21"/>
          <w:szCs w:val="21"/>
        </w:rPr>
        <w:t xml:space="preserve">These match the classical Gentzen-style results but are derived algebraically.</w:t>
      </w:r>
    </w:p>
    <w:p>
      <w:r>
        <w:br w:type="page"/>
      </w:r>
    </w:p>
    <w:p>
      <w:pPr>
        <w:pStyle w:val="Heading1"/>
        <w:spacing w:before="400" w:after="200"/>
      </w:pPr>
      <w:r>
        <w:rPr>
          <w:rFonts w:ascii="Arial" w:cs="Arial" w:eastAsia="Arial" w:hAnsi="Arial"/>
          <w:b/>
          <w:bCs/>
          <w:color w:val="1B3A5C"/>
          <w:sz w:val="28"/>
          <w:szCs w:val="28"/>
        </w:rPr>
        <w:t xml:space="preserve">Part IV — Proof Obligations</w:t>
      </w:r>
    </w:p>
    <w:p>
      <w:pPr>
        <w:spacing w:after="120" w:line="276"/>
      </w:pPr>
      <w:r>
        <w:rPr>
          <w:rFonts w:ascii="Arial" w:cs="Arial" w:eastAsia="Arial" w:hAnsi="Arial"/>
          <w:color w:val="1A1A1A"/>
          <w:sz w:val="21"/>
          <w:szCs w:val="21"/>
        </w:rPr>
        <w:t xml:space="preserve">To certify ρ(ℱ) as the vertical coordinate of StrengthSpace, the following proof obligations must be discharged. Each is classified by D0 invariant type at current status.</w:t>
      </w:r>
    </w:p>
    <w:p>
      <w:pPr>
        <w:spacing w:after="80"/>
      </w:pPr>
    </w:p>
    <w:p>
      <w:pPr>
        <w:pStyle w:val="Heading2"/>
        <w:spacing w:before="320" w:after="160"/>
      </w:pPr>
      <w:r>
        <w:rPr>
          <w:rFonts w:ascii="Arial" w:cs="Arial" w:eastAsia="Arial" w:hAnsi="Arial"/>
          <w:b/>
          <w:bCs/>
          <w:color w:val="2B5A8C"/>
          <w:sz w:val="24"/>
          <w:szCs w:val="24"/>
        </w:rPr>
        <w:t xml:space="preserve">PO-1: Well-Definedness</w:t>
      </w:r>
    </w:p>
    <w:p>
      <w:pPr>
        <w:spacing w:after="120" w:line="276"/>
      </w:pPr>
      <w:r>
        <w:rPr>
          <w:rFonts w:ascii="Arial" w:cs="Arial" w:eastAsia="Arial" w:hAnsi="Arial"/>
          <w:b/>
          <w:bCs/>
          <w:color w:val="1A1A1A"/>
          <w:sz w:val="21"/>
          <w:szCs w:val="21"/>
        </w:rPr>
        <w:t xml:space="preserve">Statement: </w:t>
      </w:r>
      <w:r>
        <w:rPr>
          <w:rFonts w:ascii="Arial" w:cs="Arial" w:eastAsia="Arial" w:hAnsi="Arial"/>
          <w:color w:val="1A1A1A"/>
          <w:sz w:val="21"/>
          <w:szCs w:val="21"/>
        </w:rPr>
        <w:t xml:space="preserve">ρ(T) is uniquely determined by the deductive closure of T, independent of axiomatization.</w:t>
      </w:r>
    </w:p>
    <w:p>
      <w:pPr>
        <w:spacing w:after="120" w:line="276"/>
      </w:pPr>
      <w:r>
        <w:rPr>
          <w:rFonts w:ascii="Arial" w:cs="Arial" w:eastAsia="Arial" w:hAnsi="Arial"/>
          <w:b/>
          <w:bCs/>
          <w:color w:val="1A1A1A"/>
          <w:sz w:val="21"/>
          <w:szCs w:val="21"/>
        </w:rPr>
        <w:t xml:space="preserve">Status: </w:t>
      </w:r>
      <w:r>
        <w:rPr>
          <w:rFonts w:ascii="Arial" w:cs="Arial" w:eastAsia="Arial" w:hAnsi="Arial"/>
          <w:color w:val="1A1A1A"/>
          <w:sz w:val="21"/>
          <w:szCs w:val="21"/>
        </w:rPr>
        <w:t xml:space="preserve">TYPE-B for theories extending EA. Beklemishev (2005) proves this for the relevant class.</w:t>
      </w:r>
    </w:p>
    <w:p>
      <w:pPr>
        <w:spacing w:after="120" w:line="276"/>
      </w:pPr>
      <w:r>
        <w:rPr>
          <w:rFonts w:ascii="Arial" w:cs="Arial" w:eastAsia="Arial" w:hAnsi="Arial"/>
          <w:b/>
          <w:bCs/>
          <w:color w:val="1A1A1A"/>
          <w:sz w:val="21"/>
          <w:szCs w:val="21"/>
        </w:rPr>
        <w:t xml:space="preserve">Proof obligation: </w:t>
      </w:r>
      <w:r>
        <w:rPr>
          <w:rFonts w:ascii="Arial" w:cs="Arial" w:eastAsia="Arial" w:hAnsi="Arial"/>
          <w:color w:val="1A1A1A"/>
          <w:sz w:val="21"/>
          <w:szCs w:val="21"/>
        </w:rPr>
        <w:t xml:space="preserve">Verify that the argument extends to all five D0 domains. For bounded arithmetic and constructive systems, the standard Godel numbering of provability must be checked for adequacy.</w:t>
      </w:r>
    </w:p>
    <w:p>
      <w:pPr>
        <w:spacing w:after="120" w:line="276"/>
      </w:pPr>
      <w:r>
        <w:rPr>
          <w:rFonts w:ascii="Arial" w:cs="Arial" w:eastAsia="Arial" w:hAnsi="Arial"/>
          <w:b/>
          <w:bCs/>
          <w:color w:val="1A1A1A"/>
          <w:sz w:val="21"/>
          <w:szCs w:val="21"/>
        </w:rPr>
        <w:t xml:space="preserve">Risk: </w:t>
      </w:r>
      <w:r>
        <w:rPr>
          <w:rFonts w:ascii="Arial" w:cs="Arial" w:eastAsia="Arial" w:hAnsi="Arial"/>
          <w:color w:val="1A1A1A"/>
          <w:sz w:val="21"/>
          <w:szCs w:val="21"/>
        </w:rPr>
        <w:t xml:space="preserve">LOW for classical theories. MEDIUM for constructive systems where provability predicate behaves differently.</w:t>
      </w:r>
    </w:p>
    <w:p>
      <w:pPr>
        <w:spacing w:after="80"/>
      </w:pPr>
    </w:p>
    <w:p>
      <w:pPr>
        <w:pStyle w:val="Heading2"/>
        <w:spacing w:before="320" w:after="160"/>
      </w:pPr>
      <w:r>
        <w:rPr>
          <w:rFonts w:ascii="Arial" w:cs="Arial" w:eastAsia="Arial" w:hAnsi="Arial"/>
          <w:b/>
          <w:bCs/>
          <w:color w:val="2B5A8C"/>
          <w:sz w:val="24"/>
          <w:szCs w:val="24"/>
        </w:rPr>
        <w:t xml:space="preserve">PO-2: Calibration</w:t>
      </w:r>
    </w:p>
    <w:p>
      <w:pPr>
        <w:spacing w:after="120" w:line="276"/>
      </w:pPr>
      <w:r>
        <w:rPr>
          <w:rFonts w:ascii="Arial" w:cs="Arial" w:eastAsia="Arial" w:hAnsi="Arial"/>
          <w:b/>
          <w:bCs/>
          <w:color w:val="1A1A1A"/>
          <w:sz w:val="21"/>
          <w:szCs w:val="21"/>
        </w:rPr>
        <w:t xml:space="preserve">Statement: </w:t>
      </w:r>
      <w:r>
        <w:rPr>
          <w:rFonts w:ascii="Arial" w:cs="Arial" w:eastAsia="Arial" w:hAnsi="Arial"/>
          <w:color w:val="1A1A1A"/>
          <w:sz w:val="21"/>
          <w:szCs w:val="21"/>
        </w:rPr>
        <w:t xml:space="preserve">ρ(T) agrees with the proof-theoretic ordinal |T| for all standard theories in the calibration table.</w:t>
      </w:r>
    </w:p>
    <w:p>
      <w:pPr>
        <w:spacing w:after="120" w:line="276"/>
      </w:pPr>
      <w:r>
        <w:rPr>
          <w:rFonts w:ascii="Arial" w:cs="Arial" w:eastAsia="Arial" w:hAnsi="Arial"/>
          <w:b/>
          <w:bCs/>
          <w:color w:val="1A1A1A"/>
          <w:sz w:val="21"/>
          <w:szCs w:val="21"/>
        </w:rPr>
        <w:t xml:space="preserve">Status: </w:t>
      </w:r>
      <w:r>
        <w:rPr>
          <w:rFonts w:ascii="Arial" w:cs="Arial" w:eastAsia="Arial" w:hAnsi="Arial"/>
          <w:color w:val="1A1A1A"/>
          <w:sz w:val="21"/>
          <w:szCs w:val="21"/>
        </w:rPr>
        <w:t xml:space="preserve">TYPE-B for PA, IΣ_n. TYPE-C for ATR₀, Π¹₁-CA₀, and stronger systems.</w:t>
      </w:r>
    </w:p>
    <w:p>
      <w:pPr>
        <w:spacing w:after="120" w:line="276"/>
      </w:pPr>
      <w:r>
        <w:rPr>
          <w:rFonts w:ascii="Arial" w:cs="Arial" w:eastAsia="Arial" w:hAnsi="Arial"/>
          <w:b/>
          <w:bCs/>
          <w:color w:val="1A1A1A"/>
          <w:sz w:val="21"/>
          <w:szCs w:val="21"/>
        </w:rPr>
        <w:t xml:space="preserve">Proof obligation: </w:t>
      </w:r>
      <w:r>
        <w:rPr>
          <w:rFonts w:ascii="Arial" w:cs="Arial" w:eastAsia="Arial" w:hAnsi="Arial"/>
          <w:color w:val="1A1A1A"/>
          <w:sz w:val="21"/>
          <w:szCs w:val="21"/>
        </w:rPr>
        <w:t xml:space="preserve">Establish calibration for ACA₀ (ε₀), ATR₀ (Γ₀), and Π¹₁-CA₀ (ψ₀(Ω_ω)). Each requires computing the GPA of the theory and extracting the ordinal.</w:t>
      </w:r>
    </w:p>
    <w:p>
      <w:pPr>
        <w:spacing w:after="120" w:line="276"/>
      </w:pPr>
      <w:r>
        <w:rPr>
          <w:rFonts w:ascii="Arial" w:cs="Arial" w:eastAsia="Arial" w:hAnsi="Arial"/>
          <w:b/>
          <w:bCs/>
          <w:color w:val="1A1A1A"/>
          <w:sz w:val="21"/>
          <w:szCs w:val="21"/>
        </w:rPr>
        <w:t xml:space="preserve">Risk: </w:t>
      </w:r>
      <w:r>
        <w:rPr>
          <w:rFonts w:ascii="Arial" w:cs="Arial" w:eastAsia="Arial" w:hAnsi="Arial"/>
          <w:color w:val="1A1A1A"/>
          <w:sz w:val="21"/>
          <w:szCs w:val="21"/>
        </w:rPr>
        <w:t xml:space="preserve">MEDIUM. The GPA computation for strong theories is technically demanding but follows established methods.</w:t>
      </w:r>
    </w:p>
    <w:p>
      <w:pPr>
        <w:spacing w:after="80"/>
      </w:pPr>
    </w:p>
    <w:p>
      <w:pPr>
        <w:pStyle w:val="Heading2"/>
        <w:spacing w:before="320" w:after="160"/>
      </w:pPr>
      <w:r>
        <w:rPr>
          <w:rFonts w:ascii="Arial" w:cs="Arial" w:eastAsia="Arial" w:hAnsi="Arial"/>
          <w:b/>
          <w:bCs/>
          <w:color w:val="2B5A8C"/>
          <w:sz w:val="24"/>
          <w:szCs w:val="24"/>
        </w:rPr>
        <w:t xml:space="preserve">PO-3: Extension to Bounded Arithmetic</w:t>
      </w:r>
    </w:p>
    <w:p>
      <w:pPr>
        <w:spacing w:after="120" w:line="276"/>
      </w:pPr>
      <w:r>
        <w:rPr>
          <w:rFonts w:ascii="Arial" w:cs="Arial" w:eastAsia="Arial" w:hAnsi="Arial"/>
          <w:b/>
          <w:bCs/>
          <w:color w:val="1A1A1A"/>
          <w:sz w:val="21"/>
          <w:szCs w:val="21"/>
        </w:rPr>
        <w:t xml:space="preserve">Statement: </w:t>
      </w:r>
      <w:r>
        <w:rPr>
          <w:rFonts w:ascii="Arial" w:cs="Arial" w:eastAsia="Arial" w:hAnsi="Arial"/>
          <w:color w:val="1A1A1A"/>
          <w:sz w:val="21"/>
          <w:szCs w:val="21"/>
        </w:rPr>
        <w:t xml:space="preserve">There exists a feasible reflection principle RFN_f such that ρ_f(PV₁) is well-defined and calibrates with known complexity-theoretic strength.</w:t>
      </w:r>
    </w:p>
    <w:p>
      <w:pPr>
        <w:spacing w:after="120" w:line="276"/>
      </w:pPr>
      <w:r>
        <w:rPr>
          <w:rFonts w:ascii="Arial" w:cs="Arial" w:eastAsia="Arial" w:hAnsi="Arial"/>
          <w:b/>
          <w:bCs/>
          <w:color w:val="1A1A1A"/>
          <w:sz w:val="21"/>
          <w:szCs w:val="21"/>
        </w:rPr>
        <w:t xml:space="preserve">Status: </w:t>
      </w:r>
      <w:r>
        <w:rPr>
          <w:rFonts w:ascii="Arial" w:cs="Arial" w:eastAsia="Arial" w:hAnsi="Arial"/>
          <w:color w:val="1A1A1A"/>
          <w:sz w:val="21"/>
          <w:szCs w:val="21"/>
        </w:rPr>
        <w:t xml:space="preserve">TYPE-C. This is genuinely open.</w:t>
      </w:r>
    </w:p>
    <w:p>
      <w:pPr>
        <w:spacing w:after="120" w:line="276"/>
      </w:pPr>
      <w:r>
        <w:rPr>
          <w:rFonts w:ascii="Arial" w:cs="Arial" w:eastAsia="Arial" w:hAnsi="Arial"/>
          <w:b/>
          <w:bCs/>
          <w:color w:val="1A1A1A"/>
          <w:sz w:val="21"/>
          <w:szCs w:val="21"/>
        </w:rPr>
        <w:t xml:space="preserve">Proof obligation: </w:t>
      </w:r>
      <w:r>
        <w:rPr>
          <w:rFonts w:ascii="Arial" w:cs="Arial" w:eastAsia="Arial" w:hAnsi="Arial"/>
          <w:color w:val="1A1A1A"/>
          <w:sz w:val="21"/>
          <w:szCs w:val="21"/>
        </w:rPr>
        <w:t xml:space="preserve">Define feasible reflection (polynomial-time provability), prove it generates a well-ordered hierarchy, compute ρ_f for PV₁ and S²₁.</w:t>
      </w:r>
    </w:p>
    <w:p>
      <w:pPr>
        <w:spacing w:after="120" w:line="276"/>
      </w:pPr>
      <w:r>
        <w:rPr>
          <w:rFonts w:ascii="Arial" w:cs="Arial" w:eastAsia="Arial" w:hAnsi="Arial"/>
          <w:b/>
          <w:bCs/>
          <w:color w:val="1A1A1A"/>
          <w:sz w:val="21"/>
          <w:szCs w:val="21"/>
        </w:rPr>
        <w:t xml:space="preserve">Risk: </w:t>
      </w:r>
      <w:r>
        <w:rPr>
          <w:rFonts w:ascii="Arial" w:cs="Arial" w:eastAsia="Arial" w:hAnsi="Arial"/>
          <w:color w:val="1A1A1A"/>
          <w:sz w:val="21"/>
          <w:szCs w:val="21"/>
        </w:rPr>
        <w:t xml:space="preserve">HIGH. Feasible provability predicates may not satisfy Lob's conditions. The hierarchy may not be well-ordered. This is the hardest obligation.</w:t>
      </w:r>
    </w:p>
    <w:p>
      <w:pPr>
        <w:spacing w:after="120" w:line="276"/>
      </w:pPr>
      <w:r>
        <w:rPr>
          <w:rFonts w:ascii="Arial" w:cs="Arial" w:eastAsia="Arial" w:hAnsi="Arial"/>
          <w:b/>
          <w:bCs/>
          <w:color w:val="1A1A1A"/>
          <w:sz w:val="21"/>
          <w:szCs w:val="21"/>
        </w:rPr>
        <w:t xml:space="preserve">Fallback: </w:t>
      </w:r>
      <w:r>
        <w:rPr>
          <w:rFonts w:ascii="Arial" w:cs="Arial" w:eastAsia="Arial" w:hAnsi="Arial"/>
          <w:color w:val="1A1A1A"/>
          <w:sz w:val="21"/>
          <w:szCs w:val="21"/>
        </w:rPr>
        <w:t xml:space="preserve">If feasible reflection fails, classify PV₁ as ρ-incomparable (requiring w(ℱ) coordinate for strength comparison). This is honest and consistent with the product space design.</w:t>
      </w:r>
    </w:p>
    <w:p>
      <w:pPr>
        <w:spacing w:after="80"/>
      </w:pPr>
    </w:p>
    <w:p>
      <w:pPr>
        <w:pStyle w:val="Heading2"/>
        <w:spacing w:before="320" w:after="160"/>
      </w:pPr>
      <w:r>
        <w:rPr>
          <w:rFonts w:ascii="Arial" w:cs="Arial" w:eastAsia="Arial" w:hAnsi="Arial"/>
          <w:b/>
          <w:bCs/>
          <w:color w:val="2B5A8C"/>
          <w:sz w:val="24"/>
          <w:szCs w:val="24"/>
        </w:rPr>
        <w:t xml:space="preserve">PO-4: Extension to Constructive Systems</w:t>
      </w:r>
    </w:p>
    <w:p>
      <w:pPr>
        <w:spacing w:after="120" w:line="276"/>
      </w:pPr>
      <w:r>
        <w:rPr>
          <w:rFonts w:ascii="Arial" w:cs="Arial" w:eastAsia="Arial" w:hAnsi="Arial"/>
          <w:b/>
          <w:bCs/>
          <w:color w:val="1A1A1A"/>
          <w:sz w:val="21"/>
          <w:szCs w:val="21"/>
        </w:rPr>
        <w:t xml:space="preserve">Statement: </w:t>
      </w:r>
      <w:r>
        <w:rPr>
          <w:rFonts w:ascii="Arial" w:cs="Arial" w:eastAsia="Arial" w:hAnsi="Arial"/>
          <w:color w:val="1A1A1A"/>
          <w:sz w:val="21"/>
          <w:szCs w:val="21"/>
        </w:rPr>
        <w:t xml:space="preserve">Reflection rank is well-defined for BISH and cubical HoTT via realizability or type-theoretic reflection.</w:t>
      </w:r>
    </w:p>
    <w:p>
      <w:pPr>
        <w:spacing w:after="120" w:line="276"/>
      </w:pPr>
      <w:r>
        <w:rPr>
          <w:rFonts w:ascii="Arial" w:cs="Arial" w:eastAsia="Arial" w:hAnsi="Arial"/>
          <w:b/>
          <w:bCs/>
          <w:color w:val="1A1A1A"/>
          <w:sz w:val="21"/>
          <w:szCs w:val="21"/>
        </w:rPr>
        <w:t xml:space="preserve">Status: </w:t>
      </w:r>
      <w:r>
        <w:rPr>
          <w:rFonts w:ascii="Arial" w:cs="Arial" w:eastAsia="Arial" w:hAnsi="Arial"/>
          <w:color w:val="1A1A1A"/>
          <w:sz w:val="21"/>
          <w:szCs w:val="21"/>
        </w:rPr>
        <w:t xml:space="preserve">TYPE-C. Partially explored in literature (Iemhoff on constructive provability logic).</w:t>
      </w:r>
    </w:p>
    <w:p>
      <w:pPr>
        <w:spacing w:after="120" w:line="276"/>
      </w:pPr>
      <w:r>
        <w:rPr>
          <w:rFonts w:ascii="Arial" w:cs="Arial" w:eastAsia="Arial" w:hAnsi="Arial"/>
          <w:b/>
          <w:bCs/>
          <w:color w:val="1A1A1A"/>
          <w:sz w:val="21"/>
          <w:szCs w:val="21"/>
        </w:rPr>
        <w:t xml:space="preserve">Proof obligation: </w:t>
      </w:r>
      <w:r>
        <w:rPr>
          <w:rFonts w:ascii="Arial" w:cs="Arial" w:eastAsia="Arial" w:hAnsi="Arial"/>
          <w:color w:val="1A1A1A"/>
          <w:sz w:val="21"/>
          <w:szCs w:val="21"/>
        </w:rPr>
        <w:t xml:space="preserve">Define constructive reflection principle. Prove it generates a hierarchy. Compute ρ for CZF (constructive ZF) and MLTT + univalence.</w:t>
      </w:r>
    </w:p>
    <w:p>
      <w:pPr>
        <w:spacing w:after="120" w:line="276"/>
      </w:pPr>
      <w:r>
        <w:rPr>
          <w:rFonts w:ascii="Arial" w:cs="Arial" w:eastAsia="Arial" w:hAnsi="Arial"/>
          <w:b/>
          <w:bCs/>
          <w:color w:val="1A1A1A"/>
          <w:sz w:val="21"/>
          <w:szCs w:val="21"/>
        </w:rPr>
        <w:t xml:space="preserve">Risk: </w:t>
      </w:r>
      <w:r>
        <w:rPr>
          <w:rFonts w:ascii="Arial" w:cs="Arial" w:eastAsia="Arial" w:hAnsi="Arial"/>
          <w:color w:val="1A1A1A"/>
          <w:sz w:val="21"/>
          <w:szCs w:val="21"/>
        </w:rPr>
        <w:t xml:space="preserve">MEDIUM-HIGH. Constructive provability logic exists but is less developed than classical.</w:t>
      </w:r>
    </w:p>
    <w:p>
      <w:pPr>
        <w:spacing w:after="80"/>
      </w:pPr>
    </w:p>
    <w:p>
      <w:pPr>
        <w:pStyle w:val="Heading2"/>
        <w:spacing w:before="320" w:after="160"/>
      </w:pPr>
      <w:r>
        <w:rPr>
          <w:rFonts w:ascii="Arial" w:cs="Arial" w:eastAsia="Arial" w:hAnsi="Arial"/>
          <w:b/>
          <w:bCs/>
          <w:color w:val="2B5A8C"/>
          <w:sz w:val="24"/>
          <w:szCs w:val="24"/>
        </w:rPr>
        <w:t xml:space="preserve">PO-5: Functoriality</w:t>
      </w:r>
    </w:p>
    <w:p>
      <w:pPr>
        <w:spacing w:after="120" w:line="276"/>
      </w:pPr>
      <w:r>
        <w:rPr>
          <w:rFonts w:ascii="Arial" w:cs="Arial" w:eastAsia="Arial" w:hAnsi="Arial"/>
          <w:b/>
          <w:bCs/>
          <w:color w:val="1A1A1A"/>
          <w:sz w:val="21"/>
          <w:szCs w:val="21"/>
        </w:rPr>
        <w:t xml:space="preserve">Statement: </w:t>
      </w:r>
      <w:r>
        <w:rPr>
          <w:rFonts w:ascii="Arial" w:cs="Arial" w:eastAsia="Arial" w:hAnsi="Arial"/>
          <w:color w:val="1A1A1A"/>
          <w:sz w:val="21"/>
          <w:szCs w:val="21"/>
        </w:rPr>
        <w:t xml:space="preserve">ρ defines a functor from a suitable subcategory of Found to Ord, preserving interpretability morphisms.</w:t>
      </w:r>
    </w:p>
    <w:p>
      <w:pPr>
        <w:spacing w:after="120" w:line="276"/>
      </w:pPr>
      <w:r>
        <w:rPr>
          <w:rFonts w:ascii="Arial" w:cs="Arial" w:eastAsia="Arial" w:hAnsi="Arial"/>
          <w:b/>
          <w:bCs/>
          <w:color w:val="1A1A1A"/>
          <w:sz w:val="21"/>
          <w:szCs w:val="21"/>
        </w:rPr>
        <w:t xml:space="preserve">Status: </w:t>
      </w:r>
      <w:r>
        <w:rPr>
          <w:rFonts w:ascii="Arial" w:cs="Arial" w:eastAsia="Arial" w:hAnsi="Arial"/>
          <w:color w:val="1A1A1A"/>
          <w:sz w:val="21"/>
          <w:szCs w:val="21"/>
        </w:rPr>
        <w:t xml:space="preserve">TYPE-C. This is the ultimate goal.</w:t>
      </w:r>
    </w:p>
    <w:p>
      <w:pPr>
        <w:spacing w:after="120" w:line="276"/>
      </w:pPr>
      <w:r>
        <w:rPr>
          <w:rFonts w:ascii="Arial" w:cs="Arial" w:eastAsia="Arial" w:hAnsi="Arial"/>
          <w:b/>
          <w:bCs/>
          <w:color w:val="1A1A1A"/>
          <w:sz w:val="21"/>
          <w:szCs w:val="21"/>
        </w:rPr>
        <w:t xml:space="preserve">Proof obligation: </w:t>
      </w:r>
      <w:r>
        <w:rPr>
          <w:rFonts w:ascii="Arial" w:cs="Arial" w:eastAsia="Arial" w:hAnsi="Arial"/>
          <w:color w:val="1A1A1A"/>
          <w:sz w:val="21"/>
          <w:szCs w:val="21"/>
        </w:rPr>
        <w:t xml:space="preserve">Define the morphism class (theory interpretations preserving deductive closure). Prove ρ is monotone under these morphisms. Prove or refute full functoriality.</w:t>
      </w:r>
    </w:p>
    <w:p>
      <w:pPr>
        <w:spacing w:after="120" w:line="276"/>
      </w:pPr>
      <w:r>
        <w:rPr>
          <w:rFonts w:ascii="Arial" w:cs="Arial" w:eastAsia="Arial" w:hAnsi="Arial"/>
          <w:b/>
          <w:bCs/>
          <w:color w:val="1A1A1A"/>
          <w:sz w:val="21"/>
          <w:szCs w:val="21"/>
        </w:rPr>
        <w:t xml:space="preserve">Risk: </w:t>
      </w:r>
      <w:r>
        <w:rPr>
          <w:rFonts w:ascii="Arial" w:cs="Arial" w:eastAsia="Arial" w:hAnsi="Arial"/>
          <w:color w:val="1A1A1A"/>
          <w:sz w:val="21"/>
          <w:szCs w:val="21"/>
        </w:rPr>
        <w:t xml:space="preserve">MEDIUM. Monotonicity is likely provable. Full functoriality may require restricting the morphism class (Path A from D0 v1.5).</w:t>
      </w:r>
    </w:p>
    <w:p>
      <w:r>
        <w:br w:type="page"/>
      </w:r>
    </w:p>
    <w:p>
      <w:pPr>
        <w:pStyle w:val="Heading1"/>
        <w:spacing w:before="400" w:after="200"/>
      </w:pPr>
      <w:r>
        <w:rPr>
          <w:rFonts w:ascii="Arial" w:cs="Arial" w:eastAsia="Arial" w:hAnsi="Arial"/>
          <w:b/>
          <w:bCs/>
          <w:color w:val="1B3A5C"/>
          <w:sz w:val="28"/>
          <w:szCs w:val="28"/>
        </w:rPr>
        <w:t xml:space="preserve">Part V — Core Bibliography</w:t>
      </w:r>
    </w:p>
    <w:p>
      <w:pPr>
        <w:spacing w:after="120" w:line="276"/>
      </w:pPr>
      <w:r>
        <w:rPr>
          <w:rFonts w:ascii="Arial" w:cs="Arial" w:eastAsia="Arial" w:hAnsi="Arial"/>
          <w:color w:val="1A1A1A"/>
          <w:sz w:val="21"/>
          <w:szCs w:val="21"/>
        </w:rPr>
        <w:t xml:space="preserve">Essential reading, ordered by priority. Items marked [CRITICAL] must be read before starting formalization. Items marked [REFERENCE] are consulted as needed.</w:t>
      </w:r>
    </w:p>
    <w:p>
      <w:pPr>
        <w:spacing w:after="80"/>
      </w:pPr>
    </w:p>
    <w:p>
      <w:pPr>
        <w:pStyle w:val="Heading2"/>
        <w:spacing w:before="320" w:after="160"/>
      </w:pPr>
      <w:r>
        <w:rPr>
          <w:rFonts w:ascii="Arial" w:cs="Arial" w:eastAsia="Arial" w:hAnsi="Arial"/>
          <w:b/>
          <w:bCs/>
          <w:color w:val="2B5A8C"/>
          <w:sz w:val="24"/>
          <w:szCs w:val="24"/>
        </w:rPr>
        <w:t xml:space="preserve">5.1 Beklemishev Reflection Calculus [CRITICAL]</w:t>
      </w:r>
    </w:p>
    <w:p>
      <w:pPr>
        <w:pStyle w:val="ListParagraph"/>
        <w:numPr>
          <w:ilvl w:val="0"/>
          <w:numId w:val="3"/>
        </w:numPr>
        <w:spacing w:after="60" w:line="276"/>
      </w:pPr>
      <w:r>
        <w:rPr>
          <w:rFonts w:ascii="Arial" w:cs="Arial" w:eastAsia="Arial" w:hAnsi="Arial"/>
          <w:color w:val="1A1A1A"/>
          <w:sz w:val="21"/>
          <w:szCs w:val="21"/>
        </w:rPr>
        <w:t xml:space="preserve">Beklemishev, L.D. (2005). "Veblen hierarchy in the context of provability algebras." In Logic, Methodology and Philosophy of Science XII. [The foundational paper for graded provability algebras.]</w:t>
      </w:r>
    </w:p>
    <w:p>
      <w:pPr>
        <w:pStyle w:val="ListParagraph"/>
        <w:numPr>
          <w:ilvl w:val="0"/>
          <w:numId w:val="3"/>
        </w:numPr>
        <w:spacing w:after="60" w:line="276"/>
      </w:pPr>
      <w:r>
        <w:rPr>
          <w:rFonts w:ascii="Arial" w:cs="Arial" w:eastAsia="Arial" w:hAnsi="Arial"/>
          <w:color w:val="1A1A1A"/>
          <w:sz w:val="21"/>
          <w:szCs w:val="21"/>
        </w:rPr>
        <w:t xml:space="preserve">Beklemishev, L.D. (2004). "Provability algebras and proof-theoretic ordinals, I." Annals of Pure and Applied Logic 128, 103–123. [Core technical results for ordinal computation via GPAs.]</w:t>
      </w:r>
    </w:p>
    <w:p>
      <w:pPr>
        <w:pStyle w:val="ListParagraph"/>
        <w:numPr>
          <w:ilvl w:val="0"/>
          <w:numId w:val="3"/>
        </w:numPr>
        <w:spacing w:after="60" w:line="276"/>
      </w:pPr>
      <w:r>
        <w:rPr>
          <w:rFonts w:ascii="Arial" w:cs="Arial" w:eastAsia="Arial" w:hAnsi="Arial"/>
          <w:color w:val="1A1A1A"/>
          <w:sz w:val="21"/>
          <w:szCs w:val="21"/>
        </w:rPr>
        <w:t xml:space="preserve">Beklemishev, L.D. (2012). "Calibrating provability logic: from modal logic to reflection calculus." In Advances in Modal Logic 9. [Extends the framework to reflection calculus proper.]</w:t>
      </w:r>
    </w:p>
    <w:p>
      <w:pPr>
        <w:pStyle w:val="ListParagraph"/>
        <w:numPr>
          <w:ilvl w:val="0"/>
          <w:numId w:val="3"/>
        </w:numPr>
        <w:spacing w:after="60" w:line="276"/>
      </w:pPr>
      <w:r>
        <w:rPr>
          <w:rFonts w:ascii="Arial" w:cs="Arial" w:eastAsia="Arial" w:hAnsi="Arial"/>
          <w:color w:val="1A1A1A"/>
          <w:sz w:val="21"/>
          <w:szCs w:val="21"/>
        </w:rPr>
        <w:t xml:space="preserve">Beklemishev, L.D. (2014). "Positive provability logic for uniform reflection principles." Annals of Pure and Applied Logic 165, 82–105. [Positive fragment, relevant for constructive extension.]</w:t>
      </w:r>
    </w:p>
    <w:p>
      <w:pPr>
        <w:spacing w:after="80"/>
      </w:pPr>
    </w:p>
    <w:p>
      <w:pPr>
        <w:pStyle w:val="Heading2"/>
        <w:spacing w:before="320" w:after="160"/>
      </w:pPr>
      <w:r>
        <w:rPr>
          <w:rFonts w:ascii="Arial" w:cs="Arial" w:eastAsia="Arial" w:hAnsi="Arial"/>
          <w:b/>
          <w:bCs/>
          <w:color w:val="2B5A8C"/>
          <w:sz w:val="24"/>
          <w:szCs w:val="24"/>
        </w:rPr>
        <w:t xml:space="preserve">5.2 Provability Logic Foundations [CRITICAL]</w:t>
      </w:r>
    </w:p>
    <w:p>
      <w:pPr>
        <w:pStyle w:val="ListParagraph"/>
        <w:numPr>
          <w:ilvl w:val="0"/>
          <w:numId w:val="3"/>
        </w:numPr>
        <w:spacing w:after="60" w:line="276"/>
      </w:pPr>
      <w:r>
        <w:rPr>
          <w:rFonts w:ascii="Arial" w:cs="Arial" w:eastAsia="Arial" w:hAnsi="Arial"/>
          <w:color w:val="1A1A1A"/>
          <w:sz w:val="21"/>
          <w:szCs w:val="21"/>
        </w:rPr>
        <w:t xml:space="preserve">Boolos, G. (1993). The Logic of Provability. Cambridge University Press. [Standard reference for GL (Godel-Lob) provability logic.]</w:t>
      </w:r>
    </w:p>
    <w:p>
      <w:pPr>
        <w:pStyle w:val="ListParagraph"/>
        <w:numPr>
          <w:ilvl w:val="0"/>
          <w:numId w:val="3"/>
        </w:numPr>
        <w:spacing w:after="60" w:line="276"/>
      </w:pPr>
      <w:r>
        <w:rPr>
          <w:rFonts w:ascii="Arial" w:cs="Arial" w:eastAsia="Arial" w:hAnsi="Arial"/>
          <w:color w:val="1A1A1A"/>
          <w:sz w:val="21"/>
          <w:szCs w:val="21"/>
        </w:rPr>
        <w:t xml:space="preserve">Japaridze, G. and de Jongh, D. (1998). "The logic of provability." In Handbook of Proof Theory. [Comprehensive survey.]</w:t>
      </w:r>
    </w:p>
    <w:p>
      <w:pPr>
        <w:pStyle w:val="ListParagraph"/>
        <w:numPr>
          <w:ilvl w:val="0"/>
          <w:numId w:val="3"/>
        </w:numPr>
        <w:spacing w:after="60" w:line="276"/>
      </w:pPr>
      <w:r>
        <w:rPr>
          <w:rFonts w:ascii="Arial" w:cs="Arial" w:eastAsia="Arial" w:hAnsi="Arial"/>
          <w:color w:val="1A1A1A"/>
          <w:sz w:val="21"/>
          <w:szCs w:val="21"/>
        </w:rPr>
        <w:t xml:space="preserve">Visser, A. (2005). "An overview of interpretability logic." In Advances in Modal Logic 6. [Interpretability logic ILM, relevant for PO-5.]</w:t>
      </w:r>
    </w:p>
    <w:p>
      <w:pPr>
        <w:spacing w:after="80"/>
      </w:pPr>
    </w:p>
    <w:p>
      <w:pPr>
        <w:pStyle w:val="Heading2"/>
        <w:spacing w:before="320" w:after="160"/>
      </w:pPr>
      <w:r>
        <w:rPr>
          <w:rFonts w:ascii="Arial" w:cs="Arial" w:eastAsia="Arial" w:hAnsi="Arial"/>
          <w:b/>
          <w:bCs/>
          <w:color w:val="2B5A8C"/>
          <w:sz w:val="24"/>
          <w:szCs w:val="24"/>
        </w:rPr>
        <w:t xml:space="preserve">5.3 Ordinal Analysis [REFERENCE]</w:t>
      </w:r>
    </w:p>
    <w:p>
      <w:pPr>
        <w:pStyle w:val="ListParagraph"/>
        <w:numPr>
          <w:ilvl w:val="0"/>
          <w:numId w:val="3"/>
        </w:numPr>
        <w:spacing w:after="60" w:line="276"/>
      </w:pPr>
      <w:r>
        <w:rPr>
          <w:rFonts w:ascii="Arial" w:cs="Arial" w:eastAsia="Arial" w:hAnsi="Arial"/>
          <w:color w:val="1A1A1A"/>
          <w:sz w:val="21"/>
          <w:szCs w:val="21"/>
        </w:rPr>
        <w:t xml:space="preserve">Rathjen, M. (1999). "The realm of ordinal analysis." In Sets and Proofs. [Survey of classical ordinal analysis, calibration targets.]</w:t>
      </w:r>
    </w:p>
    <w:p>
      <w:pPr>
        <w:pStyle w:val="ListParagraph"/>
        <w:numPr>
          <w:ilvl w:val="0"/>
          <w:numId w:val="3"/>
        </w:numPr>
        <w:spacing w:after="60" w:line="276"/>
      </w:pPr>
      <w:r>
        <w:rPr>
          <w:rFonts w:ascii="Arial" w:cs="Arial" w:eastAsia="Arial" w:hAnsi="Arial"/>
          <w:color w:val="1A1A1A"/>
          <w:sz w:val="21"/>
          <w:szCs w:val="21"/>
        </w:rPr>
        <w:t xml:space="preserve">Pohlers, W. (2009). Proof Theory: The First Step into Impredicativity. Springer. [Technical reference for ordinals of subsystems of second-order arithmetic.]</w:t>
      </w:r>
    </w:p>
    <w:p>
      <w:pPr>
        <w:spacing w:after="80"/>
      </w:pPr>
    </w:p>
    <w:p>
      <w:pPr>
        <w:pStyle w:val="Heading2"/>
        <w:spacing w:before="320" w:after="160"/>
      </w:pPr>
      <w:r>
        <w:rPr>
          <w:rFonts w:ascii="Arial" w:cs="Arial" w:eastAsia="Arial" w:hAnsi="Arial"/>
          <w:b/>
          <w:bCs/>
          <w:color w:val="2B5A8C"/>
          <w:sz w:val="24"/>
          <w:szCs w:val="24"/>
        </w:rPr>
        <w:t xml:space="preserve">5.4 Bounded Arithmetic &amp; Feasible Provability [REFERENCE]</w:t>
      </w:r>
    </w:p>
    <w:p>
      <w:pPr>
        <w:pStyle w:val="ListParagraph"/>
        <w:numPr>
          <w:ilvl w:val="0"/>
          <w:numId w:val="3"/>
        </w:numPr>
        <w:spacing w:after="60" w:line="276"/>
      </w:pPr>
      <w:r>
        <w:rPr>
          <w:rFonts w:ascii="Arial" w:cs="Arial" w:eastAsia="Arial" w:hAnsi="Arial"/>
          <w:color w:val="1A1A1A"/>
          <w:sz w:val="21"/>
          <w:szCs w:val="21"/>
        </w:rPr>
        <w:t xml:space="preserve">Buss, S. (1986). Bounded Arithmetic. Bibliopolis. [Foundation for PV₁, S²₁, bounded arithmetic hierarchy.]</w:t>
      </w:r>
    </w:p>
    <w:p>
      <w:pPr>
        <w:pStyle w:val="ListParagraph"/>
        <w:numPr>
          <w:ilvl w:val="0"/>
          <w:numId w:val="3"/>
        </w:numPr>
        <w:spacing w:after="60" w:line="276"/>
      </w:pPr>
      <w:r>
        <w:rPr>
          <w:rFonts w:ascii="Arial" w:cs="Arial" w:eastAsia="Arial" w:hAnsi="Arial"/>
          <w:color w:val="1A1A1A"/>
          <w:sz w:val="21"/>
          <w:szCs w:val="21"/>
        </w:rPr>
        <w:t xml:space="preserve">Pudlák, P. (2013). Logical Foundations of Mathematics and Computational Complexity. Springer. [Feasible provability, complexity connections.]</w:t>
      </w:r>
    </w:p>
    <w:p>
      <w:pPr>
        <w:pStyle w:val="ListParagraph"/>
        <w:numPr>
          <w:ilvl w:val="0"/>
          <w:numId w:val="3"/>
        </w:numPr>
        <w:spacing w:after="60" w:line="276"/>
      </w:pPr>
      <w:r>
        <w:rPr>
          <w:rFonts w:ascii="Arial" w:cs="Arial" w:eastAsia="Arial" w:hAnsi="Arial"/>
          <w:color w:val="1A1A1A"/>
          <w:sz w:val="21"/>
          <w:szCs w:val="21"/>
        </w:rPr>
        <w:t xml:space="preserve">Krajicek, J. (1995). Bounded Arithmetic, Propositional Logic, and Complexity Theory. Cambridge. [Technical bridge between bounded arithmetic and complexity.]</w:t>
      </w:r>
    </w:p>
    <w:p>
      <w:pPr>
        <w:spacing w:after="80"/>
      </w:pPr>
    </w:p>
    <w:p>
      <w:pPr>
        <w:pStyle w:val="Heading2"/>
        <w:spacing w:before="320" w:after="160"/>
      </w:pPr>
      <w:r>
        <w:rPr>
          <w:rFonts w:ascii="Arial" w:cs="Arial" w:eastAsia="Arial" w:hAnsi="Arial"/>
          <w:b/>
          <w:bCs/>
          <w:color w:val="2B5A8C"/>
          <w:sz w:val="24"/>
          <w:szCs w:val="24"/>
        </w:rPr>
        <w:t xml:space="preserve">5.5 Constructive Provability [REFERENCE]</w:t>
      </w:r>
    </w:p>
    <w:p>
      <w:pPr>
        <w:pStyle w:val="ListParagraph"/>
        <w:numPr>
          <w:ilvl w:val="0"/>
          <w:numId w:val="3"/>
        </w:numPr>
        <w:spacing w:after="60" w:line="276"/>
      </w:pPr>
      <w:r>
        <w:rPr>
          <w:rFonts w:ascii="Arial" w:cs="Arial" w:eastAsia="Arial" w:hAnsi="Arial"/>
          <w:color w:val="1A1A1A"/>
          <w:sz w:val="21"/>
          <w:szCs w:val="21"/>
        </w:rPr>
        <w:t xml:space="preserve">Iemhoff, R. (2001). "Provability logic and admissible rules." PhD Thesis, University of Amsterdam. [Constructive provability logic foundations.]</w:t>
      </w:r>
    </w:p>
    <w:p>
      <w:pPr>
        <w:pStyle w:val="ListParagraph"/>
        <w:numPr>
          <w:ilvl w:val="0"/>
          <w:numId w:val="3"/>
        </w:numPr>
        <w:spacing w:after="60" w:line="276"/>
      </w:pPr>
      <w:r>
        <w:rPr>
          <w:rFonts w:ascii="Arial" w:cs="Arial" w:eastAsia="Arial" w:hAnsi="Arial"/>
          <w:color w:val="1A1A1A"/>
          <w:sz w:val="21"/>
          <w:szCs w:val="21"/>
        </w:rPr>
        <w:t xml:space="preserve">Artemov, S. and Beklemishev, L.D. (2005). "Provability logic." In Handbook of Philosophical Logic, 2nd ed. [Broad survey including constructive aspects.]</w:t>
      </w:r>
    </w:p>
    <w:p>
      <w:pPr>
        <w:spacing w:after="80"/>
      </w:pPr>
    </w:p>
    <w:p>
      <w:pPr>
        <w:pStyle w:val="Heading2"/>
        <w:spacing w:before="320" w:after="160"/>
      </w:pPr>
      <w:r>
        <w:rPr>
          <w:rFonts w:ascii="Arial" w:cs="Arial" w:eastAsia="Arial" w:hAnsi="Arial"/>
          <w:b/>
          <w:bCs/>
          <w:color w:val="2B5A8C"/>
          <w:sz w:val="24"/>
          <w:szCs w:val="24"/>
        </w:rPr>
        <w:t xml:space="preserve">5.6 Institution Theory [REFERENCE]</w:t>
      </w:r>
    </w:p>
    <w:p>
      <w:pPr>
        <w:pStyle w:val="ListParagraph"/>
        <w:numPr>
          <w:ilvl w:val="0"/>
          <w:numId w:val="3"/>
        </w:numPr>
        <w:spacing w:after="60" w:line="276"/>
      </w:pPr>
      <w:r>
        <w:rPr>
          <w:rFonts w:ascii="Arial" w:cs="Arial" w:eastAsia="Arial" w:hAnsi="Arial"/>
          <w:color w:val="1A1A1A"/>
          <w:sz w:val="21"/>
          <w:szCs w:val="21"/>
        </w:rPr>
        <w:t xml:space="preserve">Goguen, J. and Burstall, R. (1992). "Institutions: abstract model theory for specification and programming." JACM 39(1), 95–146. [Base manifold of D0 architecture.]</w:t>
      </w:r>
    </w:p>
    <w:p>
      <w:pPr>
        <w:pStyle w:val="ListParagraph"/>
        <w:numPr>
          <w:ilvl w:val="0"/>
          <w:numId w:val="3"/>
        </w:numPr>
        <w:spacing w:after="60" w:line="276"/>
      </w:pPr>
      <w:r>
        <w:rPr>
          <w:rFonts w:ascii="Arial" w:cs="Arial" w:eastAsia="Arial" w:hAnsi="Arial"/>
          <w:color w:val="1A1A1A"/>
          <w:sz w:val="21"/>
          <w:szCs w:val="21"/>
        </w:rPr>
        <w:t xml:space="preserve">Diaconescu, R. (2008). Institution-Independent Model Theory. Birkhäuser. [Comprehensive treatment, relevant for PO-5.]</w:t>
      </w:r>
    </w:p>
    <w:p>
      <w:r>
        <w:br w:type="page"/>
      </w:r>
    </w:p>
    <w:p>
      <w:pPr>
        <w:pStyle w:val="Heading1"/>
        <w:spacing w:before="400" w:after="200"/>
      </w:pPr>
      <w:r>
        <w:rPr>
          <w:rFonts w:ascii="Arial" w:cs="Arial" w:eastAsia="Arial" w:hAnsi="Arial"/>
          <w:b/>
          <w:bCs/>
          <w:color w:val="1B3A5C"/>
          <w:sz w:val="28"/>
          <w:szCs w:val="28"/>
        </w:rPr>
        <w:t xml:space="preserve">Part VI — Milestones &amp;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000"/>
        <w:gridCol w:w="3160"/>
      </w:tblGrid>
      <w:tr>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Milestone</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Duration</w:t>
            </w:r>
          </w:p>
        </w:tc>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Dependencies</w:t>
            </w:r>
          </w:p>
        </w:tc>
        <w:tc>
          <w:tcPr>
            <w:tcW w:type="dxa" w:w="3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Deliverable</w:t>
            </w:r>
          </w:p>
        </w:tc>
      </w:tr>
      <w:tr>
        <w:tc>
          <w:tcPr>
            <w:tcW w:type="dxa" w:w="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M1</w:t>
            </w:r>
          </w:p>
        </w:tc>
        <w:tc>
          <w:tcPr>
            <w:tcW w:type="dxa" w:w="3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Literature absorption: Beklemishev (2004, 2005, 2012, 2014), Boolos (1993)</w:t>
            </w:r>
          </w:p>
        </w:tc>
        <w:tc>
          <w:tcPr>
            <w:tcW w:type="dxa" w:w="1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1–2</w:t>
            </w:r>
          </w:p>
        </w:tc>
        <w:tc>
          <w:tcPr>
            <w:tcW w:type="dxa" w:w="1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None</w:t>
            </w:r>
          </w:p>
        </w:tc>
        <w:tc>
          <w:tcPr>
            <w:tcW w:type="dxa" w:w="31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Annotated bibliography + technical summary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Reproduce ρ(PA) = ε₀ via GPA computation (no cut-elimination)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2–4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M1</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Self-contained proof document</w:t>
            </w:r>
          </w:p>
        </w:tc>
      </w:tr>
      <w:tr>
        <w:tc>
          <w:tcPr>
            <w:tcW w:type="dxa" w:w="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M3</w:t>
            </w:r>
          </w:p>
        </w:tc>
        <w:tc>
          <w:tcPr>
            <w:tcW w:type="dxa" w:w="3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Compute ρ for RCA₀, WKL₀, ACA₀, ATR₀</w:t>
            </w:r>
          </w:p>
        </w:tc>
        <w:tc>
          <w:tcPr>
            <w:tcW w:type="dxa" w:w="1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4–7</w:t>
            </w:r>
          </w:p>
        </w:tc>
        <w:tc>
          <w:tcPr>
            <w:tcW w:type="dxa" w:w="1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M2</w:t>
            </w:r>
          </w:p>
        </w:tc>
        <w:tc>
          <w:tcPr>
            <w:tcW w:type="dxa" w:w="31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Calibration table with proofs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M4</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Attempt feasible reflection for PV₁ / S²₁</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6–9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M2</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Proof or documented obstruction</w:t>
            </w:r>
          </w:p>
        </w:tc>
      </w:tr>
      <w:tr>
        <w:tc>
          <w:tcPr>
            <w:tcW w:type="dxa" w:w="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M5</w:t>
            </w:r>
          </w:p>
        </w:tc>
        <w:tc>
          <w:tcPr>
            <w:tcW w:type="dxa" w:w="3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Investigate constructive reflection for CZF / MLTT</w:t>
            </w:r>
          </w:p>
        </w:tc>
        <w:tc>
          <w:tcPr>
            <w:tcW w:type="dxa" w:w="1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8–11</w:t>
            </w:r>
          </w:p>
        </w:tc>
        <w:tc>
          <w:tcPr>
            <w:tcW w:type="dxa" w:w="1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M2</w:t>
            </w:r>
          </w:p>
        </w:tc>
        <w:tc>
          <w:tcPr>
            <w:tcW w:type="dxa" w:w="31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Proof or documented obstruction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M6</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Functoriality analysis: define morphism class, prove monotonicity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10–14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M3</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Category-theoretic formulation</w:t>
            </w:r>
          </w:p>
        </w:tc>
      </w:tr>
      <w:tr>
        <w:tc>
          <w:tcPr>
            <w:tcW w:type="dxa" w:w="8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M7</w:t>
            </w:r>
          </w:p>
        </w:tc>
        <w:tc>
          <w:tcPr>
            <w:tcW w:type="dxa" w:w="3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Integration: assemble ρ coordinate into StrengthSpace σ(ℱ)</w:t>
            </w:r>
          </w:p>
        </w:tc>
        <w:tc>
          <w:tcPr>
            <w:tcW w:type="dxa" w:w="12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13–15</w:t>
            </w:r>
          </w:p>
        </w:tc>
        <w:tc>
          <w:tcPr>
            <w:tcW w:type="dxa" w:w="1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M3, M6</w:t>
            </w:r>
          </w:p>
        </w:tc>
        <w:tc>
          <w:tcPr>
            <w:tcW w:type="dxa" w:w="31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D0 v2.0 specification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M8</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Formalization in proof assistant (Agda or Coq)</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Months 14–18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M7</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Machine-checked proofs</w:t>
            </w:r>
          </w:p>
        </w:tc>
      </w:tr>
    </w:tbl>
    <w:p>
      <w:pPr>
        <w:spacing w:after="80"/>
      </w:pPr>
    </w:p>
    <w:p>
      <w:pPr>
        <w:pStyle w:val="Heading2"/>
        <w:spacing w:before="320" w:after="160"/>
      </w:pPr>
      <w:r>
        <w:rPr>
          <w:rFonts w:ascii="Arial" w:cs="Arial" w:eastAsia="Arial" w:hAnsi="Arial"/>
          <w:b/>
          <w:bCs/>
          <w:color w:val="2B5A8C"/>
          <w:sz w:val="24"/>
          <w:szCs w:val="24"/>
        </w:rPr>
        <w:t xml:space="preserve">Critical Path</w:t>
      </w:r>
    </w:p>
    <w:p>
      <w:pPr>
        <w:spacing w:after="120" w:line="276"/>
      </w:pPr>
      <w:r>
        <w:rPr>
          <w:rFonts w:ascii="Arial" w:cs="Arial" w:eastAsia="Arial" w:hAnsi="Arial"/>
          <w:color w:val="1A1A1A"/>
          <w:sz w:val="21"/>
          <w:szCs w:val="21"/>
        </w:rPr>
        <w:t xml:space="preserve">M1 → M2 → M3 → M6 → M7 is the critical path. M4 and M5 are parallel explorations that may succeed or produce documented obstructions. Both outcomes are valuable.</w:t>
      </w:r>
    </w:p>
    <w:p>
      <w:pPr>
        <w:pStyle w:val="Heading2"/>
        <w:spacing w:before="320" w:after="160"/>
      </w:pPr>
      <w:r>
        <w:rPr>
          <w:rFonts w:ascii="Arial" w:cs="Arial" w:eastAsia="Arial" w:hAnsi="Arial"/>
          <w:b/>
          <w:bCs/>
          <w:color w:val="2B5A8C"/>
          <w:sz w:val="24"/>
          <w:szCs w:val="24"/>
        </w:rPr>
        <w:t xml:space="preserve">Decision Gates</w:t>
      </w:r>
    </w:p>
    <w:p>
      <w:pPr>
        <w:pStyle w:val="ListParagraph"/>
        <w:numPr>
          <w:ilvl w:val="0"/>
          <w:numId w:val="2"/>
        </w:numPr>
        <w:spacing w:after="60" w:line="276"/>
      </w:pPr>
      <w:r>
        <w:rPr>
          <w:rFonts w:ascii="Arial" w:cs="Arial" w:eastAsia="Arial" w:hAnsi="Arial"/>
          <w:color w:val="1A1A1A"/>
          <w:sz w:val="21"/>
          <w:szCs w:val="21"/>
        </w:rPr>
        <w:t xml:space="preserve">After M2: Does GPA computation work cleanly for PA? If not, reassess entire approach.</w:t>
      </w:r>
    </w:p>
    <w:p>
      <w:pPr>
        <w:pStyle w:val="ListParagraph"/>
        <w:numPr>
          <w:ilvl w:val="0"/>
          <w:numId w:val="2"/>
        </w:numPr>
        <w:spacing w:after="60" w:line="276"/>
      </w:pPr>
      <w:r>
        <w:rPr>
          <w:rFonts w:ascii="Arial" w:cs="Arial" w:eastAsia="Arial" w:hAnsi="Arial"/>
          <w:color w:val="1A1A1A"/>
          <w:sz w:val="21"/>
          <w:szCs w:val="21"/>
        </w:rPr>
        <w:t xml:space="preserve">After M4: Does feasible reflection exist? If not, PV₁ is ρ-incomparable. Accept and document.</w:t>
      </w:r>
    </w:p>
    <w:p>
      <w:pPr>
        <w:pStyle w:val="ListParagraph"/>
        <w:numPr>
          <w:ilvl w:val="0"/>
          <w:numId w:val="2"/>
        </w:numPr>
        <w:spacing w:after="60" w:line="276"/>
      </w:pPr>
      <w:r>
        <w:rPr>
          <w:rFonts w:ascii="Arial" w:cs="Arial" w:eastAsia="Arial" w:hAnsi="Arial"/>
          <w:color w:val="1A1A1A"/>
          <w:sz w:val="21"/>
          <w:szCs w:val="21"/>
        </w:rPr>
        <w:t xml:space="preserve">After M5: Does constructive reflection work? If not, BISH requires separate coordinate treatment.</w:t>
      </w:r>
    </w:p>
    <w:p>
      <w:pPr>
        <w:pStyle w:val="ListParagraph"/>
        <w:numPr>
          <w:ilvl w:val="0"/>
          <w:numId w:val="2"/>
        </w:numPr>
        <w:spacing w:after="60" w:line="276"/>
      </w:pPr>
      <w:r>
        <w:rPr>
          <w:rFonts w:ascii="Arial" w:cs="Arial" w:eastAsia="Arial" w:hAnsi="Arial"/>
          <w:color w:val="1A1A1A"/>
          <w:sz w:val="21"/>
          <w:szCs w:val="21"/>
        </w:rPr>
        <w:t xml:space="preserve">After M6: Is ρ functorial? If not, restrict morphism class (Path A) and document obstruction.</w:t>
      </w:r>
    </w:p>
    <w:p>
      <w:r>
        <w:br w:type="page"/>
      </w:r>
    </w:p>
    <w:p>
      <w:pPr>
        <w:pStyle w:val="Heading1"/>
        <w:spacing w:before="400" w:after="200"/>
      </w:pPr>
      <w:r>
        <w:rPr>
          <w:rFonts w:ascii="Arial" w:cs="Arial" w:eastAsia="Arial" w:hAnsi="Arial"/>
          <w:b/>
          <w:bCs/>
          <w:color w:val="1B3A5C"/>
          <w:sz w:val="28"/>
          <w:szCs w:val="28"/>
        </w:rPr>
        <w:t xml:space="preserve">Part VII — Cold Boot Protocol</w:t>
      </w:r>
    </w:p>
    <w:p>
      <w:pPr>
        <w:spacing w:after="120" w:line="276"/>
      </w:pPr>
      <w:r>
        <w:rPr>
          <w:rFonts w:ascii="Arial" w:cs="Arial" w:eastAsia="Arial" w:hAnsi="Arial"/>
          <w:color w:val="1A1A1A"/>
          <w:sz w:val="21"/>
          <w:szCs w:val="21"/>
        </w:rPr>
        <w:t xml:space="preserve">If this document is the only surviving artifact and you need to reconstruct the research program from zero context, follow these steps.</w:t>
      </w:r>
    </w:p>
    <w:p>
      <w:pPr>
        <w:spacing w:after="80"/>
      </w:pPr>
    </w:p>
    <w:p>
      <w:pPr>
        <w:pStyle w:val="Heading2"/>
        <w:spacing w:before="320" w:after="160"/>
      </w:pPr>
      <w:r>
        <w:rPr>
          <w:rFonts w:ascii="Arial" w:cs="Arial" w:eastAsia="Arial" w:hAnsi="Arial"/>
          <w:b/>
          <w:bCs/>
          <w:color w:val="2B5A8C"/>
          <w:sz w:val="24"/>
          <w:szCs w:val="24"/>
        </w:rPr>
        <w:t xml:space="preserve">Step 1: Understand the Problem</w:t>
      </w:r>
    </w:p>
    <w:p>
      <w:pPr>
        <w:spacing w:after="120" w:line="276"/>
      </w:pPr>
      <w:r>
        <w:rPr>
          <w:rFonts w:ascii="Arial" w:cs="Arial" w:eastAsia="Arial" w:hAnsi="Arial"/>
          <w:color w:val="1A1A1A"/>
          <w:sz w:val="21"/>
          <w:szCs w:val="21"/>
        </w:rPr>
        <w:t xml:space="preserve">You are trying to measure the "strength" of mathematical foundations (ZFC, PA, constructive math, etc.) in a way that does not depend on how proofs are written. Classical ordinal analysis fails this because it depends on proof presentation. You need a presentation-independent replacement.</w:t>
      </w:r>
    </w:p>
    <w:p>
      <w:pPr>
        <w:spacing w:after="80"/>
      </w:pPr>
    </w:p>
    <w:p>
      <w:pPr>
        <w:pStyle w:val="Heading2"/>
        <w:spacing w:before="320" w:after="160"/>
      </w:pPr>
      <w:r>
        <w:rPr>
          <w:rFonts w:ascii="Arial" w:cs="Arial" w:eastAsia="Arial" w:hAnsi="Arial"/>
          <w:b/>
          <w:bCs/>
          <w:color w:val="2B5A8C"/>
          <w:sz w:val="24"/>
          <w:szCs w:val="24"/>
        </w:rPr>
        <w:t xml:space="preserve">Step 2: Understand the Solution</w:t>
      </w:r>
    </w:p>
    <w:p>
      <w:pPr>
        <w:spacing w:after="120" w:line="276"/>
      </w:pPr>
      <w:r>
        <w:rPr>
          <w:rFonts w:ascii="Arial" w:cs="Arial" w:eastAsia="Arial" w:hAnsi="Arial"/>
          <w:color w:val="1A1A1A"/>
          <w:sz w:val="21"/>
          <w:szCs w:val="21"/>
        </w:rPr>
        <w:t xml:space="preserve">Beklemishev's reflection calculus defines strength via iterated soundness assertions: "How many times can this theory assert its own consistency before becoming inconsistent?" This number (the reflection rank ρ) depends only on what the theory proves, not on the proof machinery.</w:t>
      </w:r>
    </w:p>
    <w:p>
      <w:pPr>
        <w:spacing w:after="80"/>
      </w:pPr>
    </w:p>
    <w:p>
      <w:pPr>
        <w:pStyle w:val="Heading2"/>
        <w:spacing w:before="320" w:after="160"/>
      </w:pPr>
      <w:r>
        <w:rPr>
          <w:rFonts w:ascii="Arial" w:cs="Arial" w:eastAsia="Arial" w:hAnsi="Arial"/>
          <w:b/>
          <w:bCs/>
          <w:color w:val="2B5A8C"/>
          <w:sz w:val="24"/>
          <w:szCs w:val="24"/>
        </w:rPr>
        <w:t xml:space="preserve">Step 3: Understand the Architecture</w:t>
      </w:r>
    </w:p>
    <w:p>
      <w:pPr>
        <w:spacing w:after="120" w:line="276"/>
      </w:pPr>
      <w:r>
        <w:rPr>
          <w:rFonts w:ascii="Arial" w:cs="Arial" w:eastAsia="Arial" w:hAnsi="Arial"/>
          <w:color w:val="1A1A1A"/>
          <w:sz w:val="21"/>
          <w:szCs w:val="21"/>
        </w:rPr>
        <w:t xml:space="preserve">Strength is not one-dimensional. It lives in a product space:</w:t>
      </w:r>
    </w:p>
    <w:p>
      <w:pPr>
        <w:pStyle w:val="ListParagraph"/>
        <w:numPr>
          <w:ilvl w:val="0"/>
          <w:numId w:val="2"/>
        </w:numPr>
        <w:spacing w:after="60" w:line="276"/>
      </w:pPr>
      <w:r>
        <w:rPr>
          <w:rFonts w:ascii="Arial" w:cs="Arial" w:eastAsia="Arial" w:hAnsi="Arial"/>
          <w:color w:val="1A1A1A"/>
          <w:sz w:val="21"/>
          <w:szCs w:val="21"/>
        </w:rPr>
        <w:t xml:space="preserve">ρ(ℱ) = reflection rank (vertical, well-ordered) — this roadmap's target</w:t>
      </w:r>
    </w:p>
    <w:p>
      <w:pPr>
        <w:pStyle w:val="ListParagraph"/>
        <w:numPr>
          <w:ilvl w:val="0"/>
          <w:numId w:val="2"/>
        </w:numPr>
        <w:spacing w:after="60" w:line="276"/>
      </w:pPr>
      <w:r>
        <w:rPr>
          <w:rFonts w:ascii="Arial" w:cs="Arial" w:eastAsia="Arial" w:hAnsi="Arial"/>
          <w:color w:val="1A1A1A"/>
          <w:sz w:val="21"/>
          <w:szCs w:val="21"/>
        </w:rPr>
        <w:t xml:space="preserve">w(ℱ) = witness extraction profile (none / feasible / canonical / mandatory)</w:t>
      </w:r>
    </w:p>
    <w:p>
      <w:pPr>
        <w:pStyle w:val="ListParagraph"/>
        <w:numPr>
          <w:ilvl w:val="0"/>
          <w:numId w:val="2"/>
        </w:numPr>
        <w:spacing w:after="60" w:line="276"/>
      </w:pPr>
      <w:r>
        <w:rPr>
          <w:rFonts w:ascii="Arial" w:cs="Arial" w:eastAsia="Arial" w:hAnsi="Arial"/>
          <w:color w:val="1A1A1A"/>
          <w:sz w:val="21"/>
          <w:szCs w:val="21"/>
        </w:rPr>
        <w:t xml:space="preserve">c(ℱ) = closure operator lattice position</w:t>
      </w:r>
    </w:p>
    <w:p>
      <w:pPr>
        <w:pStyle w:val="ListParagraph"/>
        <w:numPr>
          <w:ilvl w:val="0"/>
          <w:numId w:val="2"/>
        </w:numPr>
        <w:spacing w:after="60" w:line="276"/>
      </w:pPr>
      <w:r>
        <w:rPr>
          <w:rFonts w:ascii="Arial" w:cs="Arial" w:eastAsia="Arial" w:hAnsi="Arial"/>
          <w:color w:val="1A1A1A"/>
          <w:sz w:val="21"/>
          <w:szCs w:val="21"/>
        </w:rPr>
        <w:t xml:space="preserve">u(ℱ) = categorical universality degree</w:t>
      </w:r>
    </w:p>
    <w:p>
      <w:pPr>
        <w:spacing w:after="120" w:line="276"/>
      </w:pPr>
      <w:r>
        <w:rPr>
          <w:rFonts w:ascii="Arial" w:cs="Arial" w:eastAsia="Arial" w:hAnsi="Arial"/>
          <w:color w:val="1A1A1A"/>
          <w:sz w:val="21"/>
          <w:szCs w:val="21"/>
        </w:rPr>
        <w:t xml:space="preserve">Theories can be equal in one coordinate and incomparable in another. This is by design, not a failure.</w:t>
      </w:r>
    </w:p>
    <w:p>
      <w:pPr>
        <w:spacing w:after="80"/>
      </w:pPr>
    </w:p>
    <w:p>
      <w:pPr>
        <w:pStyle w:val="Heading2"/>
        <w:spacing w:before="320" w:after="160"/>
      </w:pPr>
      <w:r>
        <w:rPr>
          <w:rFonts w:ascii="Arial" w:cs="Arial" w:eastAsia="Arial" w:hAnsi="Arial"/>
          <w:b/>
          <w:bCs/>
          <w:color w:val="2B5A8C"/>
          <w:sz w:val="24"/>
          <w:szCs w:val="24"/>
        </w:rPr>
        <w:t xml:space="preserve">Step 4: Execute the Research</w:t>
      </w:r>
    </w:p>
    <w:p>
      <w:pPr>
        <w:pStyle w:val="ListParagraph"/>
        <w:numPr>
          <w:ilvl w:val="0"/>
          <w:numId w:val="3"/>
        </w:numPr>
        <w:spacing w:after="60" w:line="276"/>
      </w:pPr>
      <w:r>
        <w:rPr>
          <w:rFonts w:ascii="Arial" w:cs="Arial" w:eastAsia="Arial" w:hAnsi="Arial"/>
          <w:color w:val="1A1A1A"/>
          <w:sz w:val="21"/>
          <w:szCs w:val="21"/>
        </w:rPr>
        <w:t xml:space="preserve">Read Beklemishev (2004, 2005). Understand graded provability algebras.</w:t>
      </w:r>
    </w:p>
    <w:p>
      <w:pPr>
        <w:pStyle w:val="ListParagraph"/>
        <w:numPr>
          <w:ilvl w:val="0"/>
          <w:numId w:val="3"/>
        </w:numPr>
        <w:spacing w:after="60" w:line="276"/>
      </w:pPr>
      <w:r>
        <w:rPr>
          <w:rFonts w:ascii="Arial" w:cs="Arial" w:eastAsia="Arial" w:hAnsi="Arial"/>
          <w:color w:val="1A1A1A"/>
          <w:sz w:val="21"/>
          <w:szCs w:val="21"/>
        </w:rPr>
        <w:t xml:space="preserve">Reproduce ρ(PA) = ε₀ via GPA (not via cut-elimination). This is your proof of concept.</w:t>
      </w:r>
    </w:p>
    <w:p>
      <w:pPr>
        <w:pStyle w:val="ListParagraph"/>
        <w:numPr>
          <w:ilvl w:val="0"/>
          <w:numId w:val="3"/>
        </w:numPr>
        <w:spacing w:after="60" w:line="276"/>
      </w:pPr>
      <w:r>
        <w:rPr>
          <w:rFonts w:ascii="Arial" w:cs="Arial" w:eastAsia="Arial" w:hAnsi="Arial"/>
          <w:color w:val="1A1A1A"/>
          <w:sz w:val="21"/>
          <w:szCs w:val="21"/>
        </w:rPr>
        <w:t xml:space="preserve">Extend to reverse mathematics subsystems (RCA₀, WKL₀, ACA₀, ATR₀).</w:t>
      </w:r>
    </w:p>
    <w:p>
      <w:pPr>
        <w:pStyle w:val="ListParagraph"/>
        <w:numPr>
          <w:ilvl w:val="0"/>
          <w:numId w:val="3"/>
        </w:numPr>
        <w:spacing w:after="60" w:line="276"/>
      </w:pPr>
      <w:r>
        <w:rPr>
          <w:rFonts w:ascii="Arial" w:cs="Arial" w:eastAsia="Arial" w:hAnsi="Arial"/>
          <w:color w:val="1A1A1A"/>
          <w:sz w:val="21"/>
          <w:szCs w:val="21"/>
        </w:rPr>
        <w:t xml:space="preserve">Attempt feasible reflection for bounded arithmetic. Document outcome either way.</w:t>
      </w:r>
    </w:p>
    <w:p>
      <w:pPr>
        <w:pStyle w:val="ListParagraph"/>
        <w:numPr>
          <w:ilvl w:val="0"/>
          <w:numId w:val="3"/>
        </w:numPr>
        <w:spacing w:after="60" w:line="276"/>
      </w:pPr>
      <w:r>
        <w:rPr>
          <w:rFonts w:ascii="Arial" w:cs="Arial" w:eastAsia="Arial" w:hAnsi="Arial"/>
          <w:color w:val="1A1A1A"/>
          <w:sz w:val="21"/>
          <w:szCs w:val="21"/>
        </w:rPr>
        <w:t xml:space="preserve">Attempt constructive reflection for BISH / HoTT. Document outcome either way.</w:t>
      </w:r>
    </w:p>
    <w:p>
      <w:pPr>
        <w:pStyle w:val="ListParagraph"/>
        <w:numPr>
          <w:ilvl w:val="0"/>
          <w:numId w:val="3"/>
        </w:numPr>
        <w:spacing w:after="60" w:line="276"/>
      </w:pPr>
      <w:r>
        <w:rPr>
          <w:rFonts w:ascii="Arial" w:cs="Arial" w:eastAsia="Arial" w:hAnsi="Arial"/>
          <w:color w:val="1A1A1A"/>
          <w:sz w:val="21"/>
          <w:szCs w:val="21"/>
        </w:rPr>
        <w:t xml:space="preserve">Prove ρ is monotone under theory interpretations. Attempt full functoriality.</w:t>
      </w:r>
    </w:p>
    <w:p>
      <w:pPr>
        <w:pStyle w:val="ListParagraph"/>
        <w:numPr>
          <w:ilvl w:val="0"/>
          <w:numId w:val="3"/>
        </w:numPr>
        <w:spacing w:after="60" w:line="276"/>
      </w:pPr>
      <w:r>
        <w:rPr>
          <w:rFonts w:ascii="Arial" w:cs="Arial" w:eastAsia="Arial" w:hAnsi="Arial"/>
          <w:color w:val="1A1A1A"/>
          <w:sz w:val="21"/>
          <w:szCs w:val="21"/>
        </w:rPr>
        <w:t xml:space="preserve">Assemble into StrengthSpace σ(ℱ) = (ρ, w, c, u). Publish.</w:t>
      </w:r>
    </w:p>
    <w:p>
      <w:pPr>
        <w:spacing w:after="80"/>
      </w:pPr>
    </w:p>
    <w:p>
      <w:pPr>
        <w:pStyle w:val="Heading2"/>
        <w:spacing w:before="320" w:after="160"/>
      </w:pPr>
      <w:r>
        <w:rPr>
          <w:rFonts w:ascii="Arial" w:cs="Arial" w:eastAsia="Arial" w:hAnsi="Arial"/>
          <w:b/>
          <w:bCs/>
          <w:color w:val="2B5A8C"/>
          <w:sz w:val="24"/>
          <w:szCs w:val="24"/>
        </w:rPr>
        <w:t xml:space="preserve">Step 5: Verify Honesty</w:t>
      </w:r>
    </w:p>
    <w:p>
      <w:pPr>
        <w:spacing w:after="120" w:line="276"/>
      </w:pPr>
      <w:r>
        <w:rPr>
          <w:rFonts w:ascii="Arial" w:cs="Arial" w:eastAsia="Arial" w:hAnsi="Arial"/>
          <w:color w:val="1A1A1A"/>
          <w:sz w:val="21"/>
          <w:szCs w:val="21"/>
        </w:rPr>
        <w:t xml:space="preserve">At every step, classify results:</w:t>
      </w:r>
    </w:p>
    <w:p>
      <w:pPr>
        <w:pStyle w:val="ListParagraph"/>
        <w:numPr>
          <w:ilvl w:val="0"/>
          <w:numId w:val="2"/>
        </w:numPr>
        <w:spacing w:after="60" w:line="276"/>
      </w:pPr>
      <w:r>
        <w:rPr>
          <w:rFonts w:ascii="Arial" w:cs="Arial" w:eastAsia="Arial" w:hAnsi="Arial"/>
          <w:color w:val="1A1A1A"/>
          <w:sz w:val="21"/>
          <w:szCs w:val="21"/>
        </w:rPr>
        <w:t xml:space="preserve">TYPE-S: True by construction (definitions, structural facts)</w:t>
      </w:r>
    </w:p>
    <w:p>
      <w:pPr>
        <w:pStyle w:val="ListParagraph"/>
        <w:numPr>
          <w:ilvl w:val="0"/>
          <w:numId w:val="2"/>
        </w:numPr>
        <w:spacing w:after="60" w:line="276"/>
      </w:pPr>
      <w:r>
        <w:rPr>
          <w:rFonts w:ascii="Arial" w:cs="Arial" w:eastAsia="Arial" w:hAnsi="Arial"/>
          <w:color w:val="1A1A1A"/>
          <w:sz w:val="21"/>
          <w:szCs w:val="21"/>
        </w:rPr>
        <w:t xml:space="preserve">TYPE-B: Proven by formal argument or exhaustive verification</w:t>
      </w:r>
    </w:p>
    <w:p>
      <w:pPr>
        <w:pStyle w:val="ListParagraph"/>
        <w:numPr>
          <w:ilvl w:val="0"/>
          <w:numId w:val="2"/>
        </w:numPr>
        <w:spacing w:after="60" w:line="276"/>
      </w:pPr>
      <w:r>
        <w:rPr>
          <w:rFonts w:ascii="Arial" w:cs="Arial" w:eastAsia="Arial" w:hAnsi="Arial"/>
          <w:color w:val="1A1A1A"/>
          <w:sz w:val="21"/>
          <w:szCs w:val="21"/>
        </w:rPr>
        <w:t xml:space="preserve">TYPE-E: Observed empirically, not proven</w:t>
      </w:r>
    </w:p>
    <w:p>
      <w:pPr>
        <w:pStyle w:val="ListParagraph"/>
        <w:numPr>
          <w:ilvl w:val="0"/>
          <w:numId w:val="2"/>
        </w:numPr>
        <w:spacing w:after="60" w:line="276"/>
      </w:pPr>
      <w:r>
        <w:rPr>
          <w:rFonts w:ascii="Arial" w:cs="Arial" w:eastAsia="Arial" w:hAnsi="Arial"/>
          <w:color w:val="1A1A1A"/>
          <w:sz w:val="21"/>
          <w:szCs w:val="21"/>
        </w:rPr>
        <w:t xml:space="preserve">TYPE-C: Conjectured, with stated test protocol</w:t>
      </w:r>
    </w:p>
    <w:p>
      <w:pPr>
        <w:spacing w:after="120" w:line="276"/>
      </w:pPr>
      <w:r>
        <w:rPr>
          <w:rFonts w:ascii="Arial" w:cs="Arial" w:eastAsia="Arial" w:hAnsi="Arial"/>
          <w:color w:val="1A1A1A"/>
          <w:sz w:val="21"/>
          <w:szCs w:val="21"/>
        </w:rPr>
        <w:t xml:space="preserve">Never mark TYPE-C as TYPE-B. Never mark TYPE-E as TYPE-S. The integrity of the entire framework depends on honest classification.</w:t>
      </w:r>
    </w:p>
    <w:p>
      <w:r>
        <w:br w:type="page"/>
      </w:r>
    </w:p>
    <w:p>
      <w:pPr>
        <w:pStyle w:val="Heading1"/>
        <w:spacing w:before="400" w:after="200"/>
      </w:pPr>
      <w:r>
        <w:rPr>
          <w:rFonts w:ascii="Arial" w:cs="Arial" w:eastAsia="Arial" w:hAnsi="Arial"/>
          <w:b/>
          <w:bCs/>
          <w:color w:val="1B3A5C"/>
          <w:sz w:val="28"/>
          <w:szCs w:val="28"/>
        </w:rPr>
        <w:t xml:space="preserve">Part VIII — Worked Example: ρ(PA) = ε₀</w:t>
      </w:r>
    </w:p>
    <w:p>
      <w:pPr>
        <w:spacing w:after="120" w:line="276"/>
      </w:pPr>
      <w:r>
        <w:rPr>
          <w:rFonts w:ascii="Arial" w:cs="Arial" w:eastAsia="Arial" w:hAnsi="Arial"/>
          <w:color w:val="1A1A1A"/>
          <w:sz w:val="21"/>
          <w:szCs w:val="21"/>
        </w:rPr>
        <w:t xml:space="preserve">This section sketches the core computation that Milestone M2 must reproduce in full detail. It serves as both a proof-of-concept target and a tutorial for the method.</w:t>
      </w:r>
    </w:p>
    <w:p>
      <w:pPr>
        <w:spacing w:after="80"/>
      </w:pPr>
    </w:p>
    <w:p>
      <w:pPr>
        <w:pStyle w:val="Heading2"/>
        <w:spacing w:before="320" w:after="160"/>
      </w:pPr>
      <w:r>
        <w:rPr>
          <w:rFonts w:ascii="Arial" w:cs="Arial" w:eastAsia="Arial" w:hAnsi="Arial"/>
          <w:b/>
          <w:bCs/>
          <w:color w:val="2B5A8C"/>
          <w:sz w:val="24"/>
          <w:szCs w:val="24"/>
        </w:rPr>
        <w:t xml:space="preserve">8.1 Setup</w:t>
      </w:r>
    </w:p>
    <w:p>
      <w:pPr>
        <w:spacing w:after="120" w:line="276"/>
      </w:pPr>
      <w:r>
        <w:rPr>
          <w:rFonts w:ascii="Arial" w:cs="Arial" w:eastAsia="Arial" w:hAnsi="Arial"/>
          <w:color w:val="1A1A1A"/>
          <w:sz w:val="21"/>
          <w:szCs w:val="21"/>
        </w:rPr>
        <w:t xml:space="preserve">Let PA be first-order Peano Arithmetic. Let EA (Elementary Arithmetic) be the base theory. Define the iterated reflection hierarchy over EA:</w:t>
      </w:r>
    </w:p>
    <w:p>
      <w:pPr>
        <w:pStyle w:val="ListParagraph"/>
        <w:numPr>
          <w:ilvl w:val="0"/>
          <w:numId w:val="2"/>
        </w:numPr>
        <w:spacing w:after="60" w:line="276"/>
      </w:pPr>
      <w:r>
        <w:rPr>
          <w:rFonts w:ascii="Arial" w:cs="Arial" w:eastAsia="Arial" w:hAnsi="Arial"/>
          <w:color w:val="1A1A1A"/>
          <w:sz w:val="21"/>
          <w:szCs w:val="21"/>
        </w:rPr>
        <w:t xml:space="preserve">EA₀ = EA</w:t>
      </w:r>
    </w:p>
    <w:p>
      <w:pPr>
        <w:pStyle w:val="ListParagraph"/>
        <w:numPr>
          <w:ilvl w:val="0"/>
          <w:numId w:val="2"/>
        </w:numPr>
        <w:spacing w:after="60" w:line="276"/>
      </w:pPr>
      <w:r>
        <w:rPr>
          <w:rFonts w:ascii="Arial" w:cs="Arial" w:eastAsia="Arial" w:hAnsi="Arial"/>
          <w:color w:val="1A1A1A"/>
          <w:sz w:val="21"/>
          <w:szCs w:val="21"/>
        </w:rPr>
        <w:t xml:space="preserve">EA_{α+1} = EA_α + RFN(EA_α)</w:t>
      </w:r>
    </w:p>
    <w:p>
      <w:pPr>
        <w:pStyle w:val="ListParagraph"/>
        <w:numPr>
          <w:ilvl w:val="0"/>
          <w:numId w:val="2"/>
        </w:numPr>
        <w:spacing w:after="60" w:line="276"/>
      </w:pPr>
      <w:r>
        <w:rPr>
          <w:rFonts w:ascii="Arial" w:cs="Arial" w:eastAsia="Arial" w:hAnsi="Arial"/>
          <w:color w:val="1A1A1A"/>
          <w:sz w:val="21"/>
          <w:szCs w:val="21"/>
        </w:rPr>
        <w:t xml:space="preserve">EA_λ = ⋃_{α&lt;λ} EA_α for limit λ</w:t>
      </w:r>
    </w:p>
    <w:p>
      <w:pPr>
        <w:spacing w:after="80"/>
      </w:pPr>
    </w:p>
    <w:p>
      <w:pPr>
        <w:pStyle w:val="Heading2"/>
        <w:spacing w:before="320" w:after="160"/>
      </w:pPr>
      <w:r>
        <w:rPr>
          <w:rFonts w:ascii="Arial" w:cs="Arial" w:eastAsia="Arial" w:hAnsi="Arial"/>
          <w:b/>
          <w:bCs/>
          <w:color w:val="2B5A8C"/>
          <w:sz w:val="24"/>
          <w:szCs w:val="24"/>
        </w:rPr>
        <w:t xml:space="preserve">8.2 Key Facts</w:t>
      </w:r>
    </w:p>
    <w:p>
      <w:pPr>
        <w:pStyle w:val="ListParagraph"/>
        <w:numPr>
          <w:ilvl w:val="0"/>
          <w:numId w:val="2"/>
        </w:numPr>
        <w:spacing w:after="60" w:line="276"/>
      </w:pPr>
      <w:r>
        <w:rPr>
          <w:rFonts w:ascii="Arial" w:cs="Arial" w:eastAsia="Arial" w:hAnsi="Arial"/>
          <w:color w:val="1A1A1A"/>
          <w:sz w:val="21"/>
          <w:szCs w:val="21"/>
        </w:rPr>
        <w:t xml:space="preserve">PA is deductively equivalent to EA_{ε₀} (the ε₀-th iterate of reflection over EA).</w:t>
      </w:r>
    </w:p>
    <w:p>
      <w:pPr>
        <w:pStyle w:val="ListParagraph"/>
        <w:numPr>
          <w:ilvl w:val="0"/>
          <w:numId w:val="2"/>
        </w:numPr>
        <w:spacing w:after="60" w:line="276"/>
      </w:pPr>
      <w:r>
        <w:rPr>
          <w:rFonts w:ascii="Arial" w:cs="Arial" w:eastAsia="Arial" w:hAnsi="Arial"/>
          <w:color w:val="1A1A1A"/>
          <w:sz w:val="21"/>
          <w:szCs w:val="21"/>
        </w:rPr>
        <w:t xml:space="preserve">EA_{α} is consistent for all α &lt; ε₀.</w:t>
      </w:r>
    </w:p>
    <w:p>
      <w:pPr>
        <w:pStyle w:val="ListParagraph"/>
        <w:numPr>
          <w:ilvl w:val="0"/>
          <w:numId w:val="2"/>
        </w:numPr>
        <w:spacing w:after="60" w:line="276"/>
      </w:pPr>
      <w:r>
        <w:rPr>
          <w:rFonts w:ascii="Arial" w:cs="Arial" w:eastAsia="Arial" w:hAnsi="Arial"/>
          <w:color w:val="1A1A1A"/>
          <w:sz w:val="21"/>
          <w:szCs w:val="21"/>
        </w:rPr>
        <w:t xml:space="preserve">EA_{ε₀} proves Con(EA_α) for all α &lt; ε₀.</w:t>
      </w:r>
    </w:p>
    <w:p>
      <w:pPr>
        <w:pStyle w:val="ListParagraph"/>
        <w:numPr>
          <w:ilvl w:val="0"/>
          <w:numId w:val="2"/>
        </w:numPr>
        <w:spacing w:after="60" w:line="276"/>
      </w:pPr>
      <w:r>
        <w:rPr>
          <w:rFonts w:ascii="Arial" w:cs="Arial" w:eastAsia="Arial" w:hAnsi="Arial"/>
          <w:color w:val="1A1A1A"/>
          <w:sz w:val="21"/>
          <w:szCs w:val="21"/>
        </w:rPr>
        <w:t xml:space="preserve">EA_{ε₀+1} = EA_{ε₀} + RFN(EA_{ε₀}) is inconsistent with the same deductive closure as PA + RFN(PA), which is strictly stronger than PA.</w:t>
      </w:r>
    </w:p>
    <w:p>
      <w:pPr>
        <w:spacing w:after="80"/>
      </w:pPr>
    </w:p>
    <w:p>
      <w:pPr>
        <w:spacing w:after="120" w:line="276"/>
      </w:pPr>
      <w:r>
        <w:rPr>
          <w:rFonts w:ascii="Arial" w:cs="Arial" w:eastAsia="Arial" w:hAnsi="Arial"/>
          <w:i/>
          <w:iCs/>
          <w:color w:val="555555"/>
          <w:sz w:val="21"/>
          <w:szCs w:val="21"/>
        </w:rPr>
        <w:t xml:space="preserve">Wait — that last point needs correction. EA_{ε₀+1} is NOT inconsistent. It is consistent and strictly stronger than PA. The reflection rank ρ(PA) = ε₀ means PA is equivalent to the ε₀-th iterate, not that the next iterate is inconsistent.</w:t>
      </w:r>
    </w:p>
    <w:p>
      <w:pPr>
        <w:spacing w:after="80"/>
      </w:pPr>
    </w:p>
    <w:p>
      <w:pPr>
        <w:pStyle w:val="Heading2"/>
        <w:spacing w:before="320" w:after="160"/>
      </w:pPr>
      <w:r>
        <w:rPr>
          <w:rFonts w:ascii="Arial" w:cs="Arial" w:eastAsia="Arial" w:hAnsi="Arial"/>
          <w:b/>
          <w:bCs/>
          <w:color w:val="2B5A8C"/>
          <w:sz w:val="24"/>
          <w:szCs w:val="24"/>
        </w:rPr>
        <w:t xml:space="preserve">8.3 Correct Statement</w:t>
      </w:r>
    </w:p>
    <w:p>
      <w:pPr>
        <w:spacing w:after="120" w:line="276"/>
      </w:pPr>
      <w:r>
        <w:rPr>
          <w:rFonts w:ascii="Arial" w:cs="Arial" w:eastAsia="Arial" w:hAnsi="Arial"/>
          <w:color w:val="1A1A1A"/>
          <w:sz w:val="21"/>
          <w:szCs w:val="21"/>
        </w:rPr>
        <w:t xml:space="preserve">The reflection rank ρ(PA) = ε₀ means:</w:t>
      </w:r>
    </w:p>
    <w:p>
      <w:pPr>
        <w:pStyle w:val="ListParagraph"/>
        <w:numPr>
          <w:ilvl w:val="0"/>
          <w:numId w:val="2"/>
        </w:numPr>
        <w:spacing w:after="60" w:line="276"/>
      </w:pPr>
      <w:r>
        <w:rPr>
          <w:rFonts w:ascii="Arial" w:cs="Arial" w:eastAsia="Arial" w:hAnsi="Arial"/>
          <w:color w:val="1A1A1A"/>
          <w:sz w:val="21"/>
          <w:szCs w:val="21"/>
        </w:rPr>
        <w:t xml:space="preserve">PA ≡ EA_{ε₀} (deductive equivalence modulo the reflection hierarchy over EA).</w:t>
      </w:r>
    </w:p>
    <w:p>
      <w:pPr>
        <w:pStyle w:val="ListParagraph"/>
        <w:numPr>
          <w:ilvl w:val="0"/>
          <w:numId w:val="2"/>
        </w:numPr>
        <w:spacing w:after="60" w:line="276"/>
      </w:pPr>
      <w:r>
        <w:rPr>
          <w:rFonts w:ascii="Arial" w:cs="Arial" w:eastAsia="Arial" w:hAnsi="Arial"/>
          <w:color w:val="1A1A1A"/>
          <w:sz w:val="21"/>
          <w:szCs w:val="21"/>
        </w:rPr>
        <w:t xml:space="preserve">The ordinal ε₀ is read off from the position of PA in the reflection hierarchy.</w:t>
      </w:r>
    </w:p>
    <w:p>
      <w:pPr>
        <w:pStyle w:val="ListParagraph"/>
        <w:numPr>
          <w:ilvl w:val="0"/>
          <w:numId w:val="2"/>
        </w:numPr>
        <w:spacing w:after="60" w:line="276"/>
      </w:pPr>
      <w:r>
        <w:rPr>
          <w:rFonts w:ascii="Arial" w:cs="Arial" w:eastAsia="Arial" w:hAnsi="Arial"/>
          <w:color w:val="1A1A1A"/>
          <w:sz w:val="21"/>
          <w:szCs w:val="21"/>
        </w:rPr>
        <w:t xml:space="preserve">This is a purely algebraic computation within the GPA of EA-extensions.</w:t>
      </w:r>
    </w:p>
    <w:p>
      <w:pPr>
        <w:spacing w:after="80"/>
      </w:pPr>
    </w:p>
    <w:p>
      <w:pPr>
        <w:spacing w:after="120" w:line="276"/>
      </w:pPr>
      <w:r>
        <w:rPr>
          <w:rFonts w:ascii="Arial" w:cs="Arial" w:eastAsia="Arial" w:hAnsi="Arial"/>
          <w:color w:val="1A1A1A"/>
          <w:sz w:val="21"/>
          <w:szCs w:val="21"/>
        </w:rPr>
        <w:t xml:space="preserve">The full proof requires constructing the GPA, computing its well-ordering, and showing the order type is ε₀. This is Milestone M2.</w:t>
      </w:r>
    </w:p>
    <w:p>
      <w:pPr>
        <w:pStyle w:val="Heading2"/>
        <w:spacing w:before="320" w:after="160"/>
      </w:pPr>
      <w:r>
        <w:rPr>
          <w:rFonts w:ascii="Arial" w:cs="Arial" w:eastAsia="Arial" w:hAnsi="Arial"/>
          <w:b/>
          <w:bCs/>
          <w:color w:val="2B5A8C"/>
          <w:sz w:val="24"/>
          <w:szCs w:val="24"/>
        </w:rPr>
        <w:t xml:space="preserve">8.4 Why This Is Presentation-Independent</w:t>
      </w:r>
    </w:p>
    <w:p>
      <w:pPr>
        <w:spacing w:after="120" w:line="276"/>
      </w:pPr>
      <w:r>
        <w:rPr>
          <w:rFonts w:ascii="Arial" w:cs="Arial" w:eastAsia="Arial" w:hAnsi="Arial"/>
          <w:color w:val="1A1A1A"/>
          <w:sz w:val="21"/>
          <w:szCs w:val="21"/>
        </w:rPr>
        <w:t xml:space="preserve">The deductive closure of PA is unique. The reflection hierarchy over EA is uniquely determined by the provability predicate. The provability predicate depends on the choice of Godel numbering, but Beklemishev shows (via the notion of provably Σ₁-complete provability predicates) that any adequate numbering yields the same GPA up to isomorphism. Therefore ρ(PA) = ε₀ regardless of proof system.</w:t>
      </w:r>
    </w:p>
    <w:p>
      <w:r>
        <w:br w:type="page"/>
      </w:r>
    </w:p>
    <w:p>
      <w:pPr>
        <w:pStyle w:val="Heading1"/>
        <w:spacing w:before="400" w:after="200"/>
      </w:pPr>
      <w:r>
        <w:rPr>
          <w:rFonts w:ascii="Arial" w:cs="Arial" w:eastAsia="Arial" w:hAnsi="Arial"/>
          <w:b/>
          <w:bCs/>
          <w:color w:val="1B3A5C"/>
          <w:sz w:val="28"/>
          <w:szCs w:val="28"/>
        </w:rPr>
        <w:t xml:space="preserve">Part IX — Adversarial Stress Test</w:t>
      </w:r>
    </w:p>
    <w:p>
      <w:pPr>
        <w:spacing w:after="120" w:line="276"/>
      </w:pPr>
      <w:r>
        <w:rPr>
          <w:rFonts w:ascii="Arial" w:cs="Arial" w:eastAsia="Arial" w:hAnsi="Arial"/>
          <w:color w:val="1A1A1A"/>
          <w:sz w:val="21"/>
          <w:szCs w:val="21"/>
        </w:rPr>
        <w:t xml:space="preserve">Per D0-A3, every claim in this roadmap must survive at least one adversarial test. Here are the negation operators and their outcomes.</w:t>
      </w:r>
    </w:p>
    <w:p>
      <w:pPr>
        <w:spacing w:after="80"/>
      </w:pPr>
    </w:p>
    <w:p>
      <w:pPr>
        <w:spacing w:before="240" w:after="120"/>
      </w:pPr>
      <w:r>
        <w:rPr>
          <w:rFonts w:ascii="Arial" w:cs="Arial" w:eastAsia="Arial" w:hAnsi="Arial"/>
          <w:b/>
          <w:bCs/>
          <w:color w:val="3A3A3A"/>
          <w:sz w:val="22"/>
          <w:szCs w:val="22"/>
        </w:rPr>
        <w:t xml:space="preserve">NOT-1: "Reflection rank secretly depends on Godel numbering."</w:t>
      </w:r>
    </w:p>
    <w:p>
      <w:pPr>
        <w:spacing w:after="120" w:line="276"/>
      </w:pPr>
      <w:r>
        <w:rPr>
          <w:rFonts w:ascii="Arial" w:cs="Arial" w:eastAsia="Arial" w:hAnsi="Arial"/>
          <w:b/>
          <w:bCs/>
          <w:color w:val="1A1A1A"/>
          <w:sz w:val="21"/>
          <w:szCs w:val="21"/>
        </w:rPr>
        <w:t xml:space="preserve">Attack: </w:t>
      </w:r>
      <w:r>
        <w:rPr>
          <w:rFonts w:ascii="Arial" w:cs="Arial" w:eastAsia="Arial" w:hAnsi="Arial"/>
          <w:color w:val="1A1A1A"/>
          <w:sz w:val="21"/>
          <w:szCs w:val="21"/>
        </w:rPr>
        <w:t xml:space="preserve">Different Godel numberings produce different provability predicates. Could ρ change?</w:t>
      </w:r>
    </w:p>
    <w:p>
      <w:pPr>
        <w:spacing w:after="120" w:line="276"/>
      </w:pPr>
      <w:r>
        <w:rPr>
          <w:rFonts w:ascii="Arial" w:cs="Arial" w:eastAsia="Arial" w:hAnsi="Arial"/>
          <w:b/>
          <w:bCs/>
          <w:color w:val="1A1A1A"/>
          <w:sz w:val="21"/>
          <w:szCs w:val="21"/>
        </w:rPr>
        <w:t xml:space="preserve">Response: </w:t>
      </w:r>
      <w:r>
        <w:rPr>
          <w:rFonts w:ascii="Arial" w:cs="Arial" w:eastAsia="Arial" w:hAnsi="Arial"/>
          <w:color w:val="1A1A1A"/>
          <w:sz w:val="21"/>
          <w:szCs w:val="21"/>
        </w:rPr>
        <w:t xml:space="preserve">Beklemishev's provably Σ₁-complete predicates theorem shows all adequate provability predicates yield isomorphic GPAs. Survived.</w:t>
      </w:r>
    </w:p>
    <w:p>
      <w:pPr>
        <w:spacing w:after="80"/>
      </w:pPr>
    </w:p>
    <w:p>
      <w:pPr>
        <w:spacing w:before="240" w:after="120"/>
      </w:pPr>
      <w:r>
        <w:rPr>
          <w:rFonts w:ascii="Arial" w:cs="Arial" w:eastAsia="Arial" w:hAnsi="Arial"/>
          <w:b/>
          <w:bCs/>
          <w:color w:val="3A3A3A"/>
          <w:sz w:val="22"/>
          <w:szCs w:val="22"/>
        </w:rPr>
        <w:t xml:space="preserve">NOT-2: "This is just ordinals in disguise. You haven't escaped Obstruction 1."</w:t>
      </w:r>
    </w:p>
    <w:p>
      <w:pPr>
        <w:spacing w:after="120" w:line="276"/>
      </w:pPr>
      <w:r>
        <w:rPr>
          <w:rFonts w:ascii="Arial" w:cs="Arial" w:eastAsia="Arial" w:hAnsi="Arial"/>
          <w:b/>
          <w:bCs/>
          <w:color w:val="1A1A1A"/>
          <w:sz w:val="21"/>
          <w:szCs w:val="21"/>
        </w:rPr>
        <w:t xml:space="preserve">Attack: </w:t>
      </w:r>
      <w:r>
        <w:rPr>
          <w:rFonts w:ascii="Arial" w:cs="Arial" w:eastAsia="Arial" w:hAnsi="Arial"/>
          <w:color w:val="1A1A1A"/>
          <w:sz w:val="21"/>
          <w:szCs w:val="21"/>
        </w:rPr>
        <w:t xml:space="preserve">The output is still an ordinal. What changed?</w:t>
      </w:r>
    </w:p>
    <w:p>
      <w:pPr>
        <w:spacing w:after="120" w:line="276"/>
      </w:pPr>
      <w:r>
        <w:rPr>
          <w:rFonts w:ascii="Arial" w:cs="Arial" w:eastAsia="Arial" w:hAnsi="Arial"/>
          <w:b/>
          <w:bCs/>
          <w:color w:val="1A1A1A"/>
          <w:sz w:val="21"/>
          <w:szCs w:val="21"/>
        </w:rPr>
        <w:t xml:space="preserve">Response: </w:t>
      </w:r>
      <w:r>
        <w:rPr>
          <w:rFonts w:ascii="Arial" w:cs="Arial" w:eastAsia="Arial" w:hAnsi="Arial"/>
          <w:color w:val="1A1A1A"/>
          <w:sz w:val="21"/>
          <w:szCs w:val="21"/>
        </w:rPr>
        <w:t xml:space="preserve">The ordinal is the same. The extraction method is different. Obstruction 1 says ordinal EXTRACTION via cut-elimination is presentation-dependent. Reflection rank extracts the same ordinal via provability algebra, which IS presentation-independent. The output is an ordinal; the path to it is not Gentzen-style. Survived.</w:t>
      </w:r>
    </w:p>
    <w:p>
      <w:pPr>
        <w:spacing w:after="80"/>
      </w:pPr>
    </w:p>
    <w:p>
      <w:pPr>
        <w:spacing w:before="240" w:after="120"/>
      </w:pPr>
      <w:r>
        <w:rPr>
          <w:rFonts w:ascii="Arial" w:cs="Arial" w:eastAsia="Arial" w:hAnsi="Arial"/>
          <w:b/>
          <w:bCs/>
          <w:color w:val="3A3A3A"/>
          <w:sz w:val="22"/>
          <w:szCs w:val="22"/>
        </w:rPr>
        <w:t xml:space="preserve">NOT-3: "Feasible reflection for PV₁ will fail, breaking the framework."</w:t>
      </w:r>
    </w:p>
    <w:p>
      <w:pPr>
        <w:spacing w:after="120" w:line="276"/>
      </w:pPr>
      <w:r>
        <w:rPr>
          <w:rFonts w:ascii="Arial" w:cs="Arial" w:eastAsia="Arial" w:hAnsi="Arial"/>
          <w:b/>
          <w:bCs/>
          <w:color w:val="1A1A1A"/>
          <w:sz w:val="21"/>
          <w:szCs w:val="21"/>
        </w:rPr>
        <w:t xml:space="preserve">Attack: </w:t>
      </w:r>
      <w:r>
        <w:rPr>
          <w:rFonts w:ascii="Arial" w:cs="Arial" w:eastAsia="Arial" w:hAnsi="Arial"/>
          <w:color w:val="1A1A1A"/>
          <w:sz w:val="21"/>
          <w:szCs w:val="21"/>
        </w:rPr>
        <w:t xml:space="preserve">If ρ can't be defined for bounded arithmetic, the framework is incomplete.</w:t>
      </w:r>
    </w:p>
    <w:p>
      <w:pPr>
        <w:spacing w:after="120" w:line="276"/>
      </w:pPr>
      <w:r>
        <w:rPr>
          <w:rFonts w:ascii="Arial" w:cs="Arial" w:eastAsia="Arial" w:hAnsi="Arial"/>
          <w:b/>
          <w:bCs/>
          <w:color w:val="1A1A1A"/>
          <w:sz w:val="21"/>
          <w:szCs w:val="21"/>
        </w:rPr>
        <w:t xml:space="preserve">Response: </w:t>
      </w:r>
      <w:r>
        <w:rPr>
          <w:rFonts w:ascii="Arial" w:cs="Arial" w:eastAsia="Arial" w:hAnsi="Arial"/>
          <w:color w:val="1A1A1A"/>
          <w:sz w:val="21"/>
          <w:szCs w:val="21"/>
        </w:rPr>
        <w:t xml:space="preserve">Acknowledged as risk (PO-3, rated HIGH). Fallback: PV₁ is ρ-incomparable, requiring w(ℱ) for comparison. The product space design handles this. The framework is not broken by ρ-incomparability; it's designed for it. Survived with caveat.</w:t>
      </w:r>
    </w:p>
    <w:p>
      <w:pPr>
        <w:spacing w:after="80"/>
      </w:pPr>
    </w:p>
    <w:p>
      <w:pPr>
        <w:spacing w:before="240" w:after="120"/>
      </w:pPr>
      <w:r>
        <w:rPr>
          <w:rFonts w:ascii="Arial" w:cs="Arial" w:eastAsia="Arial" w:hAnsi="Arial"/>
          <w:b/>
          <w:bCs/>
          <w:color w:val="3A3A3A"/>
          <w:sz w:val="22"/>
          <w:szCs w:val="22"/>
        </w:rPr>
        <w:t xml:space="preserve">NOT-4: "Constructive provability logic is too undeveloped to support PO-4."</w:t>
      </w:r>
    </w:p>
    <w:p>
      <w:pPr>
        <w:spacing w:after="120" w:line="276"/>
      </w:pPr>
      <w:r>
        <w:rPr>
          <w:rFonts w:ascii="Arial" w:cs="Arial" w:eastAsia="Arial" w:hAnsi="Arial"/>
          <w:b/>
          <w:bCs/>
          <w:color w:val="1A1A1A"/>
          <w:sz w:val="21"/>
          <w:szCs w:val="21"/>
        </w:rPr>
        <w:t xml:space="preserve">Attack: </w:t>
      </w:r>
      <w:r>
        <w:rPr>
          <w:rFonts w:ascii="Arial" w:cs="Arial" w:eastAsia="Arial" w:hAnsi="Arial"/>
          <w:color w:val="1A1A1A"/>
          <w:sz w:val="21"/>
          <w:szCs w:val="21"/>
        </w:rPr>
        <w:t xml:space="preserve">Iemhoff's work is a PhD thesis from 2001. Not enough infrastructure.</w:t>
      </w:r>
    </w:p>
    <w:p>
      <w:pPr>
        <w:spacing w:after="120" w:line="276"/>
      </w:pPr>
      <w:r>
        <w:rPr>
          <w:rFonts w:ascii="Arial" w:cs="Arial" w:eastAsia="Arial" w:hAnsi="Arial"/>
          <w:b/>
          <w:bCs/>
          <w:color w:val="1A1A1A"/>
          <w:sz w:val="21"/>
          <w:szCs w:val="21"/>
        </w:rPr>
        <w:t xml:space="preserve">Response: </w:t>
      </w:r>
      <w:r>
        <w:rPr>
          <w:rFonts w:ascii="Arial" w:cs="Arial" w:eastAsia="Arial" w:hAnsi="Arial"/>
          <w:color w:val="1A1A1A"/>
          <w:sz w:val="21"/>
          <w:szCs w:val="21"/>
        </w:rPr>
        <w:t xml:space="preserve">Fair. PO-4 is rated MEDIUM-HIGH risk. But Artemov-Beklemishev (2005) provides additional foundations, and constructive provability has advanced since 2001. If it fails, same fallback as NOT-3: BISH requires separate coordinate. Survived with caveat.</w:t>
      </w:r>
    </w:p>
    <w:p>
      <w:pPr>
        <w:spacing w:after="80"/>
      </w:pPr>
    </w:p>
    <w:p>
      <w:pPr>
        <w:spacing w:before="240" w:after="120"/>
      </w:pPr>
      <w:r>
        <w:rPr>
          <w:rFonts w:ascii="Arial" w:cs="Arial" w:eastAsia="Arial" w:hAnsi="Arial"/>
          <w:b/>
          <w:bCs/>
          <w:color w:val="3A3A3A"/>
          <w:sz w:val="22"/>
          <w:szCs w:val="22"/>
        </w:rPr>
        <w:t xml:space="preserve">NOT-5: "12–18 months is optimistic. This is a 5-year program."</w:t>
      </w:r>
    </w:p>
    <w:p>
      <w:pPr>
        <w:spacing w:after="120" w:line="276"/>
      </w:pPr>
      <w:r>
        <w:rPr>
          <w:rFonts w:ascii="Arial" w:cs="Arial" w:eastAsia="Arial" w:hAnsi="Arial"/>
          <w:b/>
          <w:bCs/>
          <w:color w:val="1A1A1A"/>
          <w:sz w:val="21"/>
          <w:szCs w:val="21"/>
        </w:rPr>
        <w:t xml:space="preserve">Attack: </w:t>
      </w:r>
      <w:r>
        <w:rPr>
          <w:rFonts w:ascii="Arial" w:cs="Arial" w:eastAsia="Arial" w:hAnsi="Arial"/>
          <w:color w:val="1A1A1A"/>
          <w:sz w:val="21"/>
          <w:szCs w:val="21"/>
        </w:rPr>
        <w:t xml:space="preserve">Timeline is too aggressive for genuine research.</w:t>
      </w:r>
    </w:p>
    <w:p>
      <w:pPr>
        <w:spacing w:after="120" w:line="276"/>
      </w:pPr>
      <w:r>
        <w:rPr>
          <w:rFonts w:ascii="Arial" w:cs="Arial" w:eastAsia="Arial" w:hAnsi="Arial"/>
          <w:b/>
          <w:bCs/>
          <w:color w:val="1A1A1A"/>
          <w:sz w:val="21"/>
          <w:szCs w:val="21"/>
        </w:rPr>
        <w:t xml:space="preserve">Response: </w:t>
      </w:r>
      <w:r>
        <w:rPr>
          <w:rFonts w:ascii="Arial" w:cs="Arial" w:eastAsia="Arial" w:hAnsi="Arial"/>
          <w:color w:val="1A1A1A"/>
          <w:sz w:val="21"/>
          <w:szCs w:val="21"/>
        </w:rPr>
        <w:t xml:space="preserve">Partially fair. M1–M3 are tractable in 12 months (established literature). M4–M5 may extend the timeline. M8 (proof assistant formalization) may take longer. Revised honest estimate: 12–18 months for core results (M1–M3, M6), 24–36 months for full program including M4–M5 and M8. Survived with timeline revision.</w:t>
      </w:r>
    </w:p>
    <w:p>
      <w:r>
        <w:br w:type="page"/>
      </w:r>
    </w:p>
    <w:p>
      <w:pPr>
        <w:pStyle w:val="Heading1"/>
        <w:spacing w:before="400" w:after="200"/>
      </w:pPr>
      <w:r>
        <w:rPr>
          <w:rFonts w:ascii="Arial" w:cs="Arial" w:eastAsia="Arial" w:hAnsi="Arial"/>
          <w:b/>
          <w:bCs/>
          <w:color w:val="1B3A5C"/>
          <w:sz w:val="28"/>
          <w:szCs w:val="28"/>
        </w:rPr>
        <w:t xml:space="preserve">Part X — Metadata &amp; Seal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Property</w:t>
            </w:r>
          </w:p>
        </w:tc>
        <w:tc>
          <w:tcPr>
            <w:tcW w:type="dxa" w:w="6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Document</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D0 v1.6 Reflection Rank Formalization Roadmap</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2026-02-12</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Status</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TYPE-C (Research specification, not yet executed)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Parts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10 (0 through X)</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Proof obligations</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 (PO-1 through PO-5)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Milestones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 (M1 through M8)</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Bibliography entries</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Adversarial tests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 (all survived with caveats)</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Calibration targets</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8 theories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Estimated duration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12–18 months (core), 24–36 months (full)</w:t>
            </w:r>
          </w:p>
        </w:tc>
      </w:tr>
      <w:tr>
        <w:tc>
          <w:tcPr>
            <w:tcW w:type="dxa" w:w="300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Dependencies</w:t>
            </w:r>
          </w:p>
        </w:tc>
        <w:tc>
          <w:tcPr>
            <w:tcW w:type="dxa" w:w="6360"/>
            <w:tcBorders>
              <w:top w:val="single" w:color="AAAAAA" w:sz="1"/>
              <w:left w:val="single" w:color="AAAAAA" w:sz="1"/>
              <w:bottom w:val="single" w:color="AAAAAA" w:sz="1"/>
              <w:right w:val="single" w:color="AAAAAA" w:sz="1"/>
            </w:tcBorders>
            <w:shd w:fill="F2F5F8"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None (self-contained specification)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Lineage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D0 v1.0 → v1.5 → v1.6 → This roadmap</w:t>
            </w:r>
          </w:p>
        </w:tc>
      </w:tr>
    </w:tbl>
    <w:p>
      <w:pPr>
        <w:spacing w:after="80"/>
      </w:pPr>
    </w:p>
    <w:p>
      <w:pPr>
        <w:pStyle w:val="Heading2"/>
        <w:spacing w:before="320" w:after="160"/>
      </w:pPr>
      <w:r>
        <w:rPr>
          <w:rFonts w:ascii="Arial" w:cs="Arial" w:eastAsia="Arial" w:hAnsi="Arial"/>
          <w:b/>
          <w:bCs/>
          <w:color w:val="2B5A8C"/>
          <w:sz w:val="24"/>
          <w:szCs w:val="24"/>
        </w:rPr>
        <w:t xml:space="preserve">Structural Digest (Seal)</w:t>
      </w:r>
    </w:p>
    <w:p>
      <w:pPr>
        <w:spacing w:after="120" w:line="276"/>
      </w:pPr>
      <w:r>
        <w:rPr>
          <w:rFonts w:ascii="Arial" w:cs="Arial" w:eastAsia="Arial" w:hAnsi="Arial"/>
          <w:color w:val="1A1A1A"/>
          <w:sz w:val="21"/>
          <w:szCs w:val="21"/>
        </w:rPr>
        <w:t xml:space="preserve">Parts: 10. Proof obligations: 5. Milestones: 8. Bibliography: 14. Adversarial tests: 5. Calibration targets: 8. Coordinates: 4 (ρ targeted, w/c/u specified). Obstructions addressed: 1 of 5 (Obstruction 1 via ρ). Domains covered: 5. Status: Open geometry, vertical coordinate tractable.</w:t>
      </w:r>
    </w:p>
    <w:p>
      <w:pPr>
        <w:spacing w:after="80"/>
      </w:pPr>
    </w:p>
    <w:p>
      <w:pPr>
        <w:pBdr>
          <w:bottom w:val="single" w:color="1B3A5C" w:sz="6" w:space="1"/>
        </w:pBdr>
        <w:spacing w:before="200" w:after="200"/>
      </w:pPr>
    </w:p>
    <w:p>
      <w:pPr>
        <w:spacing w:after="80"/>
      </w:pPr>
    </w:p>
    <w:p>
      <w:pPr>
        <w:spacing w:after="120"/>
        <w:jc w:val="center"/>
      </w:pPr>
      <w:r>
        <w:rPr>
          <w:rFonts w:ascii="Arial" w:cs="Arial" w:eastAsia="Arial" w:hAnsi="Arial"/>
          <w:b/>
          <w:bCs/>
          <w:color w:val="1B3A5C"/>
          <w:sz w:val="20"/>
          <w:szCs w:val="20"/>
        </w:rPr>
        <w:t xml:space="preserve">END OF ROADMAP</w:t>
      </w:r>
    </w:p>
    <w:p>
      <w:pPr>
        <w:spacing w:after="40"/>
        <w:jc w:val="center"/>
      </w:pPr>
      <w:r>
        <w:rPr>
          <w:rFonts w:ascii="Arial" w:cs="Arial" w:eastAsia="Arial" w:hAnsi="Arial"/>
          <w:color w:val="999999"/>
          <w:sz w:val="18"/>
          <w:szCs w:val="18"/>
        </w:rPr>
        <w:t xml:space="preserve">D0 Engine v1.6 • Reflection Rank Formalization • Cold-Boot Ready</w:t>
      </w:r>
    </w:p>
    <w:p>
      <w:pPr>
        <w:spacing w:after="200"/>
        <w:jc w:val="center"/>
      </w:pPr>
      <w:r>
        <w:rPr>
          <w:rFonts w:ascii="Arial" w:cs="Arial" w:eastAsia="Arial" w:hAnsi="Arial"/>
          <w:i/>
          <w:iCs/>
          <w:color w:val="999999"/>
          <w:sz w:val="18"/>
          <w:szCs w:val="18"/>
        </w:rPr>
        <w:t xml:space="preserve">The vertical coordinate is tractable. The geometry is open. The engine is lit.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D0 v1.6 • Reflection Rank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60"/>
      <w:outlineLvl w:val="1"/>
    </w:pPr>
    <w:rPr>
      <w:rFonts w:ascii="Arial" w:cs="Arial" w:eastAsia="Arial" w:hAnsi="Arial"/>
      <w:b/>
      <w:bCs/>
      <w:color w:val="2B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2026-02-13T07:46:31.898Z</dcterms:created>
  <dcterms:modified xsi:type="dcterms:W3CDTF">2026-02-13T07:46:31.898Z</dcterms:modified>
</cp:coreProperties>
</file>

<file path=docProps/custom.xml><?xml version="1.0" encoding="utf-8"?>
<Properties xmlns="http://schemas.openxmlformats.org/officeDocument/2006/custom-properties" xmlns:vt="http://schemas.openxmlformats.org/officeDocument/2006/docPropsVTypes"/>
</file>