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THE IMAGE CODEX</w:t>
      </w:r>
    </w:p>
    <w:p>
      <w:pPr>
        <w:jc w:val="center"/>
      </w:pPr>
      <w:r>
        <w:rPr>
          <w:rFonts w:ascii="Aptos Display" w:hAnsi="Aptos Display"/>
          <w:b/>
          <w:sz w:val="26"/>
        </w:rPr>
        <w:t>ARCHITECTURAL DECISION RECORD</w:t>
      </w:r>
    </w:p>
    <w:p>
      <w:pPr>
        <w:jc w:val="center"/>
      </w:pPr>
      <w:r>
        <w:rPr>
          <w:rFonts w:ascii="Aptos Display" w:hAnsi="Aptos Display"/>
          <w:b/>
          <w:sz w:val="36"/>
        </w:rPr>
        <w:t>ADR-001</w:t>
      </w:r>
    </w:p>
    <w:p>
      <w:pPr>
        <w:jc w:val="center"/>
      </w:pPr>
      <w:r>
        <w:rPr>
          <w:rFonts w:ascii="Aptos Display" w:hAnsi="Aptos Display"/>
          <w:b/>
          <w:sz w:val="40"/>
        </w:rPr>
        <w:t>The Image Codex Is a Visual Language Standard</w:t>
      </w:r>
    </w:p>
    <w:p>
      <w:pPr>
        <w:jc w:val="center"/>
      </w:pPr>
      <w:r>
        <w:rPr>
          <w:i/>
          <w:sz w:val="22"/>
        </w:rPr>
        <w:t>Official Edition</w:t>
      </w:r>
    </w:p>
    <w:p/>
    <w:p>
      <w:pPr>
        <w:jc w:val="center"/>
      </w:pPr>
      <w:r>
        <w:rPr>
          <w:b/>
          <w:sz w:val="18"/>
        </w:rPr>
        <w:t>FOUNDATIONAL ARCHITECTURE  •  ACCEPTED  •  VERSION 1.0</w:t>
      </w:r>
    </w:p>
    <w:p>
      <w:r>
        <w:br w:type="page"/>
      </w:r>
    </w:p>
    <w:p>
      <w:pPr>
        <w:pStyle w:val="Heading1"/>
      </w:pPr>
      <w:r>
        <w:t>Metadata</w:t>
      </w:r>
    </w:p>
    <w:p>
      <w:pPr>
        <w:spacing w:after="40"/>
      </w:pPr>
      <w:r>
        <w:rPr>
          <w:b/>
        </w:rPr>
        <w:t xml:space="preserve">Document ID: </w:t>
      </w:r>
      <w:r>
        <w:t>IC-ADR-001</w:t>
      </w:r>
    </w:p>
    <w:p>
      <w:pPr>
        <w:spacing w:after="40"/>
      </w:pPr>
      <w:r>
        <w:rPr>
          <w:b/>
        </w:rPr>
        <w:t xml:space="preserve">Status: </w:t>
      </w:r>
      <w:r>
        <w:t>Accepted</w:t>
      </w:r>
    </w:p>
    <w:p>
      <w:pPr>
        <w:spacing w:after="40"/>
      </w:pPr>
      <w:r>
        <w:rPr>
          <w:b/>
        </w:rPr>
        <w:t xml:space="preserve">Version: </w:t>
      </w:r>
      <w:r>
        <w:t>1.0</w:t>
      </w:r>
    </w:p>
    <w:p>
      <w:pPr>
        <w:spacing w:after="40"/>
      </w:pPr>
      <w:r>
        <w:rPr>
          <w:b/>
        </w:rPr>
        <w:t xml:space="preserve">Priority: </w:t>
      </w:r>
      <w:r>
        <w:t>Foundational</w:t>
      </w:r>
    </w:p>
    <w:p>
      <w:pPr>
        <w:spacing w:after="40"/>
      </w:pPr>
      <w:r>
        <w:rPr>
          <w:b/>
        </w:rPr>
        <w:t xml:space="preserve">Category: </w:t>
      </w:r>
      <w:r>
        <w:t>Core Architecture</w:t>
      </w:r>
    </w:p>
    <w:p>
      <w:pPr>
        <w:spacing w:after="40"/>
      </w:pPr>
      <w:r>
        <w:rPr>
          <w:b/>
        </w:rPr>
        <w:t xml:space="preserve">Architectural Layer: </w:t>
      </w:r>
      <w:r>
        <w:t>Core Architecture</w:t>
      </w:r>
    </w:p>
    <w:p>
      <w:pPr>
        <w:spacing w:after="40"/>
      </w:pPr>
      <w:r>
        <w:rPr>
          <w:b/>
        </w:rPr>
        <w:t xml:space="preserve">Date: </w:t>
      </w:r>
      <w:r>
        <w:t>Project Genesis</w:t>
      </w:r>
    </w:p>
    <w:p>
      <w:pPr>
        <w:spacing w:after="40"/>
      </w:pPr>
      <w:r>
        <w:rPr>
          <w:b/>
        </w:rPr>
        <w:t xml:space="preserve">Authors: </w:t>
      </w:r>
      <w:r>
        <w:t>Creator, AI Architectural Collaboration</w:t>
      </w:r>
    </w:p>
    <w:p>
      <w:pPr>
        <w:spacing w:after="40"/>
      </w:pPr>
      <w:r>
        <w:rPr>
          <w:b/>
        </w:rPr>
        <w:t xml:space="preserve">Review Status: </w:t>
      </w:r>
      <w:r>
        <w:t>Accepted</w:t>
      </w:r>
    </w:p>
    <w:p>
      <w:pPr>
        <w:spacing w:after="40"/>
      </w:pPr>
      <w:r>
        <w:rPr>
          <w:b/>
        </w:rPr>
        <w:t xml:space="preserve">Supersedes: </w:t>
      </w:r>
      <w:r>
        <w:t>Original Prompt Book Concept</w:t>
      </w:r>
    </w:p>
    <w:p>
      <w:pPr>
        <w:spacing w:after="40"/>
      </w:pPr>
      <w:r>
        <w:rPr>
          <w:b/>
        </w:rPr>
        <w:t xml:space="preserve">Superseded By: </w:t>
      </w:r>
      <w:r>
        <w:t>None</w:t>
      </w:r>
    </w:p>
    <w:p>
      <w:pPr>
        <w:pStyle w:val="Heading1"/>
      </w:pPr>
      <w:r>
        <w:t>Related Documents</w:t>
      </w:r>
    </w:p>
    <w:p>
      <w:pPr>
        <w:pStyle w:val="ListBullet"/>
        <w:spacing w:after="40"/>
      </w:pPr>
      <w:r>
        <w:t>Image Codex Constitution</w:t>
      </w:r>
    </w:p>
    <w:p>
      <w:pPr>
        <w:pStyle w:val="ListBullet"/>
        <w:spacing w:after="40"/>
      </w:pPr>
      <w:r>
        <w:t>Project Brief 001</w:t>
      </w:r>
    </w:p>
    <w:p>
      <w:pPr>
        <w:pStyle w:val="ListBullet"/>
        <w:spacing w:after="40"/>
      </w:pPr>
      <w:r>
        <w:t>Image Codex Terminology Standard (ICTS)</w:t>
      </w:r>
    </w:p>
    <w:p>
      <w:pPr>
        <w:pStyle w:val="ListBullet"/>
        <w:spacing w:after="40"/>
      </w:pPr>
      <w:r>
        <w:t>Image Codex Language (ICL)</w:t>
      </w:r>
    </w:p>
    <w:p>
      <w:pPr>
        <w:pStyle w:val="ListBullet"/>
        <w:spacing w:after="40"/>
      </w:pPr>
      <w:r>
        <w:t>Image Codex Language Specification (ICLS)</w:t>
      </w:r>
    </w:p>
    <w:p>
      <w:pPr>
        <w:pStyle w:val="ListBullet"/>
        <w:spacing w:after="40"/>
      </w:pPr>
      <w:r>
        <w:t>Semantic Standard</w:t>
      </w:r>
    </w:p>
    <w:p>
      <w:pPr>
        <w:pStyle w:val="ListBullet"/>
        <w:spacing w:after="40"/>
      </w:pPr>
      <w:r>
        <w:t>Registry Standard</w:t>
      </w:r>
    </w:p>
    <w:p>
      <w:pPr>
        <w:pStyle w:val="ListBullet"/>
        <w:spacing w:after="40"/>
      </w:pPr>
      <w:r>
        <w:t>Interpretation &amp; Resolution Specification</w:t>
      </w:r>
    </w:p>
    <w:p>
      <w:pPr>
        <w:pStyle w:val="ListBullet"/>
        <w:spacing w:after="40"/>
      </w:pPr>
      <w:r>
        <w:t>AI Compatibility Specifications</w:t>
      </w:r>
    </w:p>
    <w:p>
      <w:pPr>
        <w:pStyle w:val="Heading1"/>
      </w:pPr>
      <w:r>
        <w:t>Context</w:t>
      </w:r>
    </w:p>
    <w:p>
      <w:pPr>
        <w:spacing w:after="100" w:line="259" w:lineRule="auto"/>
      </w:pPr>
      <w:r>
        <w:t>The Image Codex originated as an effort to improve communication with AI image generation systems through structured prompting.</w:t>
      </w:r>
    </w:p>
    <w:p>
      <w:pPr>
        <w:spacing w:after="100" w:line="259" w:lineRule="auto"/>
      </w:pPr>
      <w:r>
        <w:t>Early exploration focused on producing a comprehensive prompt guide capable of generating higher-quality visual results.</w:t>
      </w:r>
    </w:p>
    <w:p>
      <w:pPr>
        <w:spacing w:after="100" w:line="259" w:lineRule="auto"/>
      </w:pPr>
      <w:r>
        <w:t>As architectural development progressed, it became apparent that prompt engineering could not serve as a stable long-term foundation for visual communication.</w:t>
      </w:r>
    </w:p>
    <w:p>
      <w:pPr>
        <w:spacing w:after="100" w:line="259" w:lineRule="auto"/>
      </w:pPr>
      <w:r>
        <w:t>Prompt syntax changes as AI models evolve.</w:t>
      </w:r>
    </w:p>
    <w:p>
      <w:pPr>
        <w:spacing w:after="100" w:line="259" w:lineRule="auto"/>
      </w:pPr>
      <w:r>
        <w:t>Prompt engineering techniques differ between platforms.</w:t>
      </w:r>
    </w:p>
    <w:p>
      <w:pPr>
        <w:spacing w:after="100" w:line="259" w:lineRule="auto"/>
      </w:pPr>
      <w:r>
        <w:t>Prompt collections cannot be formally validated.</w:t>
      </w:r>
    </w:p>
    <w:p>
      <w:pPr>
        <w:spacing w:after="100" w:line="259" w:lineRule="auto"/>
      </w:pPr>
      <w:r>
        <w:t>Prompt libraries cannot provide implementation independence.</w:t>
      </w:r>
    </w:p>
    <w:p>
      <w:pPr>
        <w:spacing w:after="100" w:line="259" w:lineRule="auto"/>
      </w:pPr>
      <w:r>
        <w:t>Prompt engineering lacks standardized semantics and machine-readable structure.</w:t>
      </w:r>
    </w:p>
    <w:p>
      <w:pPr>
        <w:spacing w:after="100" w:line="259" w:lineRule="auto"/>
      </w:pPr>
      <w:r>
        <w:t>These limitations demonstrated that the project was attempting to solve a much larger problem than prompt optimization.</w:t>
      </w:r>
    </w:p>
    <w:p>
      <w:pPr>
        <w:spacing w:after="100" w:line="259" w:lineRule="auto"/>
      </w:pPr>
      <w:r>
        <w:t>The true objective was the creation of a universal language capable of expressing visual intent independently of any individual implementation.</w:t>
      </w:r>
    </w:p>
    <w:p>
      <w:pPr>
        <w:spacing w:after="100" w:line="259" w:lineRule="auto"/>
      </w:pPr>
      <w:r>
        <w:t>This realization fundamentally redirected the project.</w:t>
      </w:r>
    </w:p>
    <w:p>
      <w:pPr>
        <w:pStyle w:val="Heading1"/>
      </w:pPr>
      <w:r>
        <w:t>Motivation</w:t>
      </w:r>
    </w:p>
    <w:p>
      <w:pPr>
        <w:spacing w:after="100" w:line="259" w:lineRule="auto"/>
      </w:pPr>
      <w:r>
        <w:t>Humanity possesses standardized languages for documents, vector graphics, databases, typography, music, and color.</w:t>
      </w:r>
    </w:p>
    <w:p>
      <w:pPr>
        <w:spacing w:after="100" w:line="259" w:lineRule="auto"/>
      </w:pPr>
      <w:r>
        <w:t>No equivalent standard exists for communicating visual intent.</w:t>
      </w:r>
    </w:p>
    <w:p>
      <w:pPr>
        <w:spacing w:after="100" w:line="259" w:lineRule="auto"/>
      </w:pPr>
      <w:r>
        <w:t>Without such a standard, every implementation invents its own syntax, terminology, assumptions, and translation methods.</w:t>
      </w:r>
    </w:p>
    <w:p>
      <w:pPr>
        <w:spacing w:after="100" w:line="259" w:lineRule="auto"/>
      </w:pPr>
      <w:r>
        <w:t>This fragments interoperability, limits software tooling, and couples creative workflows to specific technologies.</w:t>
      </w:r>
    </w:p>
    <w:p>
      <w:pPr>
        <w:spacing w:after="100" w:line="259" w:lineRule="auto"/>
      </w:pPr>
      <w:r>
        <w:t>The Image Codex seeks to solve this problem by defining a vendor-neutral visual language that remains stable as implementations evolve.</w:t>
      </w:r>
    </w:p>
    <w:p>
      <w:pPr>
        <w:pStyle w:val="Heading1"/>
      </w:pPr>
      <w:r>
        <w:t>Decision</w:t>
      </w:r>
    </w:p>
    <w:p>
      <w:pPr>
        <w:spacing w:after="100" w:line="259" w:lineRule="auto"/>
      </w:pPr>
      <w:r>
        <w:t>The Image Codex is formally adopted as an independent visual language standard.</w:t>
      </w:r>
    </w:p>
    <w:p>
      <w:pPr>
        <w:spacing w:after="100" w:line="259" w:lineRule="auto"/>
      </w:pPr>
      <w:r>
        <w:t>The language exists independently of:</w:t>
      </w:r>
    </w:p>
    <w:p>
      <w:pPr>
        <w:pStyle w:val="ListBullet"/>
        <w:spacing w:after="40"/>
      </w:pPr>
      <w:r>
        <w:t>Educational books</w:t>
      </w:r>
    </w:p>
    <w:p>
      <w:pPr>
        <w:pStyle w:val="ListBullet"/>
        <w:spacing w:after="40"/>
      </w:pPr>
      <w:r>
        <w:t>Prompt collections</w:t>
      </w:r>
    </w:p>
    <w:p>
      <w:pPr>
        <w:pStyle w:val="ListBullet"/>
        <w:spacing w:after="40"/>
      </w:pPr>
      <w:r>
        <w:t>AI models</w:t>
      </w:r>
    </w:p>
    <w:p>
      <w:pPr>
        <w:pStyle w:val="ListBullet"/>
        <w:spacing w:after="40"/>
      </w:pPr>
      <w:r>
        <w:t>Software platforms</w:t>
      </w:r>
    </w:p>
    <w:p>
      <w:pPr>
        <w:pStyle w:val="ListBullet"/>
        <w:spacing w:after="40"/>
      </w:pPr>
      <w:r>
        <w:t>Rendering engines</w:t>
      </w:r>
    </w:p>
    <w:p>
      <w:pPr>
        <w:pStyle w:val="ListBullet"/>
        <w:spacing w:after="40"/>
      </w:pPr>
      <w:r>
        <w:t>Programming languages</w:t>
      </w:r>
    </w:p>
    <w:p>
      <w:pPr>
        <w:pStyle w:val="ListBullet"/>
        <w:spacing w:after="40"/>
      </w:pPr>
      <w:r>
        <w:t>Creative applications</w:t>
      </w:r>
    </w:p>
    <w:p>
      <w:pPr>
        <w:pStyle w:val="ListBullet"/>
        <w:spacing w:after="40"/>
      </w:pPr>
      <w:r>
        <w:t>Individual companies</w:t>
      </w:r>
    </w:p>
    <w:p>
      <w:pPr>
        <w:spacing w:after="100" w:line="259" w:lineRule="auto"/>
      </w:pPr>
      <w:r>
        <w:t>Educational resources may teach the language.</w:t>
      </w:r>
    </w:p>
    <w:p>
      <w:pPr>
        <w:spacing w:after="100" w:line="259" w:lineRule="auto"/>
      </w:pPr>
      <w:r>
        <w:t>Software implementations may interpret the language.</w:t>
      </w:r>
    </w:p>
    <w:p>
      <w:pPr>
        <w:spacing w:after="100" w:line="259" w:lineRule="auto"/>
      </w:pPr>
      <w:r>
        <w:t>Artificial intelligence systems may translate the language.</w:t>
      </w:r>
    </w:p>
    <w:p>
      <w:pPr>
        <w:spacing w:after="100" w:line="259" w:lineRule="auto"/>
      </w:pPr>
      <w:r>
        <w:t>None of these define the language.</w:t>
      </w:r>
    </w:p>
    <w:p>
      <w:pPr>
        <w:spacing w:after="100" w:line="259" w:lineRule="auto"/>
      </w:pPr>
      <w:r>
        <w:t>Only the official Image Codex specifications are normative.</w:t>
      </w:r>
    </w:p>
    <w:p>
      <w:pPr>
        <w:pStyle w:val="Heading1"/>
      </w:pPr>
      <w:r>
        <w:t>Decision Drivers</w:t>
      </w:r>
    </w:p>
    <w:p>
      <w:pPr>
        <w:spacing w:after="100" w:line="259" w:lineRule="auto"/>
      </w:pPr>
      <w:r>
        <w:t>This decision is driven by the following architectural objectives:</w:t>
      </w:r>
    </w:p>
    <w:p>
      <w:pPr>
        <w:pStyle w:val="ListBullet"/>
        <w:spacing w:after="40"/>
      </w:pPr>
      <w:r>
        <w:t>Long-term stability</w:t>
      </w:r>
    </w:p>
    <w:p>
      <w:pPr>
        <w:pStyle w:val="ListBullet"/>
        <w:spacing w:after="40"/>
      </w:pPr>
      <w:r>
        <w:t>Platform independence</w:t>
      </w:r>
    </w:p>
    <w:p>
      <w:pPr>
        <w:pStyle w:val="ListBullet"/>
        <w:spacing w:after="40"/>
      </w:pPr>
      <w:r>
        <w:t>Machine readability</w:t>
      </w:r>
    </w:p>
    <w:p>
      <w:pPr>
        <w:pStyle w:val="ListBullet"/>
        <w:spacing w:after="40"/>
      </w:pPr>
      <w:r>
        <w:t>Interoperability</w:t>
      </w:r>
    </w:p>
    <w:p>
      <w:pPr>
        <w:pStyle w:val="ListBullet"/>
        <w:spacing w:after="40"/>
      </w:pPr>
      <w:r>
        <w:t>Formal specification</w:t>
      </w:r>
    </w:p>
    <w:p>
      <w:pPr>
        <w:pStyle w:val="ListBullet"/>
        <w:spacing w:after="40"/>
      </w:pPr>
      <w:r>
        <w:t>Extensibility</w:t>
      </w:r>
    </w:p>
    <w:p>
      <w:pPr>
        <w:pStyle w:val="ListBullet"/>
        <w:spacing w:after="40"/>
      </w:pPr>
      <w:r>
        <w:t>Backward compatibility</w:t>
      </w:r>
    </w:p>
    <w:p>
      <w:pPr>
        <w:pStyle w:val="ListBullet"/>
        <w:spacing w:after="40"/>
      </w:pPr>
      <w:r>
        <w:t>Software implementation</w:t>
      </w:r>
    </w:p>
    <w:p>
      <w:pPr>
        <w:pStyle w:val="ListBullet"/>
        <w:spacing w:after="40"/>
      </w:pPr>
      <w:r>
        <w:t>Future-proof architecture</w:t>
      </w:r>
    </w:p>
    <w:p>
      <w:pPr>
        <w:pStyle w:val="ListBullet"/>
        <w:spacing w:after="40"/>
      </w:pPr>
      <w:r>
        <w:t>Elimination of implementation-specific dependencies</w:t>
      </w:r>
    </w:p>
    <w:p>
      <w:pPr>
        <w:pStyle w:val="Heading1"/>
      </w:pPr>
      <w:r>
        <w:t>Architectural Impact</w:t>
      </w:r>
    </w:p>
    <w:p>
      <w:pPr>
        <w:spacing w:after="100" w:line="259" w:lineRule="auto"/>
      </w:pPr>
      <w:r>
        <w:t>This decision establishes the foundation for every subsequent architectural component of The Image Codex ecosystem.</w:t>
      </w:r>
    </w:p>
    <w:p>
      <w:pPr>
        <w:spacing w:after="100" w:line="259" w:lineRule="auto"/>
      </w:pPr>
      <w:r>
        <w:t>It directly enables the creation of:</w:t>
      </w:r>
    </w:p>
    <w:p>
      <w:pPr>
        <w:pStyle w:val="ListBullet"/>
        <w:spacing w:after="40"/>
      </w:pPr>
      <w:r>
        <w:t>The Image Codex Constitution</w:t>
      </w:r>
    </w:p>
    <w:p>
      <w:pPr>
        <w:pStyle w:val="ListBullet"/>
        <w:spacing w:after="40"/>
      </w:pPr>
      <w:r>
        <w:t>Layered Architecture</w:t>
      </w:r>
    </w:p>
    <w:p>
      <w:pPr>
        <w:pStyle w:val="ListBullet"/>
        <w:spacing w:after="40"/>
      </w:pPr>
      <w:r>
        <w:t>Terminology Standard</w:t>
      </w:r>
    </w:p>
    <w:p>
      <w:pPr>
        <w:pStyle w:val="ListBullet"/>
        <w:spacing w:after="40"/>
      </w:pPr>
      <w:r>
        <w:t>Image Codex Language</w:t>
      </w:r>
    </w:p>
    <w:p>
      <w:pPr>
        <w:pStyle w:val="ListBullet"/>
        <w:spacing w:after="40"/>
      </w:pPr>
      <w:r>
        <w:t>Image Codex Language Specification</w:t>
      </w:r>
    </w:p>
    <w:p>
      <w:pPr>
        <w:pStyle w:val="ListBullet"/>
        <w:spacing w:after="40"/>
      </w:pPr>
      <w:r>
        <w:t>Semantic Standard</w:t>
      </w:r>
    </w:p>
    <w:p>
      <w:pPr>
        <w:pStyle w:val="ListBullet"/>
        <w:spacing w:after="40"/>
      </w:pPr>
      <w:r>
        <w:t>Registry Standard</w:t>
      </w:r>
    </w:p>
    <w:p>
      <w:pPr>
        <w:pStyle w:val="ListBullet"/>
        <w:spacing w:after="40"/>
      </w:pPr>
      <w:r>
        <w:t>Interpretation &amp; Resolution Specification</w:t>
      </w:r>
    </w:p>
    <w:p>
      <w:pPr>
        <w:pStyle w:val="ListBullet"/>
        <w:spacing w:after="40"/>
      </w:pPr>
      <w:r>
        <w:t>Codex Brain</w:t>
      </w:r>
    </w:p>
    <w:p>
      <w:pPr>
        <w:pStyle w:val="ListBullet"/>
        <w:spacing w:after="40"/>
      </w:pPr>
      <w:r>
        <w:t>AI Compatibility Specifications</w:t>
      </w:r>
    </w:p>
    <w:p>
      <w:pPr>
        <w:pStyle w:val="ListBullet"/>
        <w:spacing w:after="40"/>
      </w:pPr>
      <w:r>
        <w:t>Official Registry</w:t>
      </w:r>
    </w:p>
    <w:p>
      <w:pPr>
        <w:pStyle w:val="ListBullet"/>
        <w:spacing w:after="40"/>
      </w:pPr>
      <w:r>
        <w:t>User Registry</w:t>
      </w:r>
    </w:p>
    <w:p>
      <w:pPr>
        <w:pStyle w:val="ListBullet"/>
        <w:spacing w:after="40"/>
      </w:pPr>
      <w:r>
        <w:t>Educational Publications</w:t>
      </w:r>
    </w:p>
    <w:p>
      <w:pPr>
        <w:spacing w:after="100" w:line="259" w:lineRule="auto"/>
      </w:pPr>
      <w:r>
        <w:t>Without this decision, the remaining standards would collapse into implementation-specific documentation rather than forming an independent language ecosystem.</w:t>
      </w:r>
    </w:p>
    <w:p>
      <w:pPr>
        <w:pStyle w:val="Heading1"/>
      </w:pPr>
      <w:r>
        <w:t>Alternatives Considered</w:t>
      </w:r>
    </w:p>
    <w:p>
      <w:pPr>
        <w:pStyle w:val="Heading2"/>
      </w:pPr>
      <w:r>
        <w:t>Alternative A</w:t>
      </w:r>
    </w:p>
    <w:p>
      <w:pPr>
        <w:spacing w:after="100" w:line="259" w:lineRule="auto"/>
      </w:pPr>
      <w:r>
        <w:t>Continue developing The Image Codex as a prompt engineering guide.</w:t>
      </w:r>
    </w:p>
    <w:p>
      <w:pPr>
        <w:spacing w:after="100" w:line="259" w:lineRule="auto"/>
      </w:pPr>
      <w:r>
        <w:t>Rejected.</w:t>
      </w:r>
    </w:p>
    <w:p>
      <w:pPr>
        <w:spacing w:after="100" w:line="259" w:lineRule="auto"/>
      </w:pPr>
      <w:r>
        <w:t>Reason:</w:t>
      </w:r>
    </w:p>
    <w:p>
      <w:pPr>
        <w:spacing w:after="100" w:line="259" w:lineRule="auto"/>
      </w:pPr>
      <w:r>
        <w:t>Prompt engineering is implementation-dependent and cannot provide a stable architectural foundation.</w:t>
      </w:r>
    </w:p>
    <w:p>
      <w:pPr>
        <w:pStyle w:val="Heading2"/>
      </w:pPr>
      <w:r>
        <w:t>Alternative B</w:t>
      </w:r>
    </w:p>
    <w:p>
      <w:pPr>
        <w:spacing w:after="100" w:line="259" w:lineRule="auto"/>
      </w:pPr>
      <w:r>
        <w:t>Develop an AI-specific framework.</w:t>
      </w:r>
    </w:p>
    <w:p>
      <w:pPr>
        <w:spacing w:after="100" w:line="259" w:lineRule="auto"/>
      </w:pPr>
      <w:r>
        <w:t>Rejected.</w:t>
      </w:r>
    </w:p>
    <w:p>
      <w:pPr>
        <w:spacing w:after="100" w:line="259" w:lineRule="auto"/>
      </w:pPr>
      <w:r>
        <w:t>Reason:</w:t>
      </w:r>
    </w:p>
    <w:p>
      <w:pPr>
        <w:spacing w:after="100" w:line="259" w:lineRule="auto"/>
      </w:pPr>
      <w:r>
        <w:t>Tying the language to a single vendor or model would prevent long-term interoperability and future compatibility.</w:t>
      </w:r>
    </w:p>
    <w:p>
      <w:pPr>
        <w:pStyle w:val="Heading2"/>
      </w:pPr>
      <w:r>
        <w:t>Alternative C</w:t>
      </w:r>
    </w:p>
    <w:p>
      <w:pPr>
        <w:spacing w:after="100" w:line="259" w:lineRule="auto"/>
      </w:pPr>
      <w:r>
        <w:t>Develop only documentation and educational material.</w:t>
      </w:r>
    </w:p>
    <w:p>
      <w:pPr>
        <w:spacing w:after="100" w:line="259" w:lineRule="auto"/>
      </w:pPr>
      <w:r>
        <w:t>Rejected.</w:t>
      </w:r>
    </w:p>
    <w:p>
      <w:pPr>
        <w:spacing w:after="100" w:line="259" w:lineRule="auto"/>
      </w:pPr>
      <w:r>
        <w:t>Reason:</w:t>
      </w:r>
    </w:p>
    <w:p>
      <w:pPr>
        <w:spacing w:after="100" w:line="259" w:lineRule="auto"/>
      </w:pPr>
      <w:r>
        <w:t>Documentation explains systems.</w:t>
      </w:r>
    </w:p>
    <w:p>
      <w:pPr>
        <w:spacing w:after="100" w:line="259" w:lineRule="auto"/>
      </w:pPr>
      <w:r>
        <w:t>It does not define them.</w:t>
      </w:r>
    </w:p>
    <w:p>
      <w:pPr>
        <w:pStyle w:val="Heading1"/>
      </w:pPr>
      <w:r>
        <w:t>Consequences</w:t>
      </w:r>
    </w:p>
    <w:p>
      <w:pPr>
        <w:spacing w:after="100" w:line="259" w:lineRule="auto"/>
      </w:pPr>
      <w:r>
        <w:t>The Image Codex shall no longer be developed as:</w:t>
      </w:r>
    </w:p>
    <w:p>
      <w:pPr>
        <w:pStyle w:val="ListBullet"/>
        <w:spacing w:after="40"/>
      </w:pPr>
      <w:r>
        <w:t>a prompt collection</w:t>
      </w:r>
    </w:p>
    <w:p>
      <w:pPr>
        <w:pStyle w:val="ListBullet"/>
        <w:spacing w:after="40"/>
      </w:pPr>
      <w:r>
        <w:t>an AI guide</w:t>
      </w:r>
    </w:p>
    <w:p>
      <w:pPr>
        <w:pStyle w:val="ListBullet"/>
        <w:spacing w:after="40"/>
      </w:pPr>
      <w:r>
        <w:t>a platform manual</w:t>
      </w:r>
    </w:p>
    <w:p>
      <w:pPr>
        <w:pStyle w:val="ListBullet"/>
        <w:spacing w:after="40"/>
      </w:pPr>
      <w:r>
        <w:t>implementation documentation</w:t>
      </w:r>
    </w:p>
    <w:p>
      <w:pPr>
        <w:spacing w:after="100" w:line="259" w:lineRule="auto"/>
      </w:pPr>
      <w:r>
        <w:t>Instead, all future work shall strengthen the language itself.</w:t>
      </w:r>
    </w:p>
    <w:p>
      <w:pPr>
        <w:spacing w:after="100" w:line="259" w:lineRule="auto"/>
      </w:pPr>
      <w:r>
        <w:t>Educational materials become implementations of the standard.</w:t>
      </w:r>
    </w:p>
    <w:p>
      <w:pPr>
        <w:spacing w:after="100" w:line="259" w:lineRule="auto"/>
      </w:pPr>
      <w:r>
        <w:t>Prompts become one possible translation of the language.</w:t>
      </w:r>
    </w:p>
    <w:p>
      <w:pPr>
        <w:spacing w:after="100" w:line="259" w:lineRule="auto"/>
      </w:pPr>
      <w:r>
        <w:t>Implementations become consumers of the language rather than its definition.</w:t>
      </w:r>
    </w:p>
    <w:p>
      <w:pPr>
        <w:spacing w:after="100" w:line="259" w:lineRule="auto"/>
      </w:pPr>
      <w:r>
        <w:t>Future proposals shall be evaluated according to the following question:</w:t>
      </w:r>
    </w:p>
    <w:p>
      <w:pPr>
        <w:spacing w:before="120" w:after="120"/>
        <w:jc w:val="center"/>
      </w:pPr>
      <w:r>
        <w:rPr>
          <w:b/>
          <w:i/>
        </w:rPr>
        <w:t>“Does this decision strengthen the Image Codex as an independent visual language standard?”</w:t>
      </w:r>
    </w:p>
    <w:p>
      <w:pPr>
        <w:spacing w:after="100" w:line="259" w:lineRule="auto"/>
      </w:pPr>
      <w:r>
        <w:t>If the answer is no, the proposal should be reconsidered.</w:t>
      </w:r>
    </w:p>
    <w:p>
      <w:pPr>
        <w:pStyle w:val="Heading1"/>
      </w:pPr>
      <w:r>
        <w:t>Risks</w:t>
      </w:r>
    </w:p>
    <w:p>
      <w:pPr>
        <w:spacing w:after="100" w:line="259" w:lineRule="auto"/>
      </w:pPr>
      <w:r>
        <w:t>Adopting a language-first architecture introduces several challenges.</w:t>
      </w:r>
    </w:p>
    <w:p>
      <w:pPr>
        <w:spacing w:after="100" w:line="259" w:lineRule="auto"/>
      </w:pPr>
      <w:r>
        <w:t>These include:</w:t>
      </w:r>
    </w:p>
    <w:p>
      <w:pPr>
        <w:pStyle w:val="ListBullet"/>
        <w:spacing w:after="40"/>
      </w:pPr>
      <w:r>
        <w:t>Increased initial design complexity</w:t>
      </w:r>
    </w:p>
    <w:p>
      <w:pPr>
        <w:pStyle w:val="ListBullet"/>
        <w:spacing w:after="40"/>
      </w:pPr>
      <w:r>
        <w:t>Longer architectural planning</w:t>
      </w:r>
    </w:p>
    <w:p>
      <w:pPr>
        <w:pStyle w:val="ListBullet"/>
        <w:spacing w:after="40"/>
      </w:pPr>
      <w:r>
        <w:t>Additional specifications</w:t>
      </w:r>
    </w:p>
    <w:p>
      <w:pPr>
        <w:pStyle w:val="ListBullet"/>
        <w:spacing w:after="40"/>
      </w:pPr>
      <w:r>
        <w:t>Higher documentation requirements</w:t>
      </w:r>
    </w:p>
    <w:p>
      <w:pPr>
        <w:pStyle w:val="ListBullet"/>
        <w:spacing w:after="40"/>
      </w:pPr>
      <w:r>
        <w:t>Greater governance responsibility</w:t>
      </w:r>
    </w:p>
    <w:p>
      <w:pPr>
        <w:spacing w:after="100" w:line="259" w:lineRule="auto"/>
      </w:pPr>
      <w:r>
        <w:t>These costs are accepted because they significantly improve long-term maintainability.</w:t>
      </w:r>
    </w:p>
    <w:p>
      <w:pPr>
        <w:pStyle w:val="Heading1"/>
      </w:pPr>
      <w:r>
        <w:t>Mitigations</w:t>
      </w:r>
    </w:p>
    <w:p>
      <w:pPr>
        <w:spacing w:after="100" w:line="259" w:lineRule="auto"/>
      </w:pPr>
      <w:r>
        <w:t>The identified risks are addressed through:</w:t>
      </w:r>
    </w:p>
    <w:p>
      <w:pPr>
        <w:pStyle w:val="ListBullet"/>
        <w:spacing w:after="40"/>
      </w:pPr>
      <w:r>
        <w:t>Layered architecture</w:t>
      </w:r>
    </w:p>
    <w:p>
      <w:pPr>
        <w:pStyle w:val="ListBullet"/>
        <w:spacing w:after="40"/>
      </w:pPr>
      <w:r>
        <w:t>Constitutional governance</w:t>
      </w:r>
    </w:p>
    <w:p>
      <w:pPr>
        <w:pStyle w:val="ListBullet"/>
        <w:spacing w:after="40"/>
      </w:pPr>
      <w:r>
        <w:t>Independent specifications</w:t>
      </w:r>
    </w:p>
    <w:p>
      <w:pPr>
        <w:pStyle w:val="ListBullet"/>
        <w:spacing w:after="40"/>
      </w:pPr>
      <w:r>
        <w:t>Formal terminology</w:t>
      </w:r>
    </w:p>
    <w:p>
      <w:pPr>
        <w:pStyle w:val="ListBullet"/>
        <w:spacing w:after="40"/>
      </w:pPr>
      <w:r>
        <w:t>Modular standards</w:t>
      </w:r>
    </w:p>
    <w:p>
      <w:pPr>
        <w:pStyle w:val="ListBullet"/>
        <w:spacing w:after="40"/>
      </w:pPr>
      <w:r>
        <w:t>Versioned registries</w:t>
      </w:r>
    </w:p>
    <w:p>
      <w:pPr>
        <w:pStyle w:val="ListBullet"/>
        <w:spacing w:after="40"/>
      </w:pPr>
      <w:r>
        <w:t>Structured documentation</w:t>
      </w:r>
    </w:p>
    <w:p>
      <w:pPr>
        <w:pStyle w:val="ListBullet"/>
        <w:spacing w:after="40"/>
      </w:pPr>
      <w:r>
        <w:t>Future implementation guidance</w:t>
      </w:r>
    </w:p>
    <w:p>
      <w:pPr>
        <w:pStyle w:val="Heading1"/>
      </w:pPr>
      <w:r>
        <w:t>Success Criteria</w:t>
      </w:r>
    </w:p>
    <w:p>
      <w:pPr>
        <w:spacing w:after="100" w:line="259" w:lineRule="auto"/>
      </w:pPr>
      <w:r>
        <w:t>This decision shall be considered successful when:</w:t>
      </w:r>
    </w:p>
    <w:p>
      <w:pPr>
        <w:pStyle w:val="ListBullet"/>
        <w:spacing w:after="40"/>
      </w:pPr>
      <w:r>
        <w:t>The Image Codex is recognized as a visual language rather than a prompt collection.</w:t>
      </w:r>
    </w:p>
    <w:p>
      <w:pPr>
        <w:pStyle w:val="ListBullet"/>
        <w:spacing w:after="40"/>
      </w:pPr>
      <w:r>
        <w:t>Independent software teams can implement the language without relying on undocumented assumptions.</w:t>
      </w:r>
    </w:p>
    <w:p>
      <w:pPr>
        <w:pStyle w:val="ListBullet"/>
        <w:spacing w:after="40"/>
      </w:pPr>
      <w:r>
        <w:t>Educational publications remain separate from normative specifications.</w:t>
      </w:r>
    </w:p>
    <w:p>
      <w:pPr>
        <w:pStyle w:val="ListBullet"/>
        <w:spacing w:after="40"/>
      </w:pPr>
      <w:r>
        <w:t>New implementations can adopt the language without modifying its core architecture.</w:t>
      </w:r>
    </w:p>
    <w:p>
      <w:pPr>
        <w:pStyle w:val="ListBullet"/>
        <w:spacing w:after="40"/>
      </w:pPr>
      <w:r>
        <w:t>Future technologies can support the language through published standards alone.</w:t>
      </w:r>
    </w:p>
    <w:p>
      <w:pPr>
        <w:pStyle w:val="Heading1"/>
      </w:pPr>
      <w:r>
        <w:t>Compliance Requirements</w:t>
      </w:r>
    </w:p>
    <w:p>
      <w:pPr>
        <w:spacing w:after="100" w:line="259" w:lineRule="auto"/>
      </w:pPr>
      <w:r>
        <w:t>All future Image Codex specifications shall conform to the architectural decision established by this ADR.</w:t>
      </w:r>
    </w:p>
    <w:p>
      <w:pPr>
        <w:spacing w:after="100" w:line="259" w:lineRule="auto"/>
      </w:pPr>
      <w:r>
        <w:t>Specifications or implementations that redefine the Image Codex as an implementation-specific prompt system, vendor-specific framework, or educational publication require either:</w:t>
      </w:r>
    </w:p>
    <w:p>
      <w:pPr>
        <w:pStyle w:val="ListBullet"/>
        <w:spacing w:after="40"/>
      </w:pPr>
      <w:r>
        <w:t>a superseding Architectural Decision Record, or</w:t>
      </w:r>
    </w:p>
    <w:p>
      <w:pPr>
        <w:pStyle w:val="ListBullet"/>
        <w:spacing w:after="40"/>
      </w:pPr>
      <w:r>
        <w:t>a formal amendment to this ADR.</w:t>
      </w:r>
    </w:p>
    <w:p>
      <w:pPr>
        <w:spacing w:after="100" w:line="259" w:lineRule="auto"/>
      </w:pPr>
      <w:r>
        <w:t>No specification may silently contradict the language-first, implementation-independent architecture established here.</w:t>
      </w:r>
    </w:p>
    <w:p>
      <w:pPr>
        <w:pStyle w:val="Heading1"/>
      </w:pPr>
      <w:r>
        <w:t>Design Principle</w:t>
      </w:r>
    </w:p>
    <w:p>
      <w:pPr>
        <w:spacing w:after="100" w:line="259" w:lineRule="auto"/>
      </w:pPr>
      <w:r>
        <w:t>Visual intent shall be represented through a standardized language rather than implementation-specific prompts.</w:t>
      </w:r>
    </w:p>
    <w:p>
      <w:pPr>
        <w:spacing w:after="100" w:line="259" w:lineRule="auto"/>
      </w:pPr>
      <w:r>
        <w:t>The language is permanent.</w:t>
      </w:r>
    </w:p>
    <w:p>
      <w:pPr>
        <w:spacing w:after="100" w:line="259" w:lineRule="auto"/>
      </w:pPr>
      <w:r>
        <w:t>Implementations evolve.</w:t>
      </w:r>
    </w:p>
    <w:p>
      <w:pPr>
        <w:pStyle w:val="Heading1"/>
      </w:pPr>
      <w:r>
        <w:t>Long-Term Vision</w:t>
      </w:r>
    </w:p>
    <w:p>
      <w:pPr>
        <w:spacing w:after="100" w:line="259" w:lineRule="auto"/>
      </w:pPr>
      <w:r>
        <w:t>The long-term objective of The Image Codex is to become the universal standard for communicating visual intent across humans, artificial intelligence systems, creative software, design tools, educational resources, and future technologies.</w:t>
      </w:r>
    </w:p>
    <w:p>
      <w:pPr>
        <w:spacing w:after="100" w:line="259" w:lineRule="auto"/>
      </w:pPr>
      <w:r>
        <w:t>Just as HTML standardized document structure, SVG standardized vector graphics, SQL standardized data queries, MIDI standardized digital music, Unicode standardized character encoding, and the Pantone Color System standardized color communication, The Image Codex seeks to standardize visual communication itself.</w:t>
      </w:r>
    </w:p>
    <w:p>
      <w:pPr>
        <w:spacing w:after="100" w:line="259" w:lineRule="auto"/>
      </w:pPr>
      <w:r>
        <w:t>The language shall remain implementation-independent, extensible, and governed through published specifications capable of supporting technologies that do not yet exist.</w:t>
      </w:r>
    </w:p>
    <w:p>
      <w:pPr>
        <w:pStyle w:val="Heading1"/>
      </w:pPr>
      <w:r>
        <w:t>Architectural Principle</w:t>
      </w:r>
    </w:p>
    <w:p>
      <w:pPr>
        <w:spacing w:after="100" w:line="259" w:lineRule="auto"/>
        <w:jc w:val="center"/>
      </w:pPr>
      <w:r>
        <w:rPr>
          <w:b/>
        </w:rPr>
        <w:t>The Image Codex is a visual language standard.</w:t>
      </w:r>
    </w:p>
    <w:p>
      <w:pPr>
        <w:spacing w:after="100" w:line="259" w:lineRule="auto"/>
        <w:jc w:val="center"/>
      </w:pPr>
      <w:r>
        <w:rPr>
          <w:b/>
        </w:rPr>
        <w:t>Books teach it.</w:t>
      </w:r>
    </w:p>
    <w:p>
      <w:pPr>
        <w:spacing w:after="100" w:line="259" w:lineRule="auto"/>
        <w:jc w:val="center"/>
      </w:pPr>
      <w:r>
        <w:rPr>
          <w:b/>
        </w:rPr>
        <w:t>Software implements it.</w:t>
      </w:r>
    </w:p>
    <w:p>
      <w:pPr>
        <w:spacing w:after="100" w:line="259" w:lineRule="auto"/>
        <w:jc w:val="center"/>
      </w:pPr>
      <w:r>
        <w:rPr>
          <w:b/>
        </w:rPr>
        <w:t>Artificial intelligence interprets it.</w:t>
      </w:r>
    </w:p>
    <w:p>
      <w:pPr>
        <w:spacing w:after="100" w:line="259" w:lineRule="auto"/>
        <w:jc w:val="center"/>
      </w:pPr>
      <w:r>
        <w:rPr>
          <w:b/>
        </w:rPr>
        <w:t>The official specifications define it.</w:t>
      </w:r>
    </w:p>
    <w:p>
      <w:pPr>
        <w:pStyle w:val="Heading1"/>
      </w:pPr>
      <w:r>
        <w:t>Approval</w:t>
      </w:r>
    </w:p>
    <w:p>
      <w:pPr>
        <w:spacing w:after="100" w:line="259" w:lineRule="auto"/>
      </w:pPr>
      <w:r>
        <w:t>This Architectural Decision is accepted as one of the five foundational architectural pillars of the Image Codex ecosystem.</w:t>
      </w:r>
    </w:p>
    <w:p>
      <w:pPr>
        <w:spacing w:after="100" w:line="259" w:lineRule="auto"/>
      </w:pPr>
      <w:r>
        <w:t>The language-first, implementation-independent architecture established by this ADR shall govern all future standards, specifications, implementations, and educational materials within the ecosystem.</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sz w:val="16"/>
      </w:rPr>
      <w:t>THE IMAGE CODEX  |  IC-ADR-001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