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THE IMAGE CODEX</w:t>
      </w:r>
    </w:p>
    <w:p>
      <w:pPr>
        <w:jc w:val="center"/>
      </w:pPr>
      <w:r>
        <w:rPr>
          <w:rFonts w:ascii="Aptos Display" w:hAnsi="Aptos Display"/>
          <w:b/>
          <w:sz w:val="26"/>
        </w:rPr>
        <w:t>ARCHITECTURAL DECISION RECORD</w:t>
      </w:r>
    </w:p>
    <w:p>
      <w:pPr>
        <w:jc w:val="center"/>
      </w:pPr>
      <w:r>
        <w:rPr>
          <w:rFonts w:ascii="Aptos Display" w:hAnsi="Aptos Display"/>
          <w:b/>
          <w:sz w:val="36"/>
        </w:rPr>
        <w:t>ADR-002</w:t>
      </w:r>
    </w:p>
    <w:p>
      <w:pPr>
        <w:jc w:val="center"/>
      </w:pPr>
      <w:r>
        <w:rPr>
          <w:rFonts w:ascii="Aptos Display" w:hAnsi="Aptos Display"/>
          <w:b/>
          <w:sz w:val="40"/>
        </w:rPr>
        <w:t>Adoption of a Layered Standards Architecture</w:t>
      </w:r>
    </w:p>
    <w:p>
      <w:pPr>
        <w:jc w:val="center"/>
      </w:pPr>
      <w:r>
        <w:rPr>
          <w:i/>
          <w:sz w:val="22"/>
        </w:rPr>
        <w:t>Official Edition</w:t>
      </w:r>
    </w:p>
    <w:p/>
    <w:p>
      <w:pPr>
        <w:jc w:val="center"/>
      </w:pPr>
      <w:r>
        <w:rPr>
          <w:b/>
          <w:sz w:val="18"/>
        </w:rPr>
        <w:t>FOUNDATIONAL ARCHITECTURE  •  ACCEPTED  •  VERSION 1.0</w:t>
      </w:r>
    </w:p>
    <w:p>
      <w:r>
        <w:br w:type="page"/>
      </w:r>
    </w:p>
    <w:p>
      <w:pPr>
        <w:pStyle w:val="Heading1"/>
      </w:pPr>
      <w:r>
        <w:t>Metadata</w:t>
      </w:r>
    </w:p>
    <w:p>
      <w:pPr>
        <w:spacing w:after="40"/>
      </w:pPr>
      <w:r>
        <w:rPr>
          <w:b/>
        </w:rPr>
        <w:t xml:space="preserve">Document ID: </w:t>
      </w:r>
      <w:r>
        <w:t>IC-ADR-002</w:t>
      </w:r>
    </w:p>
    <w:p>
      <w:pPr>
        <w:spacing w:after="40"/>
      </w:pPr>
      <w:r>
        <w:rPr>
          <w:b/>
        </w:rPr>
        <w:t xml:space="preserve">Status: </w:t>
      </w:r>
      <w:r>
        <w:t>Accepted</w:t>
      </w:r>
    </w:p>
    <w:p>
      <w:pPr>
        <w:spacing w:after="40"/>
      </w:pPr>
      <w:r>
        <w:rPr>
          <w:b/>
        </w:rPr>
        <w:t xml:space="preserve">Version: </w:t>
      </w:r>
      <w:r>
        <w:t>1.0</w:t>
      </w:r>
    </w:p>
    <w:p>
      <w:pPr>
        <w:spacing w:after="40"/>
      </w:pPr>
      <w:r>
        <w:rPr>
          <w:b/>
        </w:rPr>
        <w:t xml:space="preserve">Priority: </w:t>
      </w:r>
      <w:r>
        <w:t>Foundational</w:t>
      </w:r>
    </w:p>
    <w:p>
      <w:pPr>
        <w:spacing w:after="40"/>
      </w:pPr>
      <w:r>
        <w:rPr>
          <w:b/>
        </w:rPr>
        <w:t xml:space="preserve">Category: </w:t>
      </w:r>
      <w:r>
        <w:t>Ecosystem Architecture</w:t>
      </w:r>
    </w:p>
    <w:p>
      <w:pPr>
        <w:spacing w:after="40"/>
      </w:pPr>
      <w:r>
        <w:rPr>
          <w:b/>
        </w:rPr>
        <w:t xml:space="preserve">Architectural Layer: </w:t>
      </w:r>
      <w:r>
        <w:t>Architecture</w:t>
      </w:r>
    </w:p>
    <w:p>
      <w:pPr>
        <w:spacing w:after="40"/>
      </w:pPr>
      <w:r>
        <w:rPr>
          <w:b/>
        </w:rPr>
        <w:t xml:space="preserve">Date: </w:t>
      </w:r>
      <w:r>
        <w:t>Project Genesis</w:t>
      </w:r>
    </w:p>
    <w:p>
      <w:pPr>
        <w:spacing w:after="40"/>
      </w:pPr>
      <w:r>
        <w:rPr>
          <w:b/>
        </w:rPr>
        <w:t xml:space="preserve">Authors: </w:t>
      </w:r>
      <w:r>
        <w:t>Creator, AI Architectural Collaboration</w:t>
      </w:r>
    </w:p>
    <w:p>
      <w:pPr>
        <w:spacing w:after="40"/>
      </w:pPr>
      <w:r>
        <w:rPr>
          <w:b/>
        </w:rPr>
        <w:t xml:space="preserve">Review Status: </w:t>
      </w:r>
      <w:r>
        <w:t>Accepted</w:t>
      </w:r>
    </w:p>
    <w:p>
      <w:pPr>
        <w:spacing w:after="40"/>
      </w:pPr>
      <w:r>
        <w:rPr>
          <w:b/>
        </w:rPr>
        <w:t xml:space="preserve">Supersedes: </w:t>
      </w:r>
      <w:r>
        <w:t>Monolithic Documentation Architecture</w:t>
      </w:r>
    </w:p>
    <w:p>
      <w:pPr>
        <w:spacing w:after="40"/>
      </w:pPr>
      <w:r>
        <w:rPr>
          <w:b/>
        </w:rPr>
        <w:t xml:space="preserve">Superseded By: </w:t>
      </w:r>
      <w:r>
        <w:t>None</w:t>
      </w:r>
    </w:p>
    <w:p>
      <w:pPr>
        <w:pStyle w:val="Heading1"/>
      </w:pPr>
      <w:r>
        <w:t>Related Documents</w:t>
      </w:r>
    </w:p>
    <w:p>
      <w:pPr>
        <w:pStyle w:val="ListBullet"/>
        <w:spacing w:after="40"/>
      </w:pPr>
      <w:r>
        <w:t>Image Codex Constitution</w:t>
      </w:r>
    </w:p>
    <w:p>
      <w:pPr>
        <w:pStyle w:val="ListBullet"/>
        <w:spacing w:after="40"/>
      </w:pPr>
      <w:r>
        <w:t>Project Brief 001</w:t>
      </w:r>
    </w:p>
    <w:p>
      <w:pPr>
        <w:pStyle w:val="ListBullet"/>
        <w:spacing w:after="40"/>
      </w:pPr>
      <w:r>
        <w:t>ADR-001 — The Image Codex Is a Visual Language Standard</w:t>
      </w:r>
    </w:p>
    <w:p>
      <w:pPr>
        <w:pStyle w:val="ListBullet"/>
        <w:spacing w:after="40"/>
      </w:pPr>
      <w:r>
        <w:t>Image Codex Terminology Standard (ICTS)</w:t>
      </w:r>
    </w:p>
    <w:p>
      <w:pPr>
        <w:pStyle w:val="ListBullet"/>
        <w:spacing w:after="40"/>
      </w:pPr>
      <w:r>
        <w:t>Image Codex Language (ICL)</w:t>
      </w:r>
    </w:p>
    <w:p>
      <w:pPr>
        <w:pStyle w:val="ListBullet"/>
        <w:spacing w:after="40"/>
      </w:pPr>
      <w:r>
        <w:t>Image Codex Language Specification (ICLS)</w:t>
      </w:r>
    </w:p>
    <w:p>
      <w:pPr>
        <w:pStyle w:val="ListBullet"/>
        <w:spacing w:after="40"/>
      </w:pPr>
      <w:r>
        <w:t>Semantic Standard</w:t>
      </w:r>
    </w:p>
    <w:p>
      <w:pPr>
        <w:pStyle w:val="ListBullet"/>
        <w:spacing w:after="40"/>
      </w:pPr>
      <w:r>
        <w:t>Registry Standard</w:t>
      </w:r>
    </w:p>
    <w:p>
      <w:pPr>
        <w:pStyle w:val="ListBullet"/>
        <w:spacing w:after="40"/>
      </w:pPr>
      <w:r>
        <w:t>Interpretation &amp; Resolution Specification</w:t>
      </w:r>
    </w:p>
    <w:p>
      <w:pPr>
        <w:pStyle w:val="ListBullet"/>
        <w:spacing w:after="40"/>
      </w:pPr>
      <w:r>
        <w:t>AI Compatibility Specifications</w:t>
      </w:r>
    </w:p>
    <w:p>
      <w:pPr>
        <w:pStyle w:val="ListBullet"/>
        <w:spacing w:after="40"/>
      </w:pPr>
      <w:r>
        <w:t>Educational Publications</w:t>
      </w:r>
    </w:p>
    <w:p>
      <w:pPr>
        <w:pStyle w:val="Heading1"/>
      </w:pPr>
      <w:r>
        <w:t>Context</w:t>
      </w:r>
    </w:p>
    <w:p>
      <w:pPr>
        <w:spacing w:after="100" w:line="259" w:lineRule="auto"/>
      </w:pPr>
      <w:r>
        <w:t>Following the adoption of ADR-001, the Image Codex was formally recognized as an independent visual language standard rather than a prompt engineering guide or educational publication.</w:t>
      </w:r>
    </w:p>
    <w:p>
      <w:pPr>
        <w:spacing w:after="100" w:line="259" w:lineRule="auto"/>
      </w:pPr>
      <w:r>
        <w:t>This architectural shift immediately raised a second question:</w:t>
      </w:r>
    </w:p>
    <w:p>
      <w:pPr>
        <w:spacing w:after="100" w:line="259" w:lineRule="auto"/>
      </w:pPr>
      <w:r>
        <w:t>How should such a language be organized?</w:t>
      </w:r>
    </w:p>
    <w:p>
      <w:pPr>
        <w:spacing w:after="100" w:line="259" w:lineRule="auto"/>
      </w:pPr>
      <w:r>
        <w:t>Early project discussions frequently grouped governance, terminology, language definition, semantic meaning, implementation guidance, educational content, and software considerations within the same evolving documents.</w:t>
      </w:r>
    </w:p>
    <w:p>
      <w:pPr>
        <w:spacing w:after="100" w:line="259" w:lineRule="auto"/>
      </w:pPr>
      <w:r>
        <w:t>Although practical during exploration, this approach quickly revealed significant architectural weaknesses.</w:t>
      </w:r>
    </w:p>
    <w:p>
      <w:pPr>
        <w:spacing w:after="100" w:line="259" w:lineRule="auto"/>
      </w:pPr>
      <w:r>
        <w:t>A single document attempting to fulfill multiple responsibilities inevitably becomes increasingly difficult to understand, maintain, version, and extend.</w:t>
      </w:r>
    </w:p>
    <w:p>
      <w:pPr>
        <w:spacing w:after="100" w:line="259" w:lineRule="auto"/>
      </w:pPr>
      <w:r>
        <w:t>Changes affecting one concern frequently produce unintended consequences in unrelated areas.</w:t>
      </w:r>
    </w:p>
    <w:p>
      <w:pPr>
        <w:spacing w:after="100" w:line="259" w:lineRule="auto"/>
      </w:pPr>
      <w:r>
        <w:t>As the project expanded, it became evident that the Image Codex required an architecture capable of supporting independent evolution while preserving overall coherence.</w:t>
      </w:r>
    </w:p>
    <w:p>
      <w:pPr>
        <w:spacing w:after="100" w:line="259" w:lineRule="auto"/>
      </w:pPr>
      <w:r>
        <w:t>A layered standards architecture emerged as the most robust solution.</w:t>
      </w:r>
    </w:p>
    <w:p>
      <w:pPr>
        <w:pStyle w:val="Heading1"/>
      </w:pPr>
      <w:r>
        <w:t>Motivation</w:t>
      </w:r>
    </w:p>
    <w:p>
      <w:pPr>
        <w:spacing w:after="100" w:line="259" w:lineRule="auto"/>
      </w:pPr>
      <w:r>
        <w:t>Successful standards ecosystems consistently separate responsibilities into independent yet coordinated specifications.</w:t>
      </w:r>
    </w:p>
    <w:p>
      <w:pPr>
        <w:spacing w:after="100" w:line="259" w:lineRule="auto"/>
      </w:pPr>
      <w:r>
        <w:t>Examples include HTML separating document structure from CSS presentation, SQL separating language from database implementations, and Unicode separating character definitions from rendering engines.</w:t>
      </w:r>
    </w:p>
    <w:p>
      <w:pPr>
        <w:spacing w:after="100" w:line="259" w:lineRule="auto"/>
      </w:pPr>
      <w:r>
        <w:t>The Image Codex faces similar architectural requirements.</w:t>
      </w:r>
    </w:p>
    <w:p>
      <w:pPr>
        <w:spacing w:after="100" w:line="259" w:lineRule="auto"/>
      </w:pPr>
      <w:r>
        <w:t>Governance, language syntax, semantic meaning, storage, interpretation, implementation, compatibility, and education each evolve according to different lifecycles.</w:t>
      </w:r>
    </w:p>
    <w:p>
      <w:pPr>
        <w:spacing w:after="100" w:line="259" w:lineRule="auto"/>
      </w:pPr>
      <w:r>
        <w:t>Combining these responsibilities into a single specification would introduce unnecessary coupling, reduce maintainability, and inhibit long-term scalability.</w:t>
      </w:r>
    </w:p>
    <w:p>
      <w:pPr>
        <w:spacing w:after="100" w:line="259" w:lineRule="auto"/>
      </w:pPr>
      <w:r>
        <w:t>The objective of this decision is to establish a modular standards architecture in which each specification possesses one clearly defined responsibility while collectively contributing to a coherent ecosystem.</w:t>
      </w:r>
    </w:p>
    <w:p>
      <w:pPr>
        <w:pStyle w:val="Heading1"/>
      </w:pPr>
      <w:r>
        <w:t>Decision</w:t>
      </w:r>
    </w:p>
    <w:p>
      <w:pPr>
        <w:spacing w:after="100" w:line="259" w:lineRule="auto"/>
      </w:pPr>
      <w:r>
        <w:t>The Image Codex shall adopt a layered standards architecture.</w:t>
      </w:r>
    </w:p>
    <w:p>
      <w:pPr>
        <w:spacing w:after="100" w:line="259" w:lineRule="auto"/>
      </w:pPr>
      <w:r>
        <w:t>Each architectural layer shall possess one primary responsibility.</w:t>
      </w:r>
    </w:p>
    <w:p>
      <w:pPr>
        <w:spacing w:after="100" w:line="259" w:lineRule="auto"/>
      </w:pPr>
      <w:r>
        <w:t>Responsibilities shall not overlap except where explicitly defined by published specifications.</w:t>
      </w:r>
    </w:p>
    <w:p>
      <w:pPr>
        <w:spacing w:after="100" w:line="259" w:lineRule="auto"/>
      </w:pPr>
      <w:r>
        <w:t>Authority shall flow from higher architectural layers toward lower layers.</w:t>
      </w:r>
    </w:p>
    <w:p>
      <w:pPr>
        <w:spacing w:after="100" w:line="259" w:lineRule="auto"/>
      </w:pPr>
      <w:r>
        <w:t>Lower layers may depend upon higher layers.</w:t>
      </w:r>
    </w:p>
    <w:p>
      <w:pPr>
        <w:spacing w:after="100" w:line="259" w:lineRule="auto"/>
      </w:pPr>
      <w:r>
        <w:t>Higher layers shall not depend upon lower layers.</w:t>
      </w:r>
    </w:p>
    <w:p>
      <w:pPr>
        <w:spacing w:after="100" w:line="259" w:lineRule="auto"/>
      </w:pPr>
      <w:r>
        <w:t>Normative requirements shall reside only within the specification responsible for that concern.</w:t>
      </w:r>
    </w:p>
    <w:p>
      <w:pPr>
        <w:spacing w:after="100" w:line="259" w:lineRule="auto"/>
      </w:pPr>
      <w:r>
        <w:t>Educational materials shall never become normative.</w:t>
      </w:r>
    </w:p>
    <w:p>
      <w:pPr>
        <w:spacing w:after="100" w:line="259" w:lineRule="auto"/>
      </w:pPr>
      <w:r>
        <w:t>Implementation guidance shall never redefine semantic meaning.</w:t>
      </w:r>
    </w:p>
    <w:p>
      <w:pPr>
        <w:spacing w:after="100" w:line="259" w:lineRule="auto"/>
      </w:pPr>
      <w:r>
        <w:t>Compatibility specifications shall never modify the core language.</w:t>
      </w:r>
    </w:p>
    <w:p>
      <w:pPr>
        <w:pStyle w:val="Heading1"/>
      </w:pPr>
      <w:r>
        <w:t>Official Architectural Layers</w:t>
      </w:r>
    </w:p>
    <w:p>
      <w:pPr>
        <w:pStyle w:val="Heading2"/>
      </w:pPr>
      <w:r>
        <w:t>Layer 1 — Constitution</w:t>
      </w:r>
    </w:p>
    <w:p>
      <w:pPr>
        <w:spacing w:after="100" w:line="259" w:lineRule="auto"/>
      </w:pPr>
      <w:r>
        <w:t>Defines governance, authority, philosophy, constitutional principles, amendment procedures, and project governance.</w:t>
      </w:r>
    </w:p>
    <w:p>
      <w:pPr>
        <w:pStyle w:val="Heading2"/>
      </w:pPr>
      <w:r>
        <w:t>Layer 2 — Image Codex Terminology Standard (ICTS)</w:t>
      </w:r>
    </w:p>
    <w:p>
      <w:pPr>
        <w:spacing w:after="100" w:line="259" w:lineRule="auto"/>
      </w:pPr>
      <w:r>
        <w:t>Defines the canonical vocabulary of the ecosystem, official technical definitions, naming conventions, and reserved terminology.</w:t>
      </w:r>
    </w:p>
    <w:p>
      <w:pPr>
        <w:pStyle w:val="Heading2"/>
      </w:pPr>
      <w:r>
        <w:t>Layer 3 — Image Codex Language (ICL)</w:t>
      </w:r>
    </w:p>
    <w:p>
      <w:pPr>
        <w:spacing w:after="100" w:line="259" w:lineRule="auto"/>
      </w:pPr>
      <w:r>
        <w:t>Defines the conceptual language used to express visual intent independently of implementation.</w:t>
      </w:r>
    </w:p>
    <w:p>
      <w:pPr>
        <w:pStyle w:val="Heading2"/>
      </w:pPr>
      <w:r>
        <w:t>Layer 4 — Image Codex Language Specification (ICLS)</w:t>
      </w:r>
    </w:p>
    <w:p>
      <w:pPr>
        <w:spacing w:after="100" w:line="259" w:lineRule="auto"/>
      </w:pPr>
      <w:r>
        <w:t>Defines the formal language architecture, including grammar, syntax, object model, schemas, namespaces, identifiers, parsing, validation, and structural rules.</w:t>
      </w:r>
    </w:p>
    <w:p>
      <w:pPr>
        <w:pStyle w:val="Heading2"/>
      </w:pPr>
      <w:r>
        <w:t>Layer 5 — Semantic Standard</w:t>
      </w:r>
    </w:p>
    <w:p>
      <w:pPr>
        <w:spacing w:after="100" w:line="259" w:lineRule="auto"/>
      </w:pPr>
      <w:r>
        <w:t>Defines the canonical meaning of every official language concept. Semantic meaning exists independently of execution.</w:t>
      </w:r>
    </w:p>
    <w:p>
      <w:pPr>
        <w:pStyle w:val="Heading2"/>
      </w:pPr>
      <w:r>
        <w:t>Layer 6 — Registry Standard</w:t>
      </w:r>
    </w:p>
    <w:p>
      <w:pPr>
        <w:spacing w:after="100" w:line="259" w:lineRule="auto"/>
      </w:pPr>
      <w:r>
        <w:t>Defines storage architecture, registry integrity, metadata, versioning, identifiers, and persistence.</w:t>
      </w:r>
    </w:p>
    <w:p>
      <w:pPr>
        <w:pStyle w:val="Heading2"/>
      </w:pPr>
      <w:r>
        <w:t>Layer 7 — Interpretation &amp; Resolution Specification</w:t>
      </w:r>
    </w:p>
    <w:p>
      <w:pPr>
        <w:spacing w:after="100" w:line="259" w:lineRule="auto"/>
      </w:pPr>
      <w:r>
        <w:t>Defines how conforming implementations interpret and resolve Image Codex documents. The Codex Brain serves as the reference implementation of this specification.</w:t>
      </w:r>
    </w:p>
    <w:p>
      <w:pPr>
        <w:pStyle w:val="Heading2"/>
      </w:pPr>
      <w:r>
        <w:t>Layer 8 — AI Compatibility Specifications</w:t>
      </w:r>
    </w:p>
    <w:p>
      <w:pPr>
        <w:spacing w:after="100" w:line="259" w:lineRule="auto"/>
      </w:pPr>
      <w:r>
        <w:t>Define platform-specific translation layers for AI systems and creative software. Compatibility layers adapt the language to implementations without altering the language itself.</w:t>
      </w:r>
    </w:p>
    <w:p>
      <w:pPr>
        <w:pStyle w:val="Heading2"/>
      </w:pPr>
      <w:r>
        <w:t>Layer 9 — Educational Materials</w:t>
      </w:r>
    </w:p>
    <w:p>
      <w:pPr>
        <w:spacing w:after="100" w:line="259" w:lineRule="auto"/>
      </w:pPr>
      <w:r>
        <w:t>Books, tutorials, reference guides, courses, and instructional resources. Educational publications explain the language but never define it.</w:t>
      </w:r>
    </w:p>
    <w:p>
      <w:pPr>
        <w:pStyle w:val="Heading1"/>
      </w:pPr>
      <w:r>
        <w:t>Decision Drivers</w:t>
      </w:r>
    </w:p>
    <w:p>
      <w:pPr>
        <w:spacing w:after="100" w:line="259" w:lineRule="auto"/>
      </w:pPr>
      <w:r>
        <w:t>This decision is driven by the need for:</w:t>
      </w:r>
    </w:p>
    <w:p>
      <w:pPr>
        <w:pStyle w:val="ListBullet"/>
        <w:spacing w:after="40"/>
      </w:pPr>
      <w:r>
        <w:t>Separation of concerns</w:t>
      </w:r>
    </w:p>
    <w:p>
      <w:pPr>
        <w:pStyle w:val="ListBullet"/>
        <w:spacing w:after="40"/>
      </w:pPr>
      <w:r>
        <w:t>Independent versioning</w:t>
      </w:r>
    </w:p>
    <w:p>
      <w:pPr>
        <w:pStyle w:val="ListBullet"/>
        <w:spacing w:after="40"/>
      </w:pPr>
      <w:r>
        <w:t>Long-term maintainability</w:t>
      </w:r>
    </w:p>
    <w:p>
      <w:pPr>
        <w:pStyle w:val="ListBullet"/>
        <w:spacing w:after="40"/>
      </w:pPr>
      <w:r>
        <w:t>Modular architecture</w:t>
      </w:r>
    </w:p>
    <w:p>
      <w:pPr>
        <w:pStyle w:val="ListBullet"/>
        <w:spacing w:after="40"/>
      </w:pPr>
      <w:r>
        <w:t>Platform independence</w:t>
      </w:r>
    </w:p>
    <w:p>
      <w:pPr>
        <w:pStyle w:val="ListBullet"/>
        <w:spacing w:after="40"/>
      </w:pPr>
      <w:r>
        <w:t>Clear governance</w:t>
      </w:r>
    </w:p>
    <w:p>
      <w:pPr>
        <w:pStyle w:val="ListBullet"/>
        <w:spacing w:after="40"/>
      </w:pPr>
      <w:r>
        <w:t>Independent implementation</w:t>
      </w:r>
    </w:p>
    <w:p>
      <w:pPr>
        <w:pStyle w:val="ListBullet"/>
        <w:spacing w:after="40"/>
      </w:pPr>
      <w:r>
        <w:t>Future extensibility</w:t>
      </w:r>
    </w:p>
    <w:p>
      <w:pPr>
        <w:pStyle w:val="ListBullet"/>
        <w:spacing w:after="40"/>
      </w:pPr>
      <w:r>
        <w:t>Reduced architectural coupling</w:t>
      </w:r>
    </w:p>
    <w:p>
      <w:pPr>
        <w:pStyle w:val="ListBullet"/>
        <w:spacing w:after="40"/>
      </w:pPr>
      <w:r>
        <w:t>Software interoperability</w:t>
      </w:r>
    </w:p>
    <w:p>
      <w:pPr>
        <w:pStyle w:val="Heading1"/>
      </w:pPr>
      <w:r>
        <w:t>Architectural Impact</w:t>
      </w:r>
    </w:p>
    <w:p>
      <w:pPr>
        <w:spacing w:after="100" w:line="259" w:lineRule="auto"/>
      </w:pPr>
      <w:r>
        <w:t>This decision establishes the structural organization of the entire Image Codex ecosystem.</w:t>
      </w:r>
    </w:p>
    <w:p>
      <w:pPr>
        <w:spacing w:after="100" w:line="259" w:lineRule="auto"/>
      </w:pPr>
      <w:r>
        <w:t>It provides the framework within which every present and future specification is authored, versioned, and maintained.</w:t>
      </w:r>
    </w:p>
    <w:p>
      <w:pPr>
        <w:spacing w:after="100" w:line="259" w:lineRule="auto"/>
      </w:pPr>
      <w:r>
        <w:t>This architecture enables:</w:t>
      </w:r>
    </w:p>
    <w:p>
      <w:pPr>
        <w:pStyle w:val="ListBullet"/>
        <w:spacing w:after="40"/>
      </w:pPr>
      <w:r>
        <w:t>Independent evolution of standards</w:t>
      </w:r>
    </w:p>
    <w:p>
      <w:pPr>
        <w:pStyle w:val="ListBullet"/>
        <w:spacing w:after="40"/>
      </w:pPr>
      <w:r>
        <w:t>Stable governance</w:t>
      </w:r>
    </w:p>
    <w:p>
      <w:pPr>
        <w:pStyle w:val="ListBullet"/>
        <w:spacing w:after="40"/>
      </w:pPr>
      <w:r>
        <w:t>Controlled semantic growth</w:t>
      </w:r>
    </w:p>
    <w:p>
      <w:pPr>
        <w:pStyle w:val="ListBullet"/>
        <w:spacing w:after="40"/>
      </w:pPr>
      <w:r>
        <w:t>Multiple software implementations</w:t>
      </w:r>
    </w:p>
    <w:p>
      <w:pPr>
        <w:pStyle w:val="ListBullet"/>
        <w:spacing w:after="40"/>
      </w:pPr>
      <w:r>
        <w:t>Consistent educational materials</w:t>
      </w:r>
    </w:p>
    <w:p>
      <w:pPr>
        <w:pStyle w:val="ListBullet"/>
        <w:spacing w:after="40"/>
      </w:pPr>
      <w:r>
        <w:t>Future expansion through additional standards</w:t>
      </w:r>
    </w:p>
    <w:p>
      <w:pPr>
        <w:spacing w:after="100" w:line="259" w:lineRule="auto"/>
      </w:pPr>
      <w:r>
        <w:t>Every future specification shall identify the architectural layer to which it belongs.</w:t>
      </w:r>
    </w:p>
    <w:p>
      <w:pPr>
        <w:spacing w:after="100" w:line="259" w:lineRule="auto"/>
      </w:pPr>
      <w:r>
        <w:t>No specification shall assume responsibilities assigned to another layer.</w:t>
      </w:r>
    </w:p>
    <w:p>
      <w:pPr>
        <w:pStyle w:val="Heading1"/>
      </w:pPr>
      <w:r>
        <w:t>Alternatives Considered</w:t>
      </w:r>
    </w:p>
    <w:p>
      <w:pPr>
        <w:pStyle w:val="Heading2"/>
      </w:pPr>
      <w:r>
        <w:t>Alternative A</w:t>
      </w:r>
    </w:p>
    <w:p>
      <w:pPr>
        <w:spacing w:after="100" w:line="259" w:lineRule="auto"/>
      </w:pPr>
      <w:r>
        <w:t>Maintain a single comprehensive specification containing governance, language definition, semantics, implementation guidance, registries, and educational material.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This approach produces excessive complexity, overlapping responsibilities, and long-term maintenance difficulties.</w:t>
      </w:r>
    </w:p>
    <w:p>
      <w:pPr>
        <w:pStyle w:val="Heading2"/>
      </w:pPr>
      <w:r>
        <w:t>Alternative B</w:t>
      </w:r>
    </w:p>
    <w:p>
      <w:pPr>
        <w:spacing w:after="100" w:line="259" w:lineRule="auto"/>
      </w:pPr>
      <w:r>
        <w:t>Develop independent documents without an overarching architectural model.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This creates ambiguity regarding authority, dependencies, and ownership of normative requirements.</w:t>
      </w:r>
    </w:p>
    <w:p>
      <w:pPr>
        <w:pStyle w:val="Heading2"/>
      </w:pPr>
      <w:r>
        <w:t>Alternative C</w:t>
      </w:r>
    </w:p>
    <w:p>
      <w:pPr>
        <w:spacing w:after="100" w:line="259" w:lineRule="auto"/>
      </w:pPr>
      <w:r>
        <w:t>Organize documents by implementation rather than responsibility.</w:t>
      </w:r>
    </w:p>
    <w:p>
      <w:pPr>
        <w:spacing w:after="100" w:line="259" w:lineRule="auto"/>
      </w:pPr>
      <w:r>
        <w:rPr>
          <w:b/>
        </w:rPr>
        <w:t>Rejected.</w:t>
      </w:r>
    </w:p>
    <w:p>
      <w:pPr>
        <w:spacing w:after="100" w:line="259" w:lineRule="auto"/>
      </w:pPr>
      <w:r>
        <w:rPr>
          <w:b/>
        </w:rPr>
        <w:t>Reason:</w:t>
      </w:r>
    </w:p>
    <w:p>
      <w:pPr>
        <w:spacing w:after="100" w:line="259" w:lineRule="auto"/>
      </w:pPr>
      <w:r>
        <w:t>Implementation-focused organization compromises platform independence and weakens long-term interoperability.</w:t>
      </w:r>
    </w:p>
    <w:p>
      <w:pPr>
        <w:pStyle w:val="Heading1"/>
      </w:pPr>
      <w:r>
        <w:t>Consequences</w:t>
      </w:r>
    </w:p>
    <w:p>
      <w:pPr>
        <w:spacing w:after="100" w:line="259" w:lineRule="auto"/>
      </w:pPr>
      <w:r>
        <w:t>Every future specification shall first determine its architectural responsibility before introducing new normative requirements.</w:t>
      </w:r>
    </w:p>
    <w:p>
      <w:pPr>
        <w:spacing w:after="100" w:line="259" w:lineRule="auto"/>
      </w:pPr>
      <w:r>
        <w:t>Contributors shall evaluate proposed content using the following questions:</w:t>
      </w:r>
    </w:p>
    <w:p>
      <w:pPr>
        <w:pStyle w:val="ListBullet"/>
        <w:spacing w:after="40"/>
      </w:pPr>
      <w:r>
        <w:t>Does it define governance?</w:t>
      </w:r>
    </w:p>
    <w:p>
      <w:pPr>
        <w:pStyle w:val="ListBullet"/>
        <w:spacing w:after="40"/>
      </w:pPr>
      <w:r>
        <w:t>Does it define terminology?</w:t>
      </w:r>
    </w:p>
    <w:p>
      <w:pPr>
        <w:pStyle w:val="ListBullet"/>
        <w:spacing w:after="40"/>
      </w:pPr>
      <w:r>
        <w:t>Does it define language?</w:t>
      </w:r>
    </w:p>
    <w:p>
      <w:pPr>
        <w:pStyle w:val="ListBullet"/>
        <w:spacing w:after="40"/>
      </w:pPr>
      <w:r>
        <w:t>Does it define syntax?</w:t>
      </w:r>
    </w:p>
    <w:p>
      <w:pPr>
        <w:pStyle w:val="ListBullet"/>
        <w:spacing w:after="40"/>
      </w:pPr>
      <w:r>
        <w:t>Does it define semantics?</w:t>
      </w:r>
    </w:p>
    <w:p>
      <w:pPr>
        <w:pStyle w:val="ListBullet"/>
        <w:spacing w:after="40"/>
      </w:pPr>
      <w:r>
        <w:t>Does it define storage?</w:t>
      </w:r>
    </w:p>
    <w:p>
      <w:pPr>
        <w:pStyle w:val="ListBullet"/>
        <w:spacing w:after="40"/>
      </w:pPr>
      <w:r>
        <w:t>Does it define interpretation?</w:t>
      </w:r>
    </w:p>
    <w:p>
      <w:pPr>
        <w:pStyle w:val="ListBullet"/>
        <w:spacing w:after="40"/>
      </w:pPr>
      <w:r>
        <w:t>Does it define compatibility?</w:t>
      </w:r>
    </w:p>
    <w:p>
      <w:pPr>
        <w:pStyle w:val="ListBullet"/>
        <w:spacing w:after="40"/>
      </w:pPr>
      <w:r>
        <w:t>Does it educate users?</w:t>
      </w:r>
    </w:p>
    <w:p>
      <w:pPr>
        <w:spacing w:after="100" w:line="259" w:lineRule="auto"/>
      </w:pPr>
      <w:r>
        <w:t>If more than one answer is affirmative, the architecture should be reconsidered.</w:t>
      </w:r>
    </w:p>
    <w:p>
      <w:pPr>
        <w:pStyle w:val="Heading1"/>
      </w:pPr>
      <w:r>
        <w:t>Risks</w:t>
      </w:r>
    </w:p>
    <w:p>
      <w:pPr>
        <w:spacing w:after="100" w:line="259" w:lineRule="auto"/>
      </w:pPr>
      <w:r>
        <w:t>Layered architectures introduce greater initial planning effort.</w:t>
      </w:r>
    </w:p>
    <w:p>
      <w:pPr>
        <w:spacing w:after="100" w:line="259" w:lineRule="auto"/>
      </w:pPr>
      <w:r>
        <w:t>Additional specifications require coordinated governance and careful cross-referencing.</w:t>
      </w:r>
    </w:p>
    <w:p>
      <w:pPr>
        <w:spacing w:after="100" w:line="259" w:lineRule="auto"/>
      </w:pPr>
      <w:r>
        <w:t>Without disciplined boundaries, responsibilities may gradually overlap.</w:t>
      </w:r>
    </w:p>
    <w:p>
      <w:pPr>
        <w:pStyle w:val="Heading1"/>
      </w:pPr>
      <w:r>
        <w:t>Mitigations</w:t>
      </w:r>
    </w:p>
    <w:p>
      <w:pPr>
        <w:spacing w:after="100" w:line="259" w:lineRule="auto"/>
      </w:pPr>
      <w:r>
        <w:t>These risks are mitigated through:</w:t>
      </w:r>
    </w:p>
    <w:p>
      <w:pPr>
        <w:pStyle w:val="ListBullet"/>
        <w:spacing w:after="40"/>
      </w:pPr>
      <w:r>
        <w:t>Constitutional governance</w:t>
      </w:r>
    </w:p>
    <w:p>
      <w:pPr>
        <w:pStyle w:val="ListBullet"/>
        <w:spacing w:after="40"/>
      </w:pPr>
      <w:r>
        <w:t>ADR-driven architecture</w:t>
      </w:r>
    </w:p>
    <w:p>
      <w:pPr>
        <w:pStyle w:val="ListBullet"/>
        <w:spacing w:after="40"/>
      </w:pPr>
      <w:r>
        <w:t>ICSAS authoring standards</w:t>
      </w:r>
    </w:p>
    <w:p>
      <w:pPr>
        <w:pStyle w:val="ListBullet"/>
        <w:spacing w:after="40"/>
      </w:pPr>
      <w:r>
        <w:t>Canonical terminology</w:t>
      </w:r>
    </w:p>
    <w:p>
      <w:pPr>
        <w:pStyle w:val="ListBullet"/>
        <w:spacing w:after="40"/>
      </w:pPr>
      <w:r>
        <w:t>Clear normative ownership</w:t>
      </w:r>
    </w:p>
    <w:p>
      <w:pPr>
        <w:pStyle w:val="ListBullet"/>
        <w:spacing w:after="40"/>
      </w:pPr>
      <w:r>
        <w:t>Cross-specification traceability</w:t>
      </w:r>
    </w:p>
    <w:p>
      <w:pPr>
        <w:pStyle w:val="Heading1"/>
      </w:pPr>
      <w:r>
        <w:t>Success Criteria</w:t>
      </w:r>
    </w:p>
    <w:p>
      <w:pPr>
        <w:spacing w:after="100" w:line="259" w:lineRule="auto"/>
      </w:pPr>
      <w:r>
        <w:t>This decision shall be considered successful when:</w:t>
      </w:r>
    </w:p>
    <w:p>
      <w:pPr>
        <w:pStyle w:val="ListBullet"/>
        <w:spacing w:after="40"/>
      </w:pPr>
      <w:r>
        <w:t>Every specification possesses one clearly defined responsibility.</w:t>
      </w:r>
    </w:p>
    <w:p>
      <w:pPr>
        <w:pStyle w:val="ListBullet"/>
        <w:spacing w:after="40"/>
      </w:pPr>
      <w:r>
        <w:t>Normative requirements appear only within their authoritative specification.</w:t>
      </w:r>
    </w:p>
    <w:p>
      <w:pPr>
        <w:pStyle w:val="ListBullet"/>
        <w:spacing w:after="40"/>
      </w:pPr>
      <w:r>
        <w:t>Independent teams can implement individual layers without ambiguity.</w:t>
      </w:r>
    </w:p>
    <w:p>
      <w:pPr>
        <w:pStyle w:val="ListBullet"/>
        <w:spacing w:after="40"/>
      </w:pPr>
      <w:r>
        <w:t>New specifications can be introduced without restructuring the existing ecosystem.</w:t>
      </w:r>
    </w:p>
    <w:p>
      <w:pPr>
        <w:pStyle w:val="ListBullet"/>
        <w:spacing w:after="40"/>
      </w:pPr>
      <w:r>
        <w:t>Educational publications remain independent from normative standards.</w:t>
      </w:r>
    </w:p>
    <w:p>
      <w:pPr>
        <w:pStyle w:val="Heading1"/>
      </w:pPr>
      <w:r>
        <w:t>Compliance Requirements</w:t>
      </w:r>
    </w:p>
    <w:p>
      <w:pPr>
        <w:spacing w:after="100" w:line="259" w:lineRule="auto"/>
      </w:pPr>
      <w:r>
        <w:t>All future specifications shall conform to this Architectural Decision Record.</w:t>
      </w:r>
    </w:p>
    <w:p>
      <w:pPr>
        <w:spacing w:after="100" w:line="259" w:lineRule="auto"/>
      </w:pPr>
      <w:r>
        <w:t>Specifications that conflict with this architecture require either:</w:t>
      </w:r>
    </w:p>
    <w:p>
      <w:pPr>
        <w:pStyle w:val="ListBullet"/>
        <w:spacing w:after="40"/>
      </w:pPr>
      <w:r>
        <w:t>a superseding Architectural Decision Record, or</w:t>
      </w:r>
    </w:p>
    <w:p>
      <w:pPr>
        <w:pStyle w:val="ListBullet"/>
        <w:spacing w:after="40"/>
      </w:pPr>
      <w:r>
        <w:t>a formal amendment to this ADR.</w:t>
      </w:r>
    </w:p>
    <w:p>
      <w:pPr>
        <w:spacing w:after="100" w:line="259" w:lineRule="auto"/>
      </w:pPr>
      <w:r>
        <w:t>No specification may silently violate an accepted Architectural Decision Record.</w:t>
      </w:r>
    </w:p>
    <w:p>
      <w:pPr>
        <w:pStyle w:val="Heading1"/>
      </w:pPr>
      <w:r>
        <w:t>Design Principle</w:t>
      </w:r>
    </w:p>
    <w:p>
      <w:pPr>
        <w:spacing w:after="100" w:line="259" w:lineRule="auto"/>
        <w:jc w:val="center"/>
      </w:pPr>
      <w:r>
        <w:rPr>
          <w:b/>
        </w:rPr>
        <w:t>One Layer.</w:t>
      </w:r>
    </w:p>
    <w:p>
      <w:pPr>
        <w:spacing w:after="100" w:line="259" w:lineRule="auto"/>
        <w:jc w:val="center"/>
      </w:pPr>
      <w:r>
        <w:rPr>
          <w:b/>
        </w:rPr>
        <w:t>One Responsibility.</w:t>
      </w:r>
    </w:p>
    <w:p>
      <w:pPr>
        <w:spacing w:after="100" w:line="259" w:lineRule="auto"/>
        <w:jc w:val="center"/>
      </w:pPr>
      <w:r>
        <w:rPr>
          <w:b/>
        </w:rPr>
        <w:t>One Authority.</w:t>
      </w:r>
    </w:p>
    <w:p>
      <w:pPr>
        <w:spacing w:after="100" w:line="259" w:lineRule="auto"/>
      </w:pPr>
      <w:r>
        <w:t>Architectural clarity is achieved through disciplined separation of concerns.</w:t>
      </w:r>
    </w:p>
    <w:p>
      <w:pPr>
        <w:pStyle w:val="Heading1"/>
      </w:pPr>
      <w:r>
        <w:t>Long-Term Vision</w:t>
      </w:r>
    </w:p>
    <w:p>
      <w:pPr>
        <w:spacing w:after="100" w:line="259" w:lineRule="auto"/>
      </w:pPr>
      <w:r>
        <w:t>The layered standards architecture established by this decision provides the organizational framework for the entire Image Codex ecosystem.</w:t>
      </w:r>
    </w:p>
    <w:p>
      <w:pPr>
        <w:spacing w:after="100" w:line="259" w:lineRule="auto"/>
      </w:pPr>
      <w:r>
        <w:t>As the language expands over future decades, new standards, implementations, registries, educational resources, and compatibility layers may be introduced without destabilizing the core architecture.</w:t>
      </w:r>
    </w:p>
    <w:p>
      <w:pPr>
        <w:spacing w:after="100" w:line="259" w:lineRule="auto"/>
      </w:pPr>
      <w:r>
        <w:t>This decision ensures that the Image Codex remains modular, extensible, implementation-independent, and maintainable throughout its evolution.</w:t>
      </w:r>
    </w:p>
    <w:p>
      <w:pPr>
        <w:pStyle w:val="Heading1"/>
      </w:pPr>
      <w:r>
        <w:t>Architectural Principle</w:t>
      </w:r>
    </w:p>
    <w:p>
      <w:pPr>
        <w:spacing w:after="100" w:line="259" w:lineRule="auto"/>
        <w:jc w:val="center"/>
      </w:pPr>
      <w:r>
        <w:rPr>
          <w:b/>
        </w:rPr>
        <w:t>The Image Codex shall evolve as a coordinated ecosystem of independent standards.</w:t>
      </w:r>
    </w:p>
    <w:p>
      <w:pPr>
        <w:spacing w:after="100" w:line="259" w:lineRule="auto"/>
        <w:jc w:val="center"/>
      </w:pPr>
      <w:r>
        <w:rPr>
          <w:b/>
        </w:rPr>
        <w:t>Each standard owns one responsibility.</w:t>
      </w:r>
    </w:p>
    <w:p>
      <w:pPr>
        <w:spacing w:after="100" w:line="259" w:lineRule="auto"/>
        <w:jc w:val="center"/>
      </w:pPr>
      <w:r>
        <w:rPr>
          <w:b/>
        </w:rPr>
        <w:t>Collectively, they define one language.</w:t>
      </w:r>
    </w:p>
    <w:p>
      <w:pPr>
        <w:pStyle w:val="Heading1"/>
      </w:pPr>
      <w:r>
        <w:t>Approval</w:t>
      </w:r>
    </w:p>
    <w:p>
      <w:pPr>
        <w:spacing w:after="100" w:line="259" w:lineRule="auto"/>
      </w:pPr>
      <w:r>
        <w:t>This Architectural Decision is accepted as one of the five foundational architectural pillars of the Image Codex ecosystem.</w:t>
      </w:r>
    </w:p>
    <w:p>
      <w:pPr>
        <w:spacing w:after="100" w:line="259" w:lineRule="auto"/>
      </w:pPr>
      <w:r>
        <w:t>The layered standards architecture established by this ADR shall govern how every future Image Codex standard is organized, authored, versioned, and maintained.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sz w:val="16"/>
      </w:rPr>
      <w:t>THE IMAGE CODEX  |  IC-ADR-002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