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IC-CMP-001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COMPATIBILITY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IC-CMP-001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Compatibility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COMPATIBILITY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IC-CMP-001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Compatibility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Compatibility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Constitution Article X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compatibility expectations for versions, documents, registries, implementations, extensions, and adapters.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Compatibility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Compatibility Classes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Breaking Changes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Migration</w:t>
      </w:r>
    </w:p>
    <w:p>
      <w:pPr>
        <w:pStyle w:val="Heading1"/>
        <w:keepNext/>
      </w:pPr>
      <w:r>
        <w:t>1. Compatibility Purpose</w:t>
      </w:r>
    </w:p>
    <w:p>
      <w:pPr>
        <w:pStyle w:val="Heading2"/>
        <w:keepNext/>
      </w:pPr>
      <w:r>
        <w:t>1.1 Role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Compatibility preserves long-term usefulness of Codex documents across language versions, registries, tools, and image systems.</w:t>
      </w:r>
    </w:p>
    <w:p>
      <w:pPr>
        <w:pStyle w:val="Heading2"/>
        <w:keepNext/>
      </w:pPr>
      <w:r>
        <w:t>1.2 Core Principle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Additive change is preferred. Breaking change is exceptional.</w:t>
      </w:r>
    </w:p>
    <w:p>
      <w:pPr>
        <w:pStyle w:val="Heading1"/>
        <w:keepNext/>
      </w:pPr>
      <w:r>
        <w:t>2. Compatibility Classes</w:t>
      </w:r>
    </w:p>
    <w:p>
      <w:pPr>
        <w:pStyle w:val="Heading2"/>
        <w:keepNext/>
      </w:pPr>
      <w:r>
        <w:t>2.1 Classes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Language compatibility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Semantic compatibility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Registry compatibility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Serialization compatibility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Implementation compatibility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Adapter compatibility</w:t>
      </w:r>
    </w:p>
    <w:p>
      <w:pPr>
        <w:pStyle w:val="Heading2"/>
        <w:keepNext/>
      </w:pPr>
      <w:r>
        <w:t>2.2 Declarations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Documents and tools SHOULD declare compatibility class and supported versions.</w:t>
      </w:r>
    </w:p>
    <w:p>
      <w:pPr>
        <w:pStyle w:val="Heading1"/>
        <w:keepNext/>
      </w:pPr>
      <w:r>
        <w:t>3. Breaking Changes</w:t>
      </w:r>
    </w:p>
    <w:p>
      <w:pPr>
        <w:pStyle w:val="Heading2"/>
        <w:keepNext/>
      </w:pPr>
      <w:r>
        <w:t>3.1 Definition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breaking change is any change that causes a previously valid official document to become invalid or materially changes its official meaning.</w:t>
      </w:r>
    </w:p>
    <w:p>
      <w:pPr>
        <w:pStyle w:val="Heading2"/>
        <w:keepNext/>
      </w:pPr>
      <w:r>
        <w:t>3.2 Handling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Breaking changes SHALL require explicit version treatment and migration guidance.</w:t>
      </w:r>
    </w:p>
    <w:p>
      <w:pPr>
        <w:pStyle w:val="Heading1"/>
        <w:keepNext/>
      </w:pPr>
      <w:r>
        <w:t>4. Migration</w:t>
      </w:r>
    </w:p>
    <w:p>
      <w:pPr>
        <w:pStyle w:val="Heading2"/>
        <w:keepNext/>
      </w:pPr>
      <w:r>
        <w:t>4.1 Migration Guides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Migration guides SHOULD describe changed features, affected identifiers, safe replacements, and loss risks.</w:t>
      </w:r>
    </w:p>
    <w:p>
      <w:pPr>
        <w:pStyle w:val="Heading2"/>
        <w:keepNext/>
      </w:pPr>
      <w:r>
        <w:t>4.2 Deprecated Constructs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Deprecated constructs SHALL remain reserved and SHOULD remain interpretable where practical.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