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IC-TRN-001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TRANSLATION SPECIFICATION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IC-TRN-001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Translation Specification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IMPLEMENTATION STANDARD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IC-TRN-001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Translation Specification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Implementation Standard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IC-CBS-001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document defines how Image Codex execution plans are translated into model-specific prompts, parameters, and adapter requests.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Translation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Translation Pipeline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Adapter Rules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Quality and Safety</w:t>
      </w:r>
    </w:p>
    <w:p>
      <w:pPr>
        <w:pStyle w:val="Heading1"/>
        <w:keepNext/>
      </w:pPr>
      <w:r>
        <w:t>1. Translation Purpose</w:t>
      </w:r>
    </w:p>
    <w:p>
      <w:pPr>
        <w:pStyle w:val="Heading2"/>
        <w:keepNext/>
      </w:pPr>
      <w:r>
        <w:t>1.1 Role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Translation bridges stable Codex intent and unstable model-specific prompting behavior.</w:t>
      </w:r>
    </w:p>
    <w:p>
      <w:pPr>
        <w:pStyle w:val="Heading2"/>
        <w:keepNext/>
      </w:pPr>
      <w:r>
        <w:t>1.2 Non-Mutation Rule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Translators SHALL NOT modify canonical Codex documents. They MAY produce derived prompt artifacts.</w:t>
      </w:r>
    </w:p>
    <w:p>
      <w:pPr>
        <w:pStyle w:val="Heading1"/>
        <w:keepNext/>
      </w:pPr>
      <w:r>
        <w:t>2. Translation Pipeline</w:t>
      </w:r>
    </w:p>
    <w:p>
      <w:pPr>
        <w:pStyle w:val="Heading2"/>
        <w:keepNext/>
      </w:pPr>
      <w:r>
        <w:t>2.1 Required Steps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Receive valid Codex document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Resolve semantics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Receive or produce execution plan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Select target model adapter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Map concepts to target prompt language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Generate prompt package</w:t>
      </w:r>
    </w:p>
    <w:p>
      <w:pPr>
        <w:pStyle w:val="ListNumber"/>
        <w:spacing w:after="0"/>
      </w:pPr>
      <w:r>
        <w:rPr>
          <w:rFonts w:ascii="Aptos" w:hAnsi="Aptos" w:eastAsia="Aptos"/>
          <w:sz w:val="21"/>
        </w:rPr>
        <w:t>Record translation metadata</w:t>
      </w:r>
    </w:p>
    <w:p>
      <w:pPr>
        <w:pStyle w:val="Heading2"/>
        <w:keepNext/>
      </w:pPr>
      <w:r>
        <w:t>2.2 Traceability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Every translation SHOULD identify source document, source standard versions, translator version, adapter version, and target model.</w:t>
      </w:r>
    </w:p>
    <w:p>
      <w:pPr>
        <w:pStyle w:val="Heading1"/>
        <w:keepNext/>
      </w:pPr>
      <w:r>
        <w:t>3. Adapter Rules</w:t>
      </w:r>
    </w:p>
    <w:p>
      <w:pPr>
        <w:pStyle w:val="Heading2"/>
        <w:keepNext/>
      </w:pPr>
      <w:r>
        <w:t>3.1 Model Specificity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Adapters MAY handle syntax quirks, parameter limits, weighting systems, forbidden tokens, prompt length, and feature support.</w:t>
      </w:r>
    </w:p>
    <w:p>
      <w:pPr>
        <w:pStyle w:val="Heading2"/>
        <w:keepNext/>
      </w:pPr>
      <w:r>
        <w:t>3.2 Fallbacks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When a target model lacks a concept, the translator SHOULD choose the nearest documented fallback and report the compromise.</w:t>
      </w:r>
    </w:p>
    <w:p>
      <w:pPr>
        <w:pStyle w:val="Heading1"/>
        <w:keepNext/>
      </w:pPr>
      <w:r>
        <w:t>4. Quality and Safety</w:t>
      </w:r>
    </w:p>
    <w:p>
      <w:pPr>
        <w:pStyle w:val="Heading2"/>
        <w:keepNext/>
      </w:pPr>
      <w:r>
        <w:t>4.1 Prompt Integrity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Prompt optimization SHALL preserve original visual intent.</w:t>
      </w:r>
    </w:p>
    <w:p>
      <w:pPr>
        <w:pStyle w:val="Heading2"/>
        <w:keepNext/>
      </w:pPr>
      <w:r>
        <w:t>4.2 Unsupported Features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Unsupported features SHALL be reported rather than silently deleted.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