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544790" w14:textId="77777777" w:rsidR="00215700" w:rsidRDefault="009D1D9D" w:rsidP="009D1D9D">
      <w:pPr>
        <w:pStyle w:val="Titel"/>
      </w:pPr>
      <w:r>
        <w:t>Team – Vulnerabilität</w:t>
      </w:r>
    </w:p>
    <w:p w14:paraId="044A60A5" w14:textId="77777777" w:rsidR="009D1D9D" w:rsidRDefault="009D1D9D" w:rsidP="009D1D9D"/>
    <w:p w14:paraId="346A3AB0" w14:textId="77777777" w:rsidR="009D1D9D" w:rsidRDefault="009D1D9D" w:rsidP="009D1D9D">
      <w:pPr>
        <w:pStyle w:val="berschrift1"/>
      </w:pPr>
      <w:proofErr w:type="spellStart"/>
      <w:r>
        <w:t>Defintionen</w:t>
      </w:r>
      <w:proofErr w:type="spellEnd"/>
      <w:r w:rsidR="004C6FCC">
        <w:t>-Vulnerabilität</w:t>
      </w:r>
    </w:p>
    <w:p w14:paraId="6A5A33DF" w14:textId="77777777" w:rsidR="009D1D9D" w:rsidRDefault="009D1D9D" w:rsidP="009D1D9D">
      <w:pPr>
        <w:spacing w:after="0"/>
      </w:pPr>
      <w:r>
        <w:t>- Je nach wissenschaftlicher Fachrichtung anders definiert:</w:t>
      </w:r>
    </w:p>
    <w:p w14:paraId="2184EC39" w14:textId="77777777" w:rsidR="009D1D9D" w:rsidRDefault="009D1D9D" w:rsidP="009D1D9D">
      <w:pPr>
        <w:spacing w:after="0"/>
      </w:pPr>
      <w:r>
        <w:t>Thema Klimawandel:</w:t>
      </w:r>
    </w:p>
    <w:p w14:paraId="03670401" w14:textId="77777777" w:rsidR="009D1D9D" w:rsidRDefault="009D1D9D" w:rsidP="009D1D9D">
      <w:r>
        <w:t xml:space="preserve">Vulnerabilität ist das Maß, zu dem eine Person, Region oder ein System gegenüber nachteiligen Auswirkungen von (Klima)-Änderungen anfällig und nicht damit umgehen kann. Dabei </w:t>
      </w:r>
      <w:proofErr w:type="gramStart"/>
      <w:r>
        <w:t>wird</w:t>
      </w:r>
      <w:proofErr w:type="gramEnd"/>
      <w:r>
        <w:t xml:space="preserve"> die Vulnerabilität bzw. Verwundbarkeit als eine Funktion von </w:t>
      </w:r>
      <w:r w:rsidRPr="00073C7C">
        <w:rPr>
          <w:b/>
          <w:bCs/>
        </w:rPr>
        <w:t xml:space="preserve">Exposition, Sensitivität </w:t>
      </w:r>
      <w:r>
        <w:t xml:space="preserve">und </w:t>
      </w:r>
      <w:r w:rsidRPr="00073C7C">
        <w:rPr>
          <w:b/>
          <w:bCs/>
        </w:rPr>
        <w:t>Anpassungsfähigkeit</w:t>
      </w:r>
      <w:r>
        <w:t xml:space="preserve"> verstanden. (Wiki</w:t>
      </w:r>
      <w:r w:rsidR="004C6FCC">
        <w:t>:</w:t>
      </w:r>
      <w:r w:rsidR="004C6FCC" w:rsidRPr="004C6FCC">
        <w:t xml:space="preserve"> https://de.wikipedia.org/wiki/Vulnerabilit%C3%A4t</w:t>
      </w:r>
      <w:r>
        <w:t>)</w:t>
      </w:r>
    </w:p>
    <w:p w14:paraId="22113DCE" w14:textId="77777777" w:rsidR="009D1D9D" w:rsidRDefault="009D1D9D" w:rsidP="009D1D9D">
      <w:pPr>
        <w:ind w:left="708"/>
      </w:pPr>
      <w:r>
        <w:t xml:space="preserve">- </w:t>
      </w:r>
      <w:r w:rsidRPr="00073C7C">
        <w:rPr>
          <w:b/>
          <w:bCs/>
        </w:rPr>
        <w:t>Exposition</w:t>
      </w:r>
      <w:r>
        <w:t xml:space="preserve"> umfasst die Art und die Intensität der Klimaänderungen wie Niederschlagsänderungen</w:t>
      </w:r>
    </w:p>
    <w:p w14:paraId="0A7CDE75" w14:textId="77777777" w:rsidR="00422230" w:rsidRDefault="00422230" w:rsidP="009D1D9D">
      <w:pPr>
        <w:ind w:left="708"/>
      </w:pPr>
      <w:r>
        <w:t>-&gt; Niederschlagsänderungen/Temperaturänderungen in der Zukunft</w:t>
      </w:r>
    </w:p>
    <w:p w14:paraId="736EE114" w14:textId="77777777" w:rsidR="00422230" w:rsidRDefault="00422230" w:rsidP="009D1D9D">
      <w:pPr>
        <w:ind w:left="708"/>
      </w:pPr>
      <w:r>
        <w:t xml:space="preserve">-&gt; </w:t>
      </w:r>
      <w:r w:rsidRPr="004C6FCC">
        <w:t>Wir müssen uns in Zukunft auf häufigere Starkregenereignisse, mehr und längere Hitzeperioden und Trockenphasen vor allem im Sommer und vermehrte Niederschläge und Hochwasserereignisse vor allem im Winterhalbjahr einstellen.</w:t>
      </w:r>
    </w:p>
    <w:p w14:paraId="7FBDAD67" w14:textId="77777777" w:rsidR="00422230" w:rsidRDefault="00422230" w:rsidP="00422230">
      <w:pPr>
        <w:ind w:left="708"/>
      </w:pPr>
      <w:r>
        <w:t xml:space="preserve">-&gt; Hitze und Trockenphasen v.a. im Sommer -&gt; Niedrigwasser eher im </w:t>
      </w:r>
      <w:commentRangeStart w:id="0"/>
      <w:r>
        <w:t>Sommer</w:t>
      </w:r>
      <w:commentRangeEnd w:id="0"/>
      <w:r w:rsidR="00D85B51">
        <w:rPr>
          <w:rStyle w:val="Kommentarzeichen"/>
        </w:rPr>
        <w:commentReference w:id="0"/>
      </w:r>
    </w:p>
    <w:p w14:paraId="2AB25369" w14:textId="77777777" w:rsidR="009D1D9D" w:rsidRDefault="009D1D9D" w:rsidP="00073C7C">
      <w:pPr>
        <w:ind w:left="708"/>
      </w:pPr>
      <w:r>
        <w:t xml:space="preserve">- </w:t>
      </w:r>
      <w:r w:rsidRPr="00073C7C">
        <w:rPr>
          <w:b/>
          <w:bCs/>
        </w:rPr>
        <w:t>Sensitivität</w:t>
      </w:r>
      <w:r>
        <w:t xml:space="preserve"> beschreibt das Ausmaß, zu welchem ein System oder Akteur durch die Klimaänderungen beeinflusst wird bzw. darauf reagiert</w:t>
      </w:r>
    </w:p>
    <w:p w14:paraId="1636BAE3" w14:textId="77777777" w:rsidR="00422230" w:rsidRDefault="00422230" w:rsidP="00073C7C">
      <w:pPr>
        <w:ind w:left="708"/>
      </w:pPr>
      <w:r>
        <w:t xml:space="preserve">-&gt; </w:t>
      </w:r>
      <w:proofErr w:type="spellStart"/>
      <w:r>
        <w:t>Dreisam</w:t>
      </w:r>
      <w:proofErr w:type="spellEnd"/>
      <w:r>
        <w:t xml:space="preserve"> reagiert relativ </w:t>
      </w:r>
      <w:commentRangeStart w:id="1"/>
      <w:r>
        <w:t>schnell</w:t>
      </w:r>
      <w:commentRangeEnd w:id="1"/>
      <w:r w:rsidR="00D85B51">
        <w:rPr>
          <w:rStyle w:val="Kommentarzeichen"/>
        </w:rPr>
        <w:commentReference w:id="1"/>
      </w:r>
      <w:r>
        <w:t xml:space="preserve"> </w:t>
      </w:r>
    </w:p>
    <w:p w14:paraId="4CAC64D7" w14:textId="77777777" w:rsidR="00D85B51" w:rsidRDefault="00D85B51" w:rsidP="00073C7C">
      <w:pPr>
        <w:ind w:left="708"/>
      </w:pPr>
      <w:r>
        <w:t>-&gt; Akteure spüren wahrscheinlich auch schneller Auswirkungen</w:t>
      </w:r>
    </w:p>
    <w:p w14:paraId="0CA565CC" w14:textId="77777777" w:rsidR="00D85B51" w:rsidRDefault="00D85B51" w:rsidP="00073C7C">
      <w:pPr>
        <w:ind w:left="708"/>
      </w:pPr>
      <w:r>
        <w:t xml:space="preserve">-&gt; </w:t>
      </w:r>
      <w:proofErr w:type="spellStart"/>
      <w:r>
        <w:t>Dreisam</w:t>
      </w:r>
      <w:proofErr w:type="spellEnd"/>
      <w:r>
        <w:t xml:space="preserve"> erholt sich aber auch wieder schnell</w:t>
      </w:r>
    </w:p>
    <w:p w14:paraId="403F06D8" w14:textId="77777777" w:rsidR="00073C7C" w:rsidRDefault="00073C7C" w:rsidP="00073C7C">
      <w:pPr>
        <w:ind w:left="708"/>
      </w:pPr>
      <w:r>
        <w:t xml:space="preserve">- </w:t>
      </w:r>
      <w:r w:rsidRPr="00073C7C">
        <w:rPr>
          <w:b/>
          <w:bCs/>
        </w:rPr>
        <w:t>Anpassungsfähigkeit</w:t>
      </w:r>
      <w:r>
        <w:t xml:space="preserve"> umfasst die Fähigkeit, Ressourcen oder institutionellen Kapazitäten von Systemen, Organisationen oder Akteuren sich an sich verändernde Klimabedingungen und deren möglichen Folgen anzupassen und damit die Vulnerabilität zu reduzieren.</w:t>
      </w:r>
    </w:p>
    <w:p w14:paraId="4CF66E1A" w14:textId="77777777" w:rsidR="00D72AAA" w:rsidRDefault="00D72AAA" w:rsidP="00073C7C">
      <w:pPr>
        <w:ind w:left="708"/>
      </w:pPr>
      <w:r>
        <w:t>-&gt; „Durststrecken“ können mit Alternativen überbrückt werden (??)</w:t>
      </w:r>
    </w:p>
    <w:p w14:paraId="24EAA8EC" w14:textId="77777777" w:rsidR="00D72AAA" w:rsidRDefault="00D72AAA" w:rsidP="00073C7C">
      <w:pPr>
        <w:ind w:left="708"/>
      </w:pPr>
      <w:r>
        <w:t xml:space="preserve">-&gt; z.B. große Wasserspeicher, unnötige Entnahme regulieren, Bevölkerung sensibilisieren/aktivieren und zum Einsparen aufrufen </w:t>
      </w:r>
    </w:p>
    <w:p w14:paraId="595F3887" w14:textId="77777777" w:rsidR="004C6FCC" w:rsidRDefault="004C6FCC" w:rsidP="004C6FCC"/>
    <w:p w14:paraId="3508883B" w14:textId="3C6B517C" w:rsidR="004C6FCC" w:rsidRDefault="004C6FCC" w:rsidP="004C6FCC">
      <w:pPr>
        <w:pStyle w:val="berschrift1"/>
      </w:pPr>
      <w:r>
        <w:t>Vulnerabilität – Niedrigwasser/Dürre</w:t>
      </w:r>
      <w:r w:rsidR="00CF2F59">
        <w:t xml:space="preserve"> (</w:t>
      </w:r>
      <w:proofErr w:type="gramStart"/>
      <w:r w:rsidR="00CF2F59">
        <w:t>Zukunftsprognosen</w:t>
      </w:r>
      <w:proofErr w:type="gramEnd"/>
      <w:r w:rsidR="00CF2F59">
        <w:t>)</w:t>
      </w:r>
    </w:p>
    <w:p w14:paraId="235F1C92" w14:textId="77777777" w:rsidR="00E72EA6" w:rsidRPr="00E72EA6" w:rsidRDefault="00E72EA6" w:rsidP="00E72EA6">
      <w:r>
        <w:t>(</w:t>
      </w:r>
      <w:r w:rsidRPr="00E72EA6">
        <w:t>https://www.lubw.baden-wuerttemberg.d</w:t>
      </w:r>
      <w:bookmarkStart w:id="2" w:name="_GoBack"/>
      <w:bookmarkEnd w:id="2"/>
      <w:r w:rsidRPr="00E72EA6">
        <w:t>e/klimawandel-und-anpassung/wasserhaushalt-gesamtbewertung-vulnerabilitaet</w:t>
      </w:r>
      <w:r>
        <w:t>)</w:t>
      </w:r>
    </w:p>
    <w:p w14:paraId="12D7DE6A" w14:textId="77777777" w:rsidR="004C6FCC" w:rsidRDefault="004C6FCC" w:rsidP="004C6FCC">
      <w:r w:rsidRPr="004C6FCC">
        <w:t>- Wir müssen uns in Zukunft auf häufigere Starkregenereignisse, mehr und längere Hitzeperioden und Trockenphasen vor allem im Sommer und vermehrte Niederschläge und Hochwasserereignisse vor allem im Winterhalbjahr einstellen.</w:t>
      </w:r>
    </w:p>
    <w:p w14:paraId="7E7C4605" w14:textId="77777777" w:rsidR="00E72EA6" w:rsidRDefault="00E72EA6" w:rsidP="004C6FCC">
      <w:r>
        <w:t xml:space="preserve">- </w:t>
      </w:r>
      <w:r w:rsidRPr="00E72EA6">
        <w:t> Der Gesamtniederschlag pro Jahr wird sich voraussichtlich nur gering ändern, aber saisonal verschieben: künftig wird es im Winter häufiger regnen als bisher, aber weniger Schneefall geben. Damit wird die Hochwassergefahr weiter steigen. Künftig großflächig auftretende Niedrigwasserereignisse können zu erheblichen Beeinträchtigungen in der Binnenschifffahrt und Energiewirtschaft (Kraftwerkskühlung) aber auch bei der Gewässerqualität führen</w:t>
      </w:r>
    </w:p>
    <w:p w14:paraId="009732E5" w14:textId="77777777" w:rsidR="00E72EA6" w:rsidRDefault="00E72EA6" w:rsidP="004C6FCC">
      <w:r>
        <w:t xml:space="preserve">- Die Vulnerabilität des Wasserhaushalts wird für verschiedene Bereiche </w:t>
      </w:r>
      <w:proofErr w:type="spellStart"/>
      <w:r>
        <w:t>uta</w:t>
      </w:r>
      <w:proofErr w:type="spellEnd"/>
      <w:r>
        <w:t xml:space="preserve">. auch Niedrigwasser als hoch eingestuft. </w:t>
      </w:r>
    </w:p>
    <w:tbl>
      <w:tblPr>
        <w:tblStyle w:val="Tabellenraster"/>
        <w:tblW w:w="0" w:type="auto"/>
        <w:tblLook w:val="04A0" w:firstRow="1" w:lastRow="0" w:firstColumn="1" w:lastColumn="0" w:noHBand="0" w:noVBand="1"/>
      </w:tblPr>
      <w:tblGrid>
        <w:gridCol w:w="1759"/>
        <w:gridCol w:w="1703"/>
        <w:gridCol w:w="1759"/>
        <w:gridCol w:w="2090"/>
        <w:gridCol w:w="1751"/>
      </w:tblGrid>
      <w:tr w:rsidR="00E72EA6" w14:paraId="2D772FAB" w14:textId="77777777" w:rsidTr="00E72EA6">
        <w:tc>
          <w:tcPr>
            <w:tcW w:w="1812" w:type="dxa"/>
          </w:tcPr>
          <w:p w14:paraId="43881F15" w14:textId="77777777" w:rsidR="00E72EA6" w:rsidRDefault="00E72EA6" w:rsidP="004C6FCC">
            <w:r>
              <w:t>Bereich</w:t>
            </w:r>
          </w:p>
        </w:tc>
        <w:tc>
          <w:tcPr>
            <w:tcW w:w="1812" w:type="dxa"/>
          </w:tcPr>
          <w:p w14:paraId="581D42B1" w14:textId="77777777" w:rsidR="00E72EA6" w:rsidRDefault="00E72EA6" w:rsidP="004C6FCC">
            <w:r>
              <w:t>Exposition</w:t>
            </w:r>
          </w:p>
        </w:tc>
        <w:tc>
          <w:tcPr>
            <w:tcW w:w="1812" w:type="dxa"/>
          </w:tcPr>
          <w:p w14:paraId="75947257" w14:textId="77777777" w:rsidR="00E72EA6" w:rsidRDefault="00E72EA6" w:rsidP="004C6FCC">
            <w:r>
              <w:t xml:space="preserve">Sensitivität, </w:t>
            </w:r>
            <w:proofErr w:type="spellStart"/>
            <w:r>
              <w:t>pot</w:t>
            </w:r>
            <w:proofErr w:type="spellEnd"/>
            <w:r>
              <w:t>. Auswirkungen</w:t>
            </w:r>
          </w:p>
        </w:tc>
        <w:tc>
          <w:tcPr>
            <w:tcW w:w="1813" w:type="dxa"/>
          </w:tcPr>
          <w:p w14:paraId="5AF35EFA" w14:textId="77777777" w:rsidR="00E72EA6" w:rsidRDefault="00E72EA6" w:rsidP="004C6FCC">
            <w:r>
              <w:t>Anpassungskapazität</w:t>
            </w:r>
          </w:p>
        </w:tc>
        <w:tc>
          <w:tcPr>
            <w:tcW w:w="1813" w:type="dxa"/>
          </w:tcPr>
          <w:p w14:paraId="458F81E6" w14:textId="77777777" w:rsidR="00E72EA6" w:rsidRDefault="00E72EA6" w:rsidP="004C6FCC">
            <w:r>
              <w:t>Vulnerabilität</w:t>
            </w:r>
          </w:p>
        </w:tc>
      </w:tr>
      <w:tr w:rsidR="00E72EA6" w14:paraId="2348CCA1" w14:textId="77777777" w:rsidTr="00E72EA6">
        <w:tc>
          <w:tcPr>
            <w:tcW w:w="1812" w:type="dxa"/>
          </w:tcPr>
          <w:p w14:paraId="506C882A" w14:textId="77777777" w:rsidR="00E72EA6" w:rsidRDefault="00E72EA6" w:rsidP="004C6FCC">
            <w:r>
              <w:lastRenderedPageBreak/>
              <w:t>Niedrigwasser</w:t>
            </w:r>
          </w:p>
        </w:tc>
        <w:tc>
          <w:tcPr>
            <w:tcW w:w="1812" w:type="dxa"/>
          </w:tcPr>
          <w:p w14:paraId="6EB09350" w14:textId="77777777" w:rsidR="00E72EA6" w:rsidRDefault="00E72EA6" w:rsidP="004C6FCC">
            <w:r>
              <w:t>hoch</w:t>
            </w:r>
          </w:p>
        </w:tc>
        <w:tc>
          <w:tcPr>
            <w:tcW w:w="1812" w:type="dxa"/>
          </w:tcPr>
          <w:p w14:paraId="07105F06" w14:textId="77777777" w:rsidR="00E72EA6" w:rsidRDefault="00E72EA6" w:rsidP="004C6FCC">
            <w:r>
              <w:t xml:space="preserve">hoch </w:t>
            </w:r>
          </w:p>
        </w:tc>
        <w:tc>
          <w:tcPr>
            <w:tcW w:w="1813" w:type="dxa"/>
          </w:tcPr>
          <w:p w14:paraId="1A1A1F81" w14:textId="77777777" w:rsidR="00E72EA6" w:rsidRDefault="00E72EA6" w:rsidP="004C6FCC">
            <w:r>
              <w:t>gering</w:t>
            </w:r>
          </w:p>
        </w:tc>
        <w:tc>
          <w:tcPr>
            <w:tcW w:w="1813" w:type="dxa"/>
          </w:tcPr>
          <w:p w14:paraId="773765C9" w14:textId="3AA9DD61" w:rsidR="00E72EA6" w:rsidRDefault="00CF2F59" w:rsidP="004C6FCC">
            <w:r>
              <w:t>H</w:t>
            </w:r>
            <w:r w:rsidR="00E72EA6">
              <w:t>och</w:t>
            </w:r>
          </w:p>
        </w:tc>
      </w:tr>
    </w:tbl>
    <w:p w14:paraId="3ADEF2A9" w14:textId="77777777" w:rsidR="00E72EA6" w:rsidRPr="004C6FCC" w:rsidRDefault="00E72EA6" w:rsidP="004C6FCC"/>
    <w:p w14:paraId="161023C0" w14:textId="77777777" w:rsidR="009D1D9D" w:rsidRDefault="009D1D9D" w:rsidP="009D1D9D">
      <w:pPr>
        <w:pStyle w:val="berschrift1"/>
      </w:pPr>
      <w:r>
        <w:t>Alte Arbeiten:</w:t>
      </w:r>
    </w:p>
    <w:p w14:paraId="043834E0" w14:textId="77777777" w:rsidR="008D762F" w:rsidRDefault="008D762F" w:rsidP="008D762F">
      <w:pPr>
        <w:pStyle w:val="berschrift2"/>
      </w:pPr>
      <w:proofErr w:type="spellStart"/>
      <w:r>
        <w:t>Niedrigwasser_Synthesebericht</w:t>
      </w:r>
      <w:proofErr w:type="spellEnd"/>
      <w:r>
        <w:t>:</w:t>
      </w:r>
    </w:p>
    <w:p w14:paraId="7B512AB8" w14:textId="77777777" w:rsidR="008D762F" w:rsidRDefault="008D762F" w:rsidP="008D762F">
      <w:r>
        <w:t xml:space="preserve">Grunddaten zur </w:t>
      </w:r>
      <w:proofErr w:type="spellStart"/>
      <w:r>
        <w:t>Dreisam</w:t>
      </w:r>
      <w:proofErr w:type="spellEnd"/>
      <w:r>
        <w:t>:</w:t>
      </w:r>
    </w:p>
    <w:p w14:paraId="73E0E1A2" w14:textId="77777777" w:rsidR="008D762F" w:rsidRPr="008865B1" w:rsidRDefault="008D762F" w:rsidP="008865B1">
      <w:pPr>
        <w:spacing w:after="0"/>
      </w:pPr>
      <w:r w:rsidRPr="008865B1">
        <w:t xml:space="preserve">Die </w:t>
      </w:r>
      <w:proofErr w:type="spellStart"/>
      <w:r w:rsidRPr="008865B1">
        <w:t>Dreisam</w:t>
      </w:r>
      <w:proofErr w:type="spellEnd"/>
      <w:r w:rsidRPr="008865B1">
        <w:t xml:space="preserve"> ist ein 50 km langes Fließgewässer, durchfließt den Schwarzwald sowie die</w:t>
      </w:r>
    </w:p>
    <w:p w14:paraId="153CE962" w14:textId="77777777" w:rsidR="008D762F" w:rsidRPr="008865B1" w:rsidRDefault="008D762F" w:rsidP="008865B1">
      <w:pPr>
        <w:spacing w:after="0"/>
      </w:pPr>
      <w:r w:rsidRPr="008865B1">
        <w:t>Oberrheinebene und mündet über die Elz in den Rhein. Das Einzugsgebiet entwässert etwa</w:t>
      </w:r>
    </w:p>
    <w:p w14:paraId="5CD20CDF" w14:textId="77777777" w:rsidR="008D762F" w:rsidRPr="008865B1" w:rsidRDefault="008D762F" w:rsidP="008865B1">
      <w:pPr>
        <w:spacing w:after="0"/>
      </w:pPr>
      <w:r w:rsidRPr="008865B1">
        <w:t>520 km2. Zum Einzugsgebiet zählen dabei unter anderem der Feldberg (1493 m ü. NN), der</w:t>
      </w:r>
    </w:p>
    <w:p w14:paraId="0144B0AA" w14:textId="77777777" w:rsidR="008D762F" w:rsidRPr="008865B1" w:rsidRDefault="008D762F" w:rsidP="008865B1">
      <w:pPr>
        <w:spacing w:after="0"/>
      </w:pPr>
      <w:r w:rsidRPr="008865B1">
        <w:t>Schauinsland (1284 m NN) und die Stadt Freiburg im Breisgau. Die Jahresmitteltemperaturen</w:t>
      </w:r>
    </w:p>
    <w:p w14:paraId="433A2194" w14:textId="77777777" w:rsidR="008D762F" w:rsidRPr="008865B1" w:rsidRDefault="008D762F" w:rsidP="008865B1">
      <w:pPr>
        <w:spacing w:after="0"/>
      </w:pPr>
      <w:r w:rsidRPr="008865B1">
        <w:t>im Einzugsgebiet schwanken deutlich von der Rheinebene (11 °C) bis zum Hochschwarzwald (5.4 °C) bei einem ausgeprägten Niederschlagsgradienten mit mittleren Jahressummen</w:t>
      </w:r>
    </w:p>
    <w:p w14:paraId="282710F9" w14:textId="77777777" w:rsidR="008D762F" w:rsidRPr="008865B1" w:rsidRDefault="008D762F" w:rsidP="008865B1">
      <w:pPr>
        <w:spacing w:after="0"/>
      </w:pPr>
      <w:r w:rsidRPr="008865B1">
        <w:t>von 600 bis 2000 mm. Die Geologie des Oberlaufs ist durch jungquartäre Schotterflächen</w:t>
      </w:r>
    </w:p>
    <w:p w14:paraId="7DC2D61A" w14:textId="77777777" w:rsidR="008D762F" w:rsidRPr="008865B1" w:rsidRDefault="008D762F" w:rsidP="008865B1">
      <w:pPr>
        <w:spacing w:after="0"/>
      </w:pPr>
      <w:r w:rsidRPr="008865B1">
        <w:t>des Schwarzwalds und kristallines Grundgestein (</w:t>
      </w:r>
      <w:proofErr w:type="spellStart"/>
      <w:r w:rsidRPr="008865B1">
        <w:t>Kluftaquifere</w:t>
      </w:r>
      <w:proofErr w:type="spellEnd"/>
      <w:r w:rsidRPr="008865B1">
        <w:t>) geprägt, im</w:t>
      </w:r>
    </w:p>
    <w:p w14:paraId="369CA5BF" w14:textId="77777777" w:rsidR="008D762F" w:rsidRPr="008865B1" w:rsidRDefault="008D762F" w:rsidP="008865B1">
      <w:pPr>
        <w:spacing w:after="0"/>
      </w:pPr>
      <w:r w:rsidRPr="008865B1">
        <w:t>Unterlauf sind vorwiegend holozäne Aufschüttungen mit quartären Kiesen und Sanden vorzufinden.</w:t>
      </w:r>
    </w:p>
    <w:p w14:paraId="328F656E" w14:textId="77777777" w:rsidR="008D762F" w:rsidRPr="008865B1" w:rsidRDefault="008D762F" w:rsidP="008865B1">
      <w:pPr>
        <w:spacing w:after="0"/>
      </w:pPr>
      <w:r w:rsidRPr="008865B1">
        <w:t>Durch die räumlich stark variable Geologie und klimatische Bedingungen ergeben</w:t>
      </w:r>
    </w:p>
    <w:p w14:paraId="42330D05" w14:textId="77777777" w:rsidR="008D762F" w:rsidRPr="008865B1" w:rsidRDefault="008D762F" w:rsidP="008865B1">
      <w:pPr>
        <w:spacing w:after="0"/>
      </w:pPr>
      <w:r w:rsidRPr="008865B1">
        <w:t>sich unterschiedlich hohe mittlere Grundwasserneubildungsraten (300 mm bis über 600 mm</w:t>
      </w:r>
    </w:p>
    <w:p w14:paraId="3B874D69" w14:textId="77777777" w:rsidR="008D762F" w:rsidRPr="008865B1" w:rsidRDefault="008D762F" w:rsidP="008865B1">
      <w:pPr>
        <w:spacing w:after="0"/>
      </w:pPr>
      <w:r w:rsidRPr="008865B1">
        <w:t>pro Jahr). Durch Flussbegradigungen und Kanalisierungen gilt das Gewässer als vollständig</w:t>
      </w:r>
    </w:p>
    <w:p w14:paraId="50B191C1" w14:textId="77777777" w:rsidR="008D762F" w:rsidRPr="008865B1" w:rsidRDefault="008D762F" w:rsidP="008865B1">
      <w:pPr>
        <w:spacing w:after="0"/>
      </w:pPr>
      <w:r w:rsidRPr="008865B1">
        <w:t>verändert, allein wenige Abschnitte der Oberläufe weisen eine unveränderte Gewässerstruktur</w:t>
      </w:r>
    </w:p>
    <w:p w14:paraId="4731866F" w14:textId="77777777" w:rsidR="008D762F" w:rsidRDefault="008D762F" w:rsidP="008865B1">
      <w:pPr>
        <w:spacing w:after="0"/>
      </w:pPr>
      <w:r w:rsidRPr="008865B1">
        <w:t>auf.</w:t>
      </w:r>
    </w:p>
    <w:p w14:paraId="51FF2AB0" w14:textId="77777777" w:rsidR="008865B1" w:rsidRDefault="008865B1" w:rsidP="008865B1">
      <w:pPr>
        <w:spacing w:after="0"/>
      </w:pPr>
    </w:p>
    <w:p w14:paraId="45157E06" w14:textId="77777777" w:rsidR="008D762F" w:rsidRPr="008865B1" w:rsidRDefault="008865B1" w:rsidP="008865B1">
      <w:pPr>
        <w:spacing w:after="0"/>
        <w:rPr>
          <w:highlight w:val="yellow"/>
        </w:rPr>
      </w:pPr>
      <w:r w:rsidRPr="008865B1">
        <w:rPr>
          <w:highlight w:val="yellow"/>
        </w:rPr>
        <w:t>- Niedrigwasser Analyse:</w:t>
      </w:r>
      <w:r>
        <w:rPr>
          <w:highlight w:val="yellow"/>
        </w:rPr>
        <w:t xml:space="preserve"> </w:t>
      </w:r>
    </w:p>
    <w:p w14:paraId="64908F15" w14:textId="77777777" w:rsidR="008865B1" w:rsidRPr="008865B1" w:rsidRDefault="008865B1" w:rsidP="008865B1">
      <w:pPr>
        <w:spacing w:after="0"/>
        <w:rPr>
          <w:highlight w:val="yellow"/>
        </w:rPr>
      </w:pPr>
      <w:r w:rsidRPr="008865B1">
        <w:rPr>
          <w:highlight w:val="yellow"/>
        </w:rPr>
        <w:t>• Sichtbarmachen der negativen Auswirkungen,</w:t>
      </w:r>
    </w:p>
    <w:p w14:paraId="18CE0FD8" w14:textId="77777777" w:rsidR="008865B1" w:rsidRPr="008865B1" w:rsidRDefault="008865B1" w:rsidP="008865B1">
      <w:pPr>
        <w:spacing w:after="0"/>
        <w:rPr>
          <w:highlight w:val="yellow"/>
        </w:rPr>
      </w:pPr>
      <w:r w:rsidRPr="008865B1">
        <w:rPr>
          <w:highlight w:val="yellow"/>
        </w:rPr>
        <w:t>• Analyse der Naturgefahr für Vergangenheit und Zukunft,</w:t>
      </w:r>
    </w:p>
    <w:p w14:paraId="34428492" w14:textId="77777777" w:rsidR="008865B1" w:rsidRPr="008865B1" w:rsidRDefault="008865B1" w:rsidP="008865B1">
      <w:pPr>
        <w:spacing w:after="0"/>
        <w:rPr>
          <w:highlight w:val="yellow"/>
        </w:rPr>
      </w:pPr>
      <w:r w:rsidRPr="008865B1">
        <w:rPr>
          <w:highlight w:val="yellow"/>
        </w:rPr>
        <w:t>• Ableitung potenzieller Auswirkungen und</w:t>
      </w:r>
    </w:p>
    <w:p w14:paraId="76E4AA3B" w14:textId="77777777" w:rsidR="008865B1" w:rsidRDefault="008865B1" w:rsidP="008865B1">
      <w:pPr>
        <w:spacing w:after="0"/>
      </w:pPr>
      <w:r w:rsidRPr="008865B1">
        <w:rPr>
          <w:highlight w:val="yellow"/>
        </w:rPr>
        <w:t>• Bewertung der Vulnerabilität.</w:t>
      </w:r>
    </w:p>
    <w:p w14:paraId="3D63876E" w14:textId="4C9C2C1B" w:rsidR="008865B1" w:rsidRDefault="008865B1" w:rsidP="008865B1">
      <w:pPr>
        <w:spacing w:after="0"/>
      </w:pPr>
      <w:r w:rsidRPr="008865B1">
        <w:t>-&gt; Die Analyse des Niedrigwasserrisikos dient hierbei als Grundlage der Entwicklung von Handlungsempfehlungen</w:t>
      </w:r>
    </w:p>
    <w:p w14:paraId="5399B857" w14:textId="77777777" w:rsidR="003F3A09" w:rsidRPr="003F3A09" w:rsidRDefault="003F3A09" w:rsidP="003F3A09">
      <w:pPr>
        <w:spacing w:after="0"/>
      </w:pPr>
      <w:r w:rsidRPr="003F3A09">
        <w:t>Die Analyse der Niedrigwasser-Gefahr unterscheidet sich generell in die Bereiche</w:t>
      </w:r>
    </w:p>
    <w:p w14:paraId="4B41BFA4" w14:textId="77777777" w:rsidR="003F3A09" w:rsidRPr="003F3A09" w:rsidRDefault="003F3A09" w:rsidP="003F3A09">
      <w:pPr>
        <w:spacing w:after="0"/>
      </w:pPr>
      <w:r w:rsidRPr="003F3A09">
        <w:rPr>
          <w:b/>
          <w:bCs/>
        </w:rPr>
        <w:t>Wasserqualität</w:t>
      </w:r>
      <w:r w:rsidRPr="003F3A09">
        <w:t xml:space="preserve"> und </w:t>
      </w:r>
      <w:r w:rsidRPr="003F3A09">
        <w:rPr>
          <w:b/>
          <w:bCs/>
        </w:rPr>
        <w:t>Wasserquantität</w:t>
      </w:r>
      <w:r w:rsidRPr="003F3A09">
        <w:t xml:space="preserve">. Dies betrifft prinzipiell sowohl </w:t>
      </w:r>
      <w:r w:rsidRPr="003F3A09">
        <w:rPr>
          <w:b/>
          <w:bCs/>
        </w:rPr>
        <w:t>Oberflächengewässer</w:t>
      </w:r>
      <w:r w:rsidRPr="003F3A09">
        <w:t>,</w:t>
      </w:r>
    </w:p>
    <w:p w14:paraId="1E54EF23" w14:textId="3461CED8" w:rsidR="003F3A09" w:rsidRDefault="003F3A09" w:rsidP="003F3A09">
      <w:pPr>
        <w:spacing w:after="0"/>
      </w:pPr>
      <w:r w:rsidRPr="003F3A09">
        <w:rPr>
          <w:b/>
          <w:bCs/>
        </w:rPr>
        <w:t xml:space="preserve">Fließgewässer </w:t>
      </w:r>
      <w:r w:rsidRPr="003F3A09">
        <w:t xml:space="preserve">und </w:t>
      </w:r>
      <w:r w:rsidRPr="003F3A09">
        <w:rPr>
          <w:b/>
          <w:bCs/>
        </w:rPr>
        <w:t>stehende Gewässer</w:t>
      </w:r>
      <w:r w:rsidRPr="003F3A09">
        <w:t xml:space="preserve">, als auch </w:t>
      </w:r>
      <w:r w:rsidRPr="003F3A09">
        <w:rPr>
          <w:b/>
          <w:bCs/>
        </w:rPr>
        <w:t>Grundwasserkörper</w:t>
      </w:r>
      <w:r w:rsidRPr="003F3A09">
        <w:t>.</w:t>
      </w:r>
    </w:p>
    <w:p w14:paraId="2E4F5350" w14:textId="77777777" w:rsidR="008865B1" w:rsidRDefault="008865B1" w:rsidP="008865B1">
      <w:pPr>
        <w:spacing w:after="0"/>
        <w:rPr>
          <w:noProof/>
        </w:rPr>
      </w:pPr>
    </w:p>
    <w:p w14:paraId="343C016D" w14:textId="77777777" w:rsidR="008865B1" w:rsidRDefault="008865B1" w:rsidP="008865B1">
      <w:pPr>
        <w:spacing w:after="0"/>
      </w:pPr>
      <w:r>
        <w:rPr>
          <w:noProof/>
        </w:rPr>
        <w:drawing>
          <wp:inline distT="0" distB="0" distL="0" distR="0" wp14:anchorId="785E13A1" wp14:editId="4C23F09D">
            <wp:extent cx="4343400" cy="2164080"/>
            <wp:effectExtent l="0" t="0" r="0" b="762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3624" t="24926" r="10979" b="8289"/>
                    <a:stretch/>
                  </pic:blipFill>
                  <pic:spPr bwMode="auto">
                    <a:xfrm>
                      <a:off x="0" y="0"/>
                      <a:ext cx="4343400" cy="2164080"/>
                    </a:xfrm>
                    <a:prstGeom prst="rect">
                      <a:avLst/>
                    </a:prstGeom>
                    <a:ln>
                      <a:noFill/>
                    </a:ln>
                    <a:extLst>
                      <a:ext uri="{53640926-AAD7-44D8-BBD7-CCE9431645EC}">
                        <a14:shadowObscured xmlns:a14="http://schemas.microsoft.com/office/drawing/2010/main"/>
                      </a:ext>
                    </a:extLst>
                  </pic:spPr>
                </pic:pic>
              </a:graphicData>
            </a:graphic>
          </wp:inline>
        </w:drawing>
      </w:r>
    </w:p>
    <w:p w14:paraId="7D0F7282" w14:textId="77777777" w:rsidR="00517770" w:rsidRDefault="00517770" w:rsidP="008865B1">
      <w:pPr>
        <w:spacing w:after="0"/>
        <w:rPr>
          <w:noProof/>
        </w:rPr>
      </w:pPr>
    </w:p>
    <w:p w14:paraId="54A8E31B" w14:textId="27490D43" w:rsidR="008865B1" w:rsidRDefault="0011046B" w:rsidP="008865B1">
      <w:pPr>
        <w:spacing w:after="0"/>
      </w:pPr>
      <w:r>
        <w:rPr>
          <w:noProof/>
        </w:rPr>
        <w:lastRenderedPageBreak/>
        <mc:AlternateContent>
          <mc:Choice Requires="wps">
            <w:drawing>
              <wp:anchor distT="0" distB="0" distL="114300" distR="114300" simplePos="0" relativeHeight="251666432" behindDoc="0" locked="0" layoutInCell="1" allowOverlap="1" wp14:anchorId="19D28AE2" wp14:editId="3D26BD65">
                <wp:simplePos x="0" y="0"/>
                <wp:positionH relativeFrom="column">
                  <wp:posOffset>4975225</wp:posOffset>
                </wp:positionH>
                <wp:positionV relativeFrom="paragraph">
                  <wp:posOffset>5440045</wp:posOffset>
                </wp:positionV>
                <wp:extent cx="1638300" cy="457200"/>
                <wp:effectExtent l="0" t="0" r="19050" b="19050"/>
                <wp:wrapNone/>
                <wp:docPr id="13" name="Textfeld 13"/>
                <wp:cNvGraphicFramePr/>
                <a:graphic xmlns:a="http://schemas.openxmlformats.org/drawingml/2006/main">
                  <a:graphicData uri="http://schemas.microsoft.com/office/word/2010/wordprocessingShape">
                    <wps:wsp>
                      <wps:cNvSpPr txBox="1"/>
                      <wps:spPr>
                        <a:xfrm>
                          <a:off x="0" y="0"/>
                          <a:ext cx="1638300" cy="457200"/>
                        </a:xfrm>
                        <a:prstGeom prst="rect">
                          <a:avLst/>
                        </a:prstGeom>
                        <a:solidFill>
                          <a:schemeClr val="lt1"/>
                        </a:solidFill>
                        <a:ln w="6350">
                          <a:solidFill>
                            <a:prstClr val="black"/>
                          </a:solidFill>
                        </a:ln>
                      </wps:spPr>
                      <wps:txbx>
                        <w:txbxContent>
                          <w:p w14:paraId="16F49A68" w14:textId="77777777" w:rsidR="00CB6360" w:rsidRPr="0011046B" w:rsidRDefault="00CB6360">
                            <w:pPr>
                              <w:rPr>
                                <w:b/>
                                <w:bCs/>
                              </w:rPr>
                            </w:pPr>
                            <w:r w:rsidRPr="0011046B">
                              <w:rPr>
                                <w:b/>
                                <w:bCs/>
                              </w:rPr>
                              <w:t>Anpassungsfähigkeit</w:t>
                            </w:r>
                            <w:r>
                              <w:rPr>
                                <w:b/>
                                <w:bCs/>
                              </w:rPr>
                              <w:t>/</w:t>
                            </w:r>
                            <w:r w:rsidRPr="0011046B">
                              <w:rPr>
                                <w:b/>
                                <w:bCs/>
                              </w:rPr>
                              <w:t xml:space="preserve"> Handlungsmöglichkeiten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D28AE2" id="_x0000_t202" coordsize="21600,21600" o:spt="202" path="m,l,21600r21600,l21600,xe">
                <v:stroke joinstyle="miter"/>
                <v:path gradientshapeok="t" o:connecttype="rect"/>
              </v:shapetype>
              <v:shape id="Textfeld 13" o:spid="_x0000_s1026" type="#_x0000_t202" style="position:absolute;margin-left:391.75pt;margin-top:428.35pt;width:129pt;height: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at3SwIAAKMEAAAOAAAAZHJzL2Uyb0RvYy54bWysVMFOGzEQvVfqP1i+l01IoBCxQWkQVSUE&#10;SFBxdrw2WdXrcW0nu/Tr++zdhEB7qnrxjj3PzzNvZvbismsM2yofarIlHx+NOFNWUlXb55J/f7z+&#10;dMZZiMJWwpBVJX9RgV/OP364aN1MHdOaTKU8A4kNs9aVfB2jmxVFkGvViHBETlk4NflGRGz9c1F5&#10;0YK9McXxaHRatOQr50mqEHB61Tv5PPNrrWS80zqoyEzJEVvMq8/rKq3F/ELMnr1w61oOYYh/iKIR&#10;tcWje6orEQXb+PoPqqaWngLpeCSpKUjrWqqcA7IZj95l87AWTuVcIE5we5nC/6OVt9t7z+oKtZtw&#10;ZkWDGj2qLmplKoYj6NO6MAPswQEYuy/UAbs7DzhMaXfaN+mLhBj8UPplry7YmEyXTidnkxFcEr7p&#10;yWeUL9EUr7edD/GrooYlo+Qe1cuiiu1NiD10B0mPBTJ1dV0bkzepY9TSeLYVqLWJOUaQv0EZy9qS&#10;n05ORpn4jS9R7++vjJA/hvAOUOAzFjEnTfrckxW7VTcItaLqBTp56jstOHldg/dGhHgvPFoL+WNc&#10;4h0WbQjB0GBxtib/62/nCY+Kw8tZi1Ytefi5EV5xZr5Z9ML5eDpNvZ03WVjO/KFndeixm2ZJUGiM&#10;wXQym7jso9mZ2lPzhKlapFfhElbi7ZLHnbmM/QBhKqVaLDII3exEvLEPTibqVJGk52P3JLwb6hnR&#10;Cbe0a2oxe1fWHptuWlpsIuk61zwJ3Ks66I5JyF0zTG0atcN9Rr3+W+a/AQAA//8DAFBLAwQUAAYA&#10;CAAAACEAMJzy598AAAAMAQAADwAAAGRycy9kb3ducmV2LnhtbEyPwU7DMAyG70i8Q2QkbizdYGtW&#10;6k6ABpedGIiz12RJRJNUTdaVtyc7wdH2p9/fX28m17FRDdEGjzCfFcCUb4O0XiN8frzeCWAxkZfU&#10;Ba8QflSETXN9VVMlw9m/q3GfNMshPlaEYFLqK85ja5SjOAu98vl2DIOjlMdBcznQOYe7ji+KYsUd&#10;WZ8/GOrVi1Ht9/7kELbPeq1bQYPZCmntOH0dd/oN8fZmenoEltSU/mC46Gd1aLLTIZy8jKxDKMX9&#10;MqMIYrkqgV2I4mGeVweE9UKUwJua/y/R/AIAAP//AwBQSwECLQAUAAYACAAAACEAtoM4kv4AAADh&#10;AQAAEwAAAAAAAAAAAAAAAAAAAAAAW0NvbnRlbnRfVHlwZXNdLnhtbFBLAQItABQABgAIAAAAIQA4&#10;/SH/1gAAAJQBAAALAAAAAAAAAAAAAAAAAC8BAABfcmVscy8ucmVsc1BLAQItABQABgAIAAAAIQBV&#10;fat3SwIAAKMEAAAOAAAAAAAAAAAAAAAAAC4CAABkcnMvZTJvRG9jLnhtbFBLAQItABQABgAIAAAA&#10;IQAwnPLn3wAAAAwBAAAPAAAAAAAAAAAAAAAAAKUEAABkcnMvZG93bnJldi54bWxQSwUGAAAAAAQA&#10;BADzAAAAsQUAAAAA&#10;" fillcolor="white [3201]" strokeweight=".5pt">
                <v:textbox>
                  <w:txbxContent>
                    <w:p w14:paraId="16F49A68" w14:textId="77777777" w:rsidR="00CB6360" w:rsidRPr="0011046B" w:rsidRDefault="00CB6360">
                      <w:pPr>
                        <w:rPr>
                          <w:b/>
                          <w:bCs/>
                        </w:rPr>
                      </w:pPr>
                      <w:r w:rsidRPr="0011046B">
                        <w:rPr>
                          <w:b/>
                          <w:bCs/>
                        </w:rPr>
                        <w:t>Anpassungsfähigkeit</w:t>
                      </w:r>
                      <w:r>
                        <w:rPr>
                          <w:b/>
                          <w:bCs/>
                        </w:rPr>
                        <w:t>/</w:t>
                      </w:r>
                      <w:r w:rsidRPr="0011046B">
                        <w:rPr>
                          <w:b/>
                          <w:bCs/>
                        </w:rPr>
                        <w:t xml:space="preserve"> Handlungsmöglichkeiten</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123C9580" wp14:editId="393FFFC1">
                <wp:simplePos x="0" y="0"/>
                <wp:positionH relativeFrom="column">
                  <wp:posOffset>37465</wp:posOffset>
                </wp:positionH>
                <wp:positionV relativeFrom="paragraph">
                  <wp:posOffset>4853305</wp:posOffset>
                </wp:positionV>
                <wp:extent cx="5196840" cy="1798320"/>
                <wp:effectExtent l="0" t="0" r="22860" b="11430"/>
                <wp:wrapNone/>
                <wp:docPr id="12" name="Rechteck: abgerundete Ecken 12"/>
                <wp:cNvGraphicFramePr/>
                <a:graphic xmlns:a="http://schemas.openxmlformats.org/drawingml/2006/main">
                  <a:graphicData uri="http://schemas.microsoft.com/office/word/2010/wordprocessingShape">
                    <wps:wsp>
                      <wps:cNvSpPr/>
                      <wps:spPr>
                        <a:xfrm>
                          <a:off x="0" y="0"/>
                          <a:ext cx="5196840" cy="179832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C2B117" id="Rechteck: abgerundete Ecken 12" o:spid="_x0000_s1026" style="position:absolute;margin-left:2.95pt;margin-top:382.15pt;width:409.2pt;height:141.6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WlqgIAAJ8FAAAOAAAAZHJzL2Uyb0RvYy54bWysVEtPGzEQvlfqf7B8L5ukQGHFBkXQVJUQ&#10;IKDi7HjH2RVej2s72aS/vmPvg4iiHqrmsPF4Zr55fZ6Ly12j2Racr9EUfHo04QyMxLI264L/eFp+&#10;OuPMB2FKodFAwffg+eX844eL1uYwwwp1CY4RiPF5awtehWDzLPOygkb4I7RgSKnQNSKQ6NZZ6URL&#10;6I3OZpPJadaiK61DCd7T7XWn5POErxTIcKeUh8B0wSm3kL4ufVfxm80vRL52wla17NMQ/5BFI2pD&#10;QUeoaxEE27j6D6imlg49qnAksclQqVpCqoGqmU7eVPNYCQupFmqOt2Ob/P+Dlbfbe8fqkmY348yI&#10;hmb0ALIKIF9yJlZrcBtTQgD2Vb6AYWRFLWutz8nz0d67XvJ0jPXvlGviP1XGdqnN+7HNsAtM0uXJ&#10;9Pz07JimIUk3/XJ+9nmWBpG9ulvnwzfAhsVDwR1SEpRWSD0W2xsfKC7ZD3YxpMFlrXUaqDbxwqOu&#10;y3iXBLdeXWnHtoKYsFxO6BcrIYwDM5Kiaxbr6ypKp7DXEDG0eQBFzaIaZimTRFMYYYWUYMK0U1Wi&#10;hC7ayWGwSOzokUInwIisKMsRuwcYLDuQAbvLubePrpBYPjpP/pZY5zx6pMhowujc1AbdewCaquoj&#10;d/ZDk7rWxC6tsNwTlRx2b8xbuaxpeDfCh3vh6FHRwGlRhDv6KI1twbE/cVah+/XefbQnrpOWs5Ye&#10;acH9z41wwJn+bugVnE+PI49CEo5PvhCPmDvUrA41ZtNcIU1/SivJynSM9kEPR+WweaZ9sohRSSWM&#10;pNgFl8ENwlXolgdtJAmLRTKjl2xFuDGPVkbw2NXIy6fds3C2Z3Ag8t/i8KBF/obDnW30NLjYBFR1&#10;IvhrX/t+0xZIxOk3Vlwzh3Kyet2r898AAAD//wMAUEsDBBQABgAIAAAAIQBpUlyA3wAAAAoBAAAP&#10;AAAAZHJzL2Rvd25yZXYueG1sTI/LTsMwEEX3SPyDNZXYUaehzxCnokgVsGBBG7F242kS4Zdip0n/&#10;nukKdjO6R3fO5NvRaHbBLrTOCphNE2BoK6daWwsoj/vHNbAQpVVSO4sCrhhgW9zf5TJTbrBfeDnE&#10;mlGJDZkU0MToM85D1aCRYeo8WsrOrjMy0trVXHVyoHKjeZokS25ka+lCIz2+Nlj9HHojwA3puPcf&#10;+nzs33a+vJab7937pxAPk/HlGVjEMf7BcNMndSjI6eR6qwLTAhYbAgWslvMnYJSv09twIjCZrxbA&#10;i5z/f6H4BQAA//8DAFBLAQItABQABgAIAAAAIQC2gziS/gAAAOEBAAATAAAAAAAAAAAAAAAAAAAA&#10;AABbQ29udGVudF9UeXBlc10ueG1sUEsBAi0AFAAGAAgAAAAhADj9If/WAAAAlAEAAAsAAAAAAAAA&#10;AAAAAAAALwEAAF9yZWxzLy5yZWxzUEsBAi0AFAAGAAgAAAAhAAP4BaWqAgAAnwUAAA4AAAAAAAAA&#10;AAAAAAAALgIAAGRycy9lMm9Eb2MueG1sUEsBAi0AFAAGAAgAAAAhAGlSXIDfAAAACgEAAA8AAAAA&#10;AAAAAAAAAAAABAUAAGRycy9kb3ducmV2LnhtbFBLBQYAAAAABAAEAPMAAAAQBgAAAAA=&#10;" filled="f" strokecolor="red" strokeweight="2pt"/>
            </w:pict>
          </mc:Fallback>
        </mc:AlternateContent>
      </w:r>
      <w:r>
        <w:rPr>
          <w:noProof/>
        </w:rPr>
        <mc:AlternateContent>
          <mc:Choice Requires="wps">
            <w:drawing>
              <wp:anchor distT="0" distB="0" distL="114300" distR="114300" simplePos="0" relativeHeight="251664384" behindDoc="0" locked="0" layoutInCell="1" allowOverlap="1" wp14:anchorId="6743680D" wp14:editId="1FFBABDE">
                <wp:simplePos x="0" y="0"/>
                <wp:positionH relativeFrom="column">
                  <wp:posOffset>5005705</wp:posOffset>
                </wp:positionH>
                <wp:positionV relativeFrom="paragraph">
                  <wp:posOffset>3916045</wp:posOffset>
                </wp:positionV>
                <wp:extent cx="449580" cy="7620"/>
                <wp:effectExtent l="0" t="57150" r="26670" b="87630"/>
                <wp:wrapNone/>
                <wp:docPr id="11" name="Gerade Verbindung mit Pfeil 11"/>
                <wp:cNvGraphicFramePr/>
                <a:graphic xmlns:a="http://schemas.openxmlformats.org/drawingml/2006/main">
                  <a:graphicData uri="http://schemas.microsoft.com/office/word/2010/wordprocessingShape">
                    <wps:wsp>
                      <wps:cNvCnPr/>
                      <wps:spPr>
                        <a:xfrm>
                          <a:off x="0" y="0"/>
                          <a:ext cx="44958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2B07CF8" id="_x0000_t32" coordsize="21600,21600" o:spt="32" o:oned="t" path="m,l21600,21600e" filled="f">
                <v:path arrowok="t" fillok="f" o:connecttype="none"/>
                <o:lock v:ext="edit" shapetype="t"/>
              </v:shapetype>
              <v:shape id="Gerade Verbindung mit Pfeil 11" o:spid="_x0000_s1026" type="#_x0000_t32" style="position:absolute;margin-left:394.15pt;margin-top:308.35pt;width:35.4pt;height:.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t+d4gEAAAcEAAAOAAAAZHJzL2Uyb0RvYy54bWysU01vEzEQvSPxHyzfySZRKSXKpocUekEQ&#10;UeDuese7lvyl8TQf/56xN9kiQEggLt61PW/mvTfj9e3RO7EHzDaGVi5mcykg6NjZ0Lfy65f3r26k&#10;yKRCp1wM0MoTZHm7eflifUgrWMYhug5QcJKQV4fUyoEorZom6wG8yrOYIPCliegV8Rb7pkN14Oze&#10;Ncv5/Lo5ROwSRg058+ndeCk3Nb8xoOmTMRlIuFYyN6or1vWxrM1mrVY9qjRYfaah/oGFVzZw0SnV&#10;nSIlntD+kspbjTFHQzMdfRONsRqqBlazmP+k5mFQCaoWNienyab8/9Lqj/sdCttx7xZSBOW5R/eA&#10;qgPxDfDRhu4p9MJbEjsD1gmOYssOKa8YuQ07PO9y2mHRfzToy5eViWO1+TTZDEcSmg+vrt6+vuFm&#10;aL56c72sTWieoQkz3UP0ovy0MhMq2w+0jSFwOyMuqtFq/yETF2fgBVDqulBWUta9C52gU2I9hFaF&#10;3kFhzuElpCkKRs71j04ORvhnMGwHsxzL1EGErUOxVzxCSmsIVD2omTi6wIx1bgLOK78/As/xBQp1&#10;SP8GPCFq5RhoAnsbIv6uOh0vlM0Yf3Fg1F0seIzdqXazWsPTVr06v4wyzj/uK/z5/W6+AwAA//8D&#10;AFBLAwQUAAYACAAAACEAmJ5j+OAAAAALAQAADwAAAGRycy9kb3ducmV2LnhtbEyPy07DMBBF90j8&#10;gzVI7KiTBpI0jVOVl9QltGy6c+MhiYjHke225u9xV2U5M0d3zq1XQY/shNYNhgSkswQYUmvUQJ2A&#10;r937QwnMeUlKjoZQwC86WDW3N7WslDnTJ562vmMxhFwlBfTeTxXnru1RSzczE1K8fRurpY+j7biy&#10;8hzD9cjnSZJzLQeKH3o54UuP7c/2qAU8f2z0+nVvA2bZ26MLOzOndiPE/V1YL4F5DP4Kw0U/qkMT&#10;nQ7mSMqxUUBRlllEBeRpXgCLRPm0SIEdLptiAbyp+f8OzR8AAAD//wMAUEsBAi0AFAAGAAgAAAAh&#10;ALaDOJL+AAAA4QEAABMAAAAAAAAAAAAAAAAAAAAAAFtDb250ZW50X1R5cGVzXS54bWxQSwECLQAU&#10;AAYACAAAACEAOP0h/9YAAACUAQAACwAAAAAAAAAAAAAAAAAvAQAAX3JlbHMvLnJlbHNQSwECLQAU&#10;AAYACAAAACEAKAbfneIBAAAHBAAADgAAAAAAAAAAAAAAAAAuAgAAZHJzL2Uyb0RvYy54bWxQSwEC&#10;LQAUAAYACAAAACEAmJ5j+OAAAAALAQAADwAAAAAAAAAAAAAAAAA8BAAAZHJzL2Rvd25yZXYueG1s&#10;UEsFBgAAAAAEAAQA8wAAAEkFAAAAAA==&#10;" strokecolor="#4579b8 [3044]">
                <v:stroke endarrow="block"/>
              </v:shape>
            </w:pict>
          </mc:Fallback>
        </mc:AlternateContent>
      </w:r>
      <w:r>
        <w:rPr>
          <w:noProof/>
        </w:rPr>
        <mc:AlternateContent>
          <mc:Choice Requires="wps">
            <w:drawing>
              <wp:anchor distT="0" distB="0" distL="114300" distR="114300" simplePos="0" relativeHeight="251663360" behindDoc="0" locked="0" layoutInCell="1" allowOverlap="1" wp14:anchorId="14FD21C4" wp14:editId="4E0525EF">
                <wp:simplePos x="0" y="0"/>
                <wp:positionH relativeFrom="column">
                  <wp:posOffset>5470525</wp:posOffset>
                </wp:positionH>
                <wp:positionV relativeFrom="paragraph">
                  <wp:posOffset>3565525</wp:posOffset>
                </wp:positionV>
                <wp:extent cx="1173480" cy="617220"/>
                <wp:effectExtent l="0" t="0" r="26670" b="11430"/>
                <wp:wrapNone/>
                <wp:docPr id="8" name="Textfeld 8"/>
                <wp:cNvGraphicFramePr/>
                <a:graphic xmlns:a="http://schemas.openxmlformats.org/drawingml/2006/main">
                  <a:graphicData uri="http://schemas.microsoft.com/office/word/2010/wordprocessingShape">
                    <wps:wsp>
                      <wps:cNvSpPr txBox="1"/>
                      <wps:spPr>
                        <a:xfrm>
                          <a:off x="0" y="0"/>
                          <a:ext cx="1173480" cy="617220"/>
                        </a:xfrm>
                        <a:prstGeom prst="rect">
                          <a:avLst/>
                        </a:prstGeom>
                        <a:solidFill>
                          <a:schemeClr val="lt1"/>
                        </a:solidFill>
                        <a:ln w="6350">
                          <a:solidFill>
                            <a:prstClr val="black"/>
                          </a:solidFill>
                        </a:ln>
                      </wps:spPr>
                      <wps:txbx>
                        <w:txbxContent>
                          <w:p w14:paraId="65354B2B" w14:textId="77777777" w:rsidR="00CB6360" w:rsidRPr="0011046B" w:rsidRDefault="00CB6360">
                            <w:pPr>
                              <w:rPr>
                                <w:b/>
                                <w:bCs/>
                              </w:rPr>
                            </w:pPr>
                            <w:r w:rsidRPr="0011046B">
                              <w:rPr>
                                <w:b/>
                                <w:bCs/>
                              </w:rPr>
                              <w:t xml:space="preserve">Sensitivität/ </w:t>
                            </w:r>
                            <w:proofErr w:type="gramStart"/>
                            <w:r w:rsidRPr="0011046B">
                              <w:rPr>
                                <w:b/>
                                <w:bCs/>
                              </w:rPr>
                              <w:t>potentielle</w:t>
                            </w:r>
                            <w:proofErr w:type="gramEnd"/>
                            <w:r w:rsidRPr="0011046B">
                              <w:rPr>
                                <w:b/>
                                <w:bCs/>
                              </w:rPr>
                              <w:t xml:space="preserve"> Auswirkungen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FD21C4" id="Textfeld 8" o:spid="_x0000_s1027" type="#_x0000_t202" style="position:absolute;margin-left:430.75pt;margin-top:280.75pt;width:92.4pt;height:48.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UdnTgIAAKgEAAAOAAAAZHJzL2Uyb0RvYy54bWysVE1vGyEQvVfqf0Dc67Ud56OW15GbyFUl&#10;K4mUVDljFuJVWYYC9q776/vAH4nTnqpe2IEZHjPvzezkumsM2ygfarIlH/T6nCkrqartS8m/P80/&#10;XXEWorCVMGRVybcq8Ovpxw+T1o3VkFZkKuUZQGwYt67kqxjduCiCXKlGhB45ZeHU5BsRsfUvReVF&#10;C/TGFMN+/6JoyVfOk1Qh4PR25+TTjK+1kvFe66AiMyVHbjGvPq/LtBbTiRi/eOFWtdynIf4hi0bU&#10;Fo8eoW5FFGzt6z+gmlp6CqRjT1JTkNa1VLkGVDPov6vmcSWcyrWAnOCONIX/ByvvNg+e1VXJIZQV&#10;DSR6Ul3UylTsKrHTujBG0KNDWOy+UAeVD+cBh6noTvsmfVEOgx88b4/cAozJdGlweTa6gkvCdzG4&#10;HA4z+cXrbedD/KqoYckouYd2mVKxWYSITBB6CEmPBTJ1Na+NyZvUL+rGeLYRUNrEnCNunEQZy1o8&#10;fnbez8AnvgR9vL80Qv5IVZ4iYGcsDhMnu9qTFbtllxk88rKkagu6PO3aLTg5rwG/ECE+CI/+Ag2Y&#10;mXiPRRtCTrS3OFuR//W38xQP2eHlrEW/ljz8XAuvODPfLBri82A0Sg2eN6PzS9DL/FvP8q3Hrpsb&#10;AlEDTKeT2Uzx0RxM7al5xmjN0qtwCSvxdsnjwbyJuynCaEo1m+UgtLQTcWEfnUzQSZhE61P3LLzb&#10;yxrREHd06GwxfqfuLjbdtDRbR9J1lj7xvGN1Tz/GIauzH900b2/3Oer1BzP9DQAA//8DAFBLAwQU&#10;AAYACAAAACEAdv/5Md4AAAAMAQAADwAAAGRycy9kb3ducmV2LnhtbEyPwU7DMAyG70i8Q2Qkbiwd&#10;0BJK3QnQ4LITA3H2miyJaJKqybry9mRc4GbLn35/f7OaXc8mNUYbPMJyUQBTvgvSeo3w8f5yJYDF&#10;RF5SH7xC+FYRVu35WUO1DEf/pqZt0iyH+FgTgklpqDmPnVGO4iIMyufbPoyOUl5HzeVIxxzuen5d&#10;FBV3ZH3+YGhQz0Z1X9uDQ1g/6XvdCRrNWkhrp/lzv9GviJcX8+MDsKTm9AfDST+rQ5udduHgZWQ9&#10;gqiWZUYRyt/hRBS31Q2wHUJVijvgbcP/l2h/AAAA//8DAFBLAQItABQABgAIAAAAIQC2gziS/gAA&#10;AOEBAAATAAAAAAAAAAAAAAAAAAAAAABbQ29udGVudF9UeXBlc10ueG1sUEsBAi0AFAAGAAgAAAAh&#10;ADj9If/WAAAAlAEAAAsAAAAAAAAAAAAAAAAALwEAAF9yZWxzLy5yZWxzUEsBAi0AFAAGAAgAAAAh&#10;AE2tR2dOAgAAqAQAAA4AAAAAAAAAAAAAAAAALgIAAGRycy9lMm9Eb2MueG1sUEsBAi0AFAAGAAgA&#10;AAAhAHb/+THeAAAADAEAAA8AAAAAAAAAAAAAAAAAqAQAAGRycy9kb3ducmV2LnhtbFBLBQYAAAAA&#10;BAAEAPMAAACzBQAAAAA=&#10;" fillcolor="white [3201]" strokeweight=".5pt">
                <v:textbox>
                  <w:txbxContent>
                    <w:p w14:paraId="65354B2B" w14:textId="77777777" w:rsidR="00CB6360" w:rsidRPr="0011046B" w:rsidRDefault="00CB6360">
                      <w:pPr>
                        <w:rPr>
                          <w:b/>
                          <w:bCs/>
                        </w:rPr>
                      </w:pPr>
                      <w:r w:rsidRPr="0011046B">
                        <w:rPr>
                          <w:b/>
                          <w:bCs/>
                        </w:rPr>
                        <w:t xml:space="preserve">Sensitivität/ </w:t>
                      </w:r>
                      <w:proofErr w:type="gramStart"/>
                      <w:r w:rsidRPr="0011046B">
                        <w:rPr>
                          <w:b/>
                          <w:bCs/>
                        </w:rPr>
                        <w:t>potentielle</w:t>
                      </w:r>
                      <w:proofErr w:type="gramEnd"/>
                      <w:r w:rsidRPr="0011046B">
                        <w:rPr>
                          <w:b/>
                          <w:bCs/>
                        </w:rPr>
                        <w:t xml:space="preserve"> Auswirkungen</w:t>
                      </w:r>
                    </w:p>
                  </w:txbxContent>
                </v:textbox>
              </v:shape>
            </w:pict>
          </mc:Fallback>
        </mc:AlternateContent>
      </w:r>
      <w:r w:rsidR="00D72AAA">
        <w:rPr>
          <w:noProof/>
        </w:rPr>
        <mc:AlternateContent>
          <mc:Choice Requires="wps">
            <w:drawing>
              <wp:anchor distT="0" distB="0" distL="114300" distR="114300" simplePos="0" relativeHeight="251662336" behindDoc="0" locked="0" layoutInCell="1" allowOverlap="1" wp14:anchorId="368D1179" wp14:editId="5CE42C04">
                <wp:simplePos x="0" y="0"/>
                <wp:positionH relativeFrom="column">
                  <wp:posOffset>98425</wp:posOffset>
                </wp:positionH>
                <wp:positionV relativeFrom="paragraph">
                  <wp:posOffset>2971165</wp:posOffset>
                </wp:positionV>
                <wp:extent cx="5105400" cy="1844040"/>
                <wp:effectExtent l="0" t="0" r="19050" b="22860"/>
                <wp:wrapNone/>
                <wp:docPr id="7" name="Rechteck: abgerundete Ecken 7"/>
                <wp:cNvGraphicFramePr/>
                <a:graphic xmlns:a="http://schemas.openxmlformats.org/drawingml/2006/main">
                  <a:graphicData uri="http://schemas.microsoft.com/office/word/2010/wordprocessingShape">
                    <wps:wsp>
                      <wps:cNvSpPr/>
                      <wps:spPr>
                        <a:xfrm>
                          <a:off x="0" y="0"/>
                          <a:ext cx="5105400" cy="184404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D8339CA" id="Rechteck: abgerundete Ecken 7" o:spid="_x0000_s1026" style="position:absolute;margin-left:7.75pt;margin-top:233.95pt;width:402pt;height:145.2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LSIpwIAAJ0FAAAOAAAAZHJzL2Uyb0RvYy54bWysVM1u2zAMvg/YOwi6r7aDZO2MOkXQLsOA&#10;og3aDj0rMh0blUVNUuJkTz9KdtygK3YY5oMsiuTHf15e7VvFdmBdg7rg2VnKGWiJZaM3Bf/xtPx0&#10;wZnzQpdCoYaCH8Dxq/nHD5edyWGCNaoSLCMQ7fLOFLz23uRJ4mQNrXBnaEATs0LbCk+k3SSlFR2h&#10;tyqZpOnnpENbGosSnKPXm57J5xG/qkD6+6py4JkqOPnm42njuQ5nMr8U+cYKUzdycEP8gxetaDQZ&#10;HaFuhBdsa5s/oNpGWnRY+TOJbYJV1UiIMVA0WfommsdaGIixUHKcGdPk/h+svNutLGvKgp9zpkVL&#10;JXoAWXuQLzkT6w3YrS7BA/sqX0Cz85Cwzric9B7Nyg6Uo2uIfl/ZNvwpLraPST6MSYa9Z5IeZ1k6&#10;m6ZUC0m87GI6TaexDMmrurHOfwNsWbgU3CL5QF75mGGxu3We7JL8US6Y1LhslIrlVDo8OFRNGd4i&#10;YTfra2XZTlAfLJcpfSESwjgRIyqoJiG+PqJ48wcFAUPpB6goVRTDJHoSmxRGWCElaJ/1rFqU0Fub&#10;nRoLbR00oukIGJAr8nLEHgCOkj3IEbv3eZAPqhB7fFRO/+ZYrzxqRMuo/ajcNhrtewCKohos9/LH&#10;JPWpCVlaY3mgRrLYT5gzctlQ8W6F8ythaaSo4LQm/D0dlcKu4DjcOKvR/nrvPchTpxOXs45GtODu&#10;51ZY4Ex91zQDXzJqHprpSExn5xMi7ClnfcrR2/YaqfoZLSQj4zXIe3W8VhbbZ9omi2CVWEJLsl1w&#10;6e2RuPb96qB9JGGxiGI0x0b4W/1oZAAPWQ19+bR/FtYMHeyp+e/wOM4if9PDvWzQ1LjYeqya2OCv&#10;eR3yTTsgNs6wr8KSOaWj1OtWnf8GAAD//wMAUEsDBBQABgAIAAAAIQCLvu744QAAAAoBAAAPAAAA&#10;ZHJzL2Rvd25yZXYueG1sTI/BTsMwDIbvSLxD5EncWLpBt7ZrOjGkCXbgwFZxzpqsrWicqEnX7u0x&#10;Jzj+9qffn/PtZDp21b1vLQpYzCNgGiurWqwFlKf9YwLMB4lKdha1gJv2sC3u73KZKTvip74eQ82o&#10;BH0mBTQhuIxzXzXaSD+3TiPtLrY3MlDsa656OVK56fgyilbcyBbpQiOdfm109X0cjAA7Lqe9O3SX&#10;0/C2c+WtTL927x9CPMymlw2woKfwB8OvPqlDQU5nO6DyrKMcx0QKeF6tU2AEJIuUJmcB6zh5Al7k&#10;/P8LxQ8AAAD//wMAUEsBAi0AFAAGAAgAAAAhALaDOJL+AAAA4QEAABMAAAAAAAAAAAAAAAAAAAAA&#10;AFtDb250ZW50X1R5cGVzXS54bWxQSwECLQAUAAYACAAAACEAOP0h/9YAAACUAQAACwAAAAAAAAAA&#10;AAAAAAAvAQAAX3JlbHMvLnJlbHNQSwECLQAUAAYACAAAACEA9ey0iKcCAACdBQAADgAAAAAAAAAA&#10;AAAAAAAuAgAAZHJzL2Uyb0RvYy54bWxQSwECLQAUAAYACAAAACEAi77u+OEAAAAKAQAADwAAAAAA&#10;AAAAAAAAAAABBQAAZHJzL2Rvd25yZXYueG1sUEsFBgAAAAAEAAQA8wAAAA8GAAAAAA==&#10;" filled="f" strokecolor="red" strokeweight="2pt"/>
            </w:pict>
          </mc:Fallback>
        </mc:AlternateContent>
      </w:r>
      <w:r w:rsidR="00D72AAA">
        <w:rPr>
          <w:noProof/>
        </w:rPr>
        <mc:AlternateContent>
          <mc:Choice Requires="wps">
            <w:drawing>
              <wp:anchor distT="0" distB="0" distL="114300" distR="114300" simplePos="0" relativeHeight="251660288" behindDoc="0" locked="0" layoutInCell="1" allowOverlap="1" wp14:anchorId="7B9DD123" wp14:editId="706D2386">
                <wp:simplePos x="0" y="0"/>
                <wp:positionH relativeFrom="column">
                  <wp:posOffset>5523865</wp:posOffset>
                </wp:positionH>
                <wp:positionV relativeFrom="paragraph">
                  <wp:posOffset>1210945</wp:posOffset>
                </wp:positionV>
                <wp:extent cx="1043940" cy="274320"/>
                <wp:effectExtent l="0" t="0" r="22860" b="11430"/>
                <wp:wrapNone/>
                <wp:docPr id="5" name="Textfeld 5"/>
                <wp:cNvGraphicFramePr/>
                <a:graphic xmlns:a="http://schemas.openxmlformats.org/drawingml/2006/main">
                  <a:graphicData uri="http://schemas.microsoft.com/office/word/2010/wordprocessingShape">
                    <wps:wsp>
                      <wps:cNvSpPr txBox="1"/>
                      <wps:spPr>
                        <a:xfrm>
                          <a:off x="0" y="0"/>
                          <a:ext cx="1043940" cy="274320"/>
                        </a:xfrm>
                        <a:prstGeom prst="rect">
                          <a:avLst/>
                        </a:prstGeom>
                        <a:solidFill>
                          <a:schemeClr val="lt1"/>
                        </a:solidFill>
                        <a:ln w="6350">
                          <a:solidFill>
                            <a:prstClr val="black"/>
                          </a:solidFill>
                        </a:ln>
                      </wps:spPr>
                      <wps:txbx>
                        <w:txbxContent>
                          <w:p w14:paraId="5C353751" w14:textId="77777777" w:rsidR="00CB6360" w:rsidRPr="00D72AAA" w:rsidRDefault="00CB6360" w:rsidP="00D72AAA">
                            <w:pPr>
                              <w:jc w:val="center"/>
                              <w:rPr>
                                <w:b/>
                                <w:bCs/>
                              </w:rPr>
                            </w:pPr>
                            <w:r w:rsidRPr="00D72AAA">
                              <w:rPr>
                                <w:b/>
                                <w:bCs/>
                              </w:rPr>
                              <w:t>Exposition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9DD123" id="Textfeld 5" o:spid="_x0000_s1028" type="#_x0000_t202" style="position:absolute;margin-left:434.95pt;margin-top:95.35pt;width:82.2pt;height:2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J5TwIAAKgEAAAOAAAAZHJzL2Uyb0RvYy54bWysVEtv2zAMvg/YfxB0X+y82tWIU2QpMgwo&#10;2gLJ0LMiS7ExWdQkJXb260fJcZp0Ow27yHzpE/mR9Oy+rRU5COsq0DkdDlJKhOZQVHqX0++b1afP&#10;lDjPdMEUaJHTo3D0fv7xw6wxmRhBCaoQliCIdlljclp6b7IkcbwUNXMDMEKjU4KtmUfV7pLCsgbR&#10;a5WM0vQmacAWxgIXzqH1oXPSecSXUnD/LKUTnqicYm4+njae23Am8xnLdpaZsuKnNNg/ZFGzSuOj&#10;Z6gH5hnZ2+oPqLriFhxIP+BQJyBlxUWsAasZpu+qWZfMiFgLkuPMmSb3/2D50+HFkqrI6ZQSzWps&#10;0Ua0XgpVkGlgpzEuw6C1wTDffoEWu9zbHRpD0a20dfhiOQT9yPPxzC2CER4upZPx3QRdHH2j28l4&#10;FMlP3m4b6/xXATUJQk4t9i5Syg6PzmMmGNqHhMccqKpYVUpFJcyLWCpLDgw7rXzMEW9cRSlNmpze&#10;jKdpBL7yBejz/a1i/Eeo8hoBNaXRGDjpag+Sb7dtZHDU87KF4oh0WejGzRm+qhD+kTn/wizOF9KA&#10;O+Of8ZAKMCc4SZSUYH/9zR7ise3opaTBec2p+7lnVlCivmkciLvhJLDrozKZ3iK9xF56tpceva+X&#10;gEQNcTsNj2KI96oXpYX6FVdrEV5FF9Mc386p78Wl77YIV5OLxSIG4Ugb5h/12vAAHRoTaN20r8ya&#10;U1s9DsQT9JPNsnfd7WLDTQ2LvQdZxdYHnjtWT/TjOsTunFY37NulHqPefjDz3wAAAP//AwBQSwME&#10;FAAGAAgAAAAhAHIpHePeAAAADAEAAA8AAABkcnMvZG93bnJldi54bWxMj8FOwzAQRO9I/IO1SNyo&#10;TYNKnMapABUunCioZzd2bYt4HdluGv4e9wTH1TzNvG03sx/IpGNyAQXcLxgQjX1QDo2Ar8/XuxpI&#10;yhKVHAJqAT86waa7vmplo8IZP/S0y4aUEkyNFGBzHhtKU2+1l2kRRo0lO4boZS5nNFRFeS7lfqBL&#10;xlbUS4dlwcpRv1jdf+9OXsD22XDT1zLaba2cm+b98d28CXF7Mz+tgWQ95z8YLvpFHbridAgnVIkM&#10;AuoV5wUtAWePQC4Eqx4qIAcBy6riQLuW/n+i+wUAAP//AwBQSwECLQAUAAYACAAAACEAtoM4kv4A&#10;AADhAQAAEwAAAAAAAAAAAAAAAAAAAAAAW0NvbnRlbnRfVHlwZXNdLnhtbFBLAQItABQABgAIAAAA&#10;IQA4/SH/1gAAAJQBAAALAAAAAAAAAAAAAAAAAC8BAABfcmVscy8ucmVsc1BLAQItABQABgAIAAAA&#10;IQC+uXJ5TwIAAKgEAAAOAAAAAAAAAAAAAAAAAC4CAABkcnMvZTJvRG9jLnhtbFBLAQItABQABgAI&#10;AAAAIQByKR3j3gAAAAwBAAAPAAAAAAAAAAAAAAAAAKkEAABkcnMvZG93bnJldi54bWxQSwUGAAAA&#10;AAQABADzAAAAtAUAAAAA&#10;" fillcolor="white [3201]" strokeweight=".5pt">
                <v:textbox>
                  <w:txbxContent>
                    <w:p w14:paraId="5C353751" w14:textId="77777777" w:rsidR="00CB6360" w:rsidRPr="00D72AAA" w:rsidRDefault="00CB6360" w:rsidP="00D72AAA">
                      <w:pPr>
                        <w:jc w:val="center"/>
                        <w:rPr>
                          <w:b/>
                          <w:bCs/>
                        </w:rPr>
                      </w:pPr>
                      <w:r w:rsidRPr="00D72AAA">
                        <w:rPr>
                          <w:b/>
                          <w:bCs/>
                        </w:rPr>
                        <w:t>Exposition</w:t>
                      </w:r>
                    </w:p>
                  </w:txbxContent>
                </v:textbox>
              </v:shape>
            </w:pict>
          </mc:Fallback>
        </mc:AlternateContent>
      </w:r>
      <w:r w:rsidR="00D72AAA">
        <w:rPr>
          <w:noProof/>
        </w:rPr>
        <mc:AlternateContent>
          <mc:Choice Requires="wps">
            <w:drawing>
              <wp:anchor distT="0" distB="0" distL="114300" distR="114300" simplePos="0" relativeHeight="251661312" behindDoc="0" locked="0" layoutInCell="1" allowOverlap="1" wp14:anchorId="4AB0B700" wp14:editId="786952E3">
                <wp:simplePos x="0" y="0"/>
                <wp:positionH relativeFrom="column">
                  <wp:posOffset>4830445</wp:posOffset>
                </wp:positionH>
                <wp:positionV relativeFrom="paragraph">
                  <wp:posOffset>1401445</wp:posOffset>
                </wp:positionV>
                <wp:extent cx="487680" cy="7620"/>
                <wp:effectExtent l="0" t="57150" r="26670" b="87630"/>
                <wp:wrapNone/>
                <wp:docPr id="6" name="Gerade Verbindung mit Pfeil 6"/>
                <wp:cNvGraphicFramePr/>
                <a:graphic xmlns:a="http://schemas.openxmlformats.org/drawingml/2006/main">
                  <a:graphicData uri="http://schemas.microsoft.com/office/word/2010/wordprocessingShape">
                    <wps:wsp>
                      <wps:cNvCnPr/>
                      <wps:spPr>
                        <a:xfrm>
                          <a:off x="0" y="0"/>
                          <a:ext cx="48768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076272" id="Gerade Verbindung mit Pfeil 6" o:spid="_x0000_s1026" type="#_x0000_t32" style="position:absolute;margin-left:380.35pt;margin-top:110.35pt;width:38.4pt;height:.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FS43wEAAAUEAAAOAAAAZHJzL2Uyb0RvYy54bWysU02PEzEMvSPxH6Lc6bQV6lZVp3vowl4Q&#10;VMByTzPOTKR8yfH249/jpO0sAoQE4pKZJH72e8/O+v7knTgAZhtDK2eTqRQQdOxs6Fv59PX9m6UU&#10;mVTolIsBWnmGLO83r1+tj2kF8zhE1wEKThLy6phaORClVdNkPYBXeRITBL40Eb0i3mLfdKiOnN27&#10;Zj6dLppjxC5h1JAznz5cLuWm5jcGNH0yJgMJ10rmRnXFuu7L2mzWatWjSoPVVxrqH1h4ZQMXHVM9&#10;KFLiGe0vqbzVGHM0NNHRN9EYq6FqYDWz6U9qvgwqQdXC5uQ02pT/X1r98bBDYbtWLqQIynOLHgFV&#10;B+Ib4N6G7jn0wlsSOwPWiUUx7JjyinHbsMPrLqcdFvUng758WZc4VZPPo8lwIqH58O3ybrHkVmi+&#10;ulvMawuaF2jCTI8QvSg/rcyEyvYDbWMI3MyIs2qzOnzIxMUZeAOUui6UlZR170In6JxYDqFVoXdQ&#10;mHN4CWmKggvn+kdnBxf4ZzBsBrO8lKljCFuH4qB4gJTWEGg2ZuLoAjPWuRE4rfz+CLzGFyjUEf0b&#10;8IiolWOgEextiPi76nS6UTaX+JsDF93Fgn3szrWb1RqeterV9V2UYf5xX+Evr3fzHQAA//8DAFBL&#10;AwQUAAYACAAAACEA9dM6Ed4AAAALAQAADwAAAGRycy9kb3ducmV2LnhtbEyPPW/CMBCG90r8B+sq&#10;dSsOSUtoGgdRoBJjC126mfiaRMTnyDbg/nucqd3u49F7z5XLoHt2Qes6QwJm0wQYUm1UR42Ar8P7&#10;4wKY85KU7A2hgF90sKwmd6UslLnSJ172vmExhFwhBbTeDwXnrm5RSzc1A1Lc/RirpY+tbbiy8hrD&#10;dc/TJJlzLTuKF1o54LrF+rQ/awFvHzu92nzbgFm2fXLhYFKqd0I83IfVKzCPwf/BMOpHdaii09Gc&#10;STnWC8jnSR5RAWk6FpFYZPkzsOM4mb0Ar0r+/4fqBgAA//8DAFBLAQItABQABgAIAAAAIQC2gziS&#10;/gAAAOEBAAATAAAAAAAAAAAAAAAAAAAAAABbQ29udGVudF9UeXBlc10ueG1sUEsBAi0AFAAGAAgA&#10;AAAhADj9If/WAAAAlAEAAAsAAAAAAAAAAAAAAAAALwEAAF9yZWxzLy5yZWxzUEsBAi0AFAAGAAgA&#10;AAAhAATsVLjfAQAABQQAAA4AAAAAAAAAAAAAAAAALgIAAGRycy9lMm9Eb2MueG1sUEsBAi0AFAAG&#10;AAgAAAAhAPXTOhHeAAAACwEAAA8AAAAAAAAAAAAAAAAAOQQAAGRycy9kb3ducmV2LnhtbFBLBQYA&#10;AAAABAAEAPMAAABEBQAAAAA=&#10;" strokecolor="#4579b8 [3044]">
                <v:stroke endarrow="block"/>
              </v:shape>
            </w:pict>
          </mc:Fallback>
        </mc:AlternateContent>
      </w:r>
      <w:r w:rsidR="00D72AAA">
        <w:rPr>
          <w:noProof/>
        </w:rPr>
        <mc:AlternateContent>
          <mc:Choice Requires="wps">
            <w:drawing>
              <wp:anchor distT="0" distB="0" distL="114300" distR="114300" simplePos="0" relativeHeight="251659264" behindDoc="0" locked="0" layoutInCell="1" allowOverlap="1" wp14:anchorId="1A60C6D8" wp14:editId="0DB90AE3">
                <wp:simplePos x="0" y="0"/>
                <wp:positionH relativeFrom="column">
                  <wp:posOffset>106045</wp:posOffset>
                </wp:positionH>
                <wp:positionV relativeFrom="paragraph">
                  <wp:posOffset>471805</wp:posOffset>
                </wp:positionV>
                <wp:extent cx="5006340" cy="2453640"/>
                <wp:effectExtent l="0" t="0" r="22860" b="22860"/>
                <wp:wrapNone/>
                <wp:docPr id="4" name="Rechteck: abgerundete Ecken 4"/>
                <wp:cNvGraphicFramePr/>
                <a:graphic xmlns:a="http://schemas.openxmlformats.org/drawingml/2006/main">
                  <a:graphicData uri="http://schemas.microsoft.com/office/word/2010/wordprocessingShape">
                    <wps:wsp>
                      <wps:cNvSpPr/>
                      <wps:spPr>
                        <a:xfrm>
                          <a:off x="0" y="0"/>
                          <a:ext cx="5006340" cy="245364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761801" id="Rechteck: abgerundete Ecken 4" o:spid="_x0000_s1026" style="position:absolute;margin-left:8.35pt;margin-top:37.15pt;width:394.2pt;height:193.2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dLgpwIAAJ0FAAAOAAAAZHJzL2Uyb0RvYy54bWysVN9P2zAQfp+0/8Hy+0hbCtsiUlTBOk1C&#10;gICJZ9e5NBGOz7Pdpt1fz9lO04qhPUzLg+Pz3X33w5/v4nLbKrYB6xrUBR+fjDgDLbFs9KrgP58W&#10;n75w5rzQpVCooeA7cPxy9vHDRWdymGCNqgTLCES7vDMFr703eZY5WUMr3Aka0KSs0LbCk2hXWWlF&#10;R+ityiaj0XnWoS2NRQnO0el1UvJZxK8qkP6uqhx4pgpOufm42rguw5rNLkS+ssLUjezTEP+QRSsa&#10;TUEHqGvhBVvb5g+otpEWHVb+RGKbYVU1EmINVM149Kaax1oYiLVQc5wZ2uT+H6y83dxb1pQFn3Km&#10;RUtX9ACy9iBfciaWK7BrXYIH9k2+gGbT0LDOuJz8Hs297SVH21D9trJt+FNdbBubvBuaDFvPJB2e&#10;0a2dTukuJOkm07PTcxIIJzu4G+v8d8CWhU3BLVIOlJWPHRabG+eT/d4uhNS4aJSic5ErHVaHqinD&#10;WRTsanmlLNsI4sFiMaKvj3lkRhkE1yzUlyqKO79TkGAfoKJWUQ2TmEkkKQywQkrQfpxUtSghRaN6&#10;D8ECrYNHLFdpAgzIFWU5YPcAe8sEssdOdff2wRUixwfn0d8SS86DR4yM2g/ObaPRvgegqKo+crLf&#10;Nym1JnRpieWOiGQxvTBn5KKhy7sRzt8LS0+KLpzGhL+jpVLYFRz7HWc12t/vnQd7YjppOevoiRbc&#10;/VoLC5ypH5rewNfxNPDIR2F69nlCgj3WLI81et1eId3+mAaSkXEb7L3abyuL7TNNk3mISiqhJcUu&#10;uPR2L1z5NDpoHkmYz6MZvWMj/I1+NDKAh64GXj5tn4U1PYM9kf8W989Z5G84nGyDp8b52mPVRIIf&#10;+tr3m2ZAJE4/r8KQOZaj1WGqzl4BAAD//wMAUEsDBBQABgAIAAAAIQCocQRq4AAAAAkBAAAPAAAA&#10;ZHJzL2Rvd25yZXYueG1sTI/NTsMwEITvSLyDtUjcqN1SkhLiVBSpohw40Eac3XibRPgnip0mfXu2&#10;JziOZjTzTb6erGFn7EPrnYT5TABDV3ndulpCedg+rICFqJxWxjuUcMEA6+L2JleZ9qP7wvM+1oxK&#10;XMiUhCbGLuM8VA1aFWa+Q0feyfdWRZJ9zXWvRiq3hi+ESLhVraOFRnX41mD1sx+sBD8upm33YU6H&#10;4X3TlZfy+Xuz+5Ty/m56fQEWcYp/YbjiEzoUxHT0g9OBGdJJSkkJ6fIRGPkr8TQHdpSwTEQKvMj5&#10;/wfFLwAAAP//AwBQSwECLQAUAAYACAAAACEAtoM4kv4AAADhAQAAEwAAAAAAAAAAAAAAAAAAAAAA&#10;W0NvbnRlbnRfVHlwZXNdLnhtbFBLAQItABQABgAIAAAAIQA4/SH/1gAAAJQBAAALAAAAAAAAAAAA&#10;AAAAAC8BAABfcmVscy8ucmVsc1BLAQItABQABgAIAAAAIQBO7dLgpwIAAJ0FAAAOAAAAAAAAAAAA&#10;AAAAAC4CAABkcnMvZTJvRG9jLnhtbFBLAQItABQABgAIAAAAIQCocQRq4AAAAAkBAAAPAAAAAAAA&#10;AAAAAAAAAAEFAABkcnMvZG93bnJldi54bWxQSwUGAAAAAAQABADzAAAADgYAAAAA&#10;" filled="f" strokecolor="red" strokeweight="2pt"/>
            </w:pict>
          </mc:Fallback>
        </mc:AlternateContent>
      </w:r>
      <w:r w:rsidR="00517770">
        <w:rPr>
          <w:noProof/>
        </w:rPr>
        <w:drawing>
          <wp:inline distT="0" distB="0" distL="0" distR="0" wp14:anchorId="0EE365B5" wp14:editId="44C18FEB">
            <wp:extent cx="5052060" cy="6612644"/>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2302" t="11198" r="11905" b="402"/>
                    <a:stretch/>
                  </pic:blipFill>
                  <pic:spPr bwMode="auto">
                    <a:xfrm>
                      <a:off x="0" y="0"/>
                      <a:ext cx="5054590" cy="6615955"/>
                    </a:xfrm>
                    <a:prstGeom prst="rect">
                      <a:avLst/>
                    </a:prstGeom>
                    <a:ln>
                      <a:noFill/>
                    </a:ln>
                    <a:extLst>
                      <a:ext uri="{53640926-AAD7-44D8-BBD7-CCE9431645EC}">
                        <a14:shadowObscured xmlns:a14="http://schemas.microsoft.com/office/drawing/2010/main"/>
                      </a:ext>
                    </a:extLst>
                  </pic:spPr>
                </pic:pic>
              </a:graphicData>
            </a:graphic>
          </wp:inline>
        </w:drawing>
      </w:r>
    </w:p>
    <w:p w14:paraId="388E802F" w14:textId="4DD8516E" w:rsidR="003F3A09" w:rsidRDefault="003F3A09" w:rsidP="008865B1">
      <w:pPr>
        <w:spacing w:after="0"/>
      </w:pPr>
    </w:p>
    <w:p w14:paraId="7EB8D84D" w14:textId="09397B04" w:rsidR="003F3A09" w:rsidRPr="002E05D1" w:rsidRDefault="00A06D9E" w:rsidP="008865B1">
      <w:pPr>
        <w:spacing w:after="0"/>
        <w:rPr>
          <w:b/>
          <w:bCs/>
          <w:sz w:val="24"/>
          <w:szCs w:val="24"/>
        </w:rPr>
      </w:pPr>
      <w:r w:rsidRPr="002E05D1">
        <w:rPr>
          <w:b/>
          <w:bCs/>
          <w:sz w:val="24"/>
          <w:szCs w:val="24"/>
        </w:rPr>
        <w:t>Kennwerte:</w:t>
      </w:r>
    </w:p>
    <w:p w14:paraId="5360ACBC" w14:textId="77777777" w:rsidR="00A06D9E" w:rsidRPr="00A06D9E" w:rsidRDefault="00A06D9E" w:rsidP="00A06D9E">
      <w:pPr>
        <w:spacing w:after="0"/>
        <w:rPr>
          <w:b/>
          <w:bCs/>
        </w:rPr>
      </w:pPr>
      <w:r w:rsidRPr="00A06D9E">
        <w:rPr>
          <w:b/>
          <w:bCs/>
        </w:rPr>
        <w:t>MQ, NQ und MNQ</w:t>
      </w:r>
    </w:p>
    <w:p w14:paraId="3ECF941E" w14:textId="77777777" w:rsidR="00A06D9E" w:rsidRPr="00A06D9E" w:rsidRDefault="00A06D9E" w:rsidP="00A06D9E">
      <w:pPr>
        <w:spacing w:after="0"/>
      </w:pPr>
      <w:r w:rsidRPr="00A06D9E">
        <w:t>Üblicherweise werden die Abflüsse MQ (arithmetische Mittel der Abflüsse einer Zeitspanne)</w:t>
      </w:r>
    </w:p>
    <w:p w14:paraId="3C722B59" w14:textId="77777777" w:rsidR="00A06D9E" w:rsidRPr="00A06D9E" w:rsidRDefault="00A06D9E" w:rsidP="00A06D9E">
      <w:pPr>
        <w:spacing w:after="0"/>
      </w:pPr>
      <w:r w:rsidRPr="00A06D9E">
        <w:t>und NQ (niedrigster Wert einer Zeitspanne) ausgewertet. Der mittlere Abfluss MQ wird dabei</w:t>
      </w:r>
    </w:p>
    <w:p w14:paraId="02F5D71E" w14:textId="77777777" w:rsidR="00A06D9E" w:rsidRPr="00A06D9E" w:rsidRDefault="00A06D9E" w:rsidP="00A06D9E">
      <w:pPr>
        <w:spacing w:after="0"/>
      </w:pPr>
      <w:r w:rsidRPr="00A06D9E">
        <w:t>häufig auf Basis von Tageswerten für den vollständigen Untersuchungszeitraum bestimmt.</w:t>
      </w:r>
    </w:p>
    <w:p w14:paraId="2C4A4EF3" w14:textId="77777777" w:rsidR="00A06D9E" w:rsidRPr="00A06D9E" w:rsidRDefault="00A06D9E" w:rsidP="00A06D9E">
      <w:pPr>
        <w:spacing w:after="0"/>
      </w:pPr>
      <w:r w:rsidRPr="00A06D9E">
        <w:t>Der niedrigste Abfluss NQ wird aufgrund der Variabilität der saisonalen Ausprägung von Perioden</w:t>
      </w:r>
    </w:p>
    <w:p w14:paraId="39C38AD6" w14:textId="77777777" w:rsidR="00A06D9E" w:rsidRPr="00A06D9E" w:rsidRDefault="00A06D9E" w:rsidP="00A06D9E">
      <w:pPr>
        <w:spacing w:after="0"/>
      </w:pPr>
      <w:r w:rsidRPr="00A06D9E">
        <w:t>mit niedrigen Abflüssen je nach Bedarf beispielsweise für die Zeitspannen Kalenderjahre,</w:t>
      </w:r>
    </w:p>
    <w:p w14:paraId="1DB1F3F5" w14:textId="77777777" w:rsidR="00A06D9E" w:rsidRPr="00A06D9E" w:rsidRDefault="00A06D9E" w:rsidP="00A06D9E">
      <w:pPr>
        <w:spacing w:after="0"/>
      </w:pPr>
      <w:r w:rsidRPr="00A06D9E">
        <w:t>Monate, hydrologische Jahre, hydrologische Halbjahre oder Niedrigwasserjahre</w:t>
      </w:r>
    </w:p>
    <w:p w14:paraId="4EE8CB08" w14:textId="77777777" w:rsidR="00A06D9E" w:rsidRPr="00A06D9E" w:rsidRDefault="00A06D9E" w:rsidP="00A06D9E">
      <w:pPr>
        <w:spacing w:after="0"/>
      </w:pPr>
      <w:r w:rsidRPr="00A06D9E">
        <w:t>gebildet. Hieraus geht als MNQ (arithmetischer mittlerer Wert im Untersuchungszeitraum aller</w:t>
      </w:r>
    </w:p>
    <w:p w14:paraId="53C1C141" w14:textId="77777777" w:rsidR="00A06D9E" w:rsidRPr="00A06D9E" w:rsidRDefault="00A06D9E" w:rsidP="00A06D9E">
      <w:pPr>
        <w:spacing w:after="0"/>
      </w:pPr>
      <w:r w:rsidRPr="00A06D9E">
        <w:t>niedrigsten Werte einer Zeitspanne) der mittlere Niedrigwasserabfluss hervor. Der MNQ</w:t>
      </w:r>
    </w:p>
    <w:p w14:paraId="4B1FC22A" w14:textId="77777777" w:rsidR="00A06D9E" w:rsidRPr="00A06D9E" w:rsidRDefault="00A06D9E" w:rsidP="00A06D9E">
      <w:pPr>
        <w:spacing w:after="0"/>
      </w:pPr>
      <w:r w:rsidRPr="00A06D9E">
        <w:t>wird häufig zum MQ in Beziehung gesetzt und als Maßzahl zur Beschreibung des Verhältnisses</w:t>
      </w:r>
    </w:p>
    <w:p w14:paraId="1C68A026" w14:textId="4D8A1EA9" w:rsidR="00A06D9E" w:rsidRDefault="00A06D9E" w:rsidP="00A06D9E">
      <w:pPr>
        <w:spacing w:after="0"/>
      </w:pPr>
      <w:r w:rsidRPr="00A06D9E">
        <w:t>mittlerer Niedrigwasserabflussverhältnisse zu mittleren Abflussverhältnissen herangezogen.</w:t>
      </w:r>
    </w:p>
    <w:p w14:paraId="46C716FB" w14:textId="77777777" w:rsidR="00A06D9E" w:rsidRPr="00A06D9E" w:rsidRDefault="00A06D9E" w:rsidP="00A06D9E">
      <w:pPr>
        <w:spacing w:after="0"/>
      </w:pPr>
    </w:p>
    <w:p w14:paraId="74D491F1" w14:textId="77777777" w:rsidR="00A06D9E" w:rsidRPr="00A06D9E" w:rsidRDefault="00A06D9E" w:rsidP="00A06D9E">
      <w:pPr>
        <w:spacing w:after="0"/>
        <w:rPr>
          <w:b/>
          <w:bCs/>
        </w:rPr>
      </w:pPr>
      <w:proofErr w:type="spellStart"/>
      <w:r w:rsidRPr="00A06D9E">
        <w:rPr>
          <w:b/>
          <w:bCs/>
        </w:rPr>
        <w:lastRenderedPageBreak/>
        <w:t>sumD</w:t>
      </w:r>
      <w:proofErr w:type="spellEnd"/>
      <w:r w:rsidRPr="00A06D9E">
        <w:rPr>
          <w:b/>
          <w:bCs/>
        </w:rPr>
        <w:t xml:space="preserve"> und </w:t>
      </w:r>
      <w:proofErr w:type="spellStart"/>
      <w:r w:rsidRPr="00A06D9E">
        <w:rPr>
          <w:b/>
          <w:bCs/>
        </w:rPr>
        <w:t>maxD</w:t>
      </w:r>
      <w:proofErr w:type="spellEnd"/>
    </w:p>
    <w:p w14:paraId="19EFB6FA" w14:textId="77777777" w:rsidR="00A06D9E" w:rsidRPr="00A06D9E" w:rsidRDefault="00A06D9E" w:rsidP="00A06D9E">
      <w:pPr>
        <w:spacing w:after="0"/>
      </w:pPr>
      <w:r w:rsidRPr="00A06D9E">
        <w:t xml:space="preserve">Neben </w:t>
      </w:r>
      <w:proofErr w:type="spellStart"/>
      <w:r w:rsidRPr="00A06D9E">
        <w:t>gewässerkundlichen</w:t>
      </w:r>
      <w:proofErr w:type="spellEnd"/>
      <w:r w:rsidRPr="00A06D9E">
        <w:t xml:space="preserve"> Hauptwerten und deren abgeleiteten Werten werden bestimmte</w:t>
      </w:r>
    </w:p>
    <w:p w14:paraId="1C4B4201" w14:textId="77777777" w:rsidR="00A06D9E" w:rsidRPr="00A06D9E" w:rsidRDefault="00A06D9E" w:rsidP="00A06D9E">
      <w:pPr>
        <w:spacing w:after="0"/>
      </w:pPr>
      <w:r w:rsidRPr="00A06D9E">
        <w:t>Kennwerte zur genaueren Charakterisierung von Niedrigwasserperioden berechnet. Gängig</w:t>
      </w:r>
    </w:p>
    <w:p w14:paraId="0E2FE826" w14:textId="77777777" w:rsidR="00A06D9E" w:rsidRPr="00A06D9E" w:rsidRDefault="00A06D9E" w:rsidP="00A06D9E">
      <w:pPr>
        <w:spacing w:after="0"/>
      </w:pPr>
      <w:r w:rsidRPr="00A06D9E">
        <w:t xml:space="preserve">sind hierbei die Kennwerte </w:t>
      </w:r>
      <w:proofErr w:type="spellStart"/>
      <w:r w:rsidRPr="00A06D9E">
        <w:t>sumD</w:t>
      </w:r>
      <w:proofErr w:type="spellEnd"/>
      <w:r w:rsidRPr="00A06D9E">
        <w:t xml:space="preserve"> und </w:t>
      </w:r>
      <w:proofErr w:type="spellStart"/>
      <w:r w:rsidRPr="00A06D9E">
        <w:t>maxD</w:t>
      </w:r>
      <w:proofErr w:type="spellEnd"/>
      <w:r w:rsidRPr="00A06D9E">
        <w:t>, welche die Häufigkeiten und Dauern (in der</w:t>
      </w:r>
    </w:p>
    <w:p w14:paraId="5EE9ADBA" w14:textId="77777777" w:rsidR="00A06D9E" w:rsidRPr="00A06D9E" w:rsidRDefault="00A06D9E" w:rsidP="00A06D9E">
      <w:pPr>
        <w:spacing w:after="0"/>
      </w:pPr>
      <w:r w:rsidRPr="00A06D9E">
        <w:t>Regel in Tagen) von Niedrigwasserperioden quantifizieren. Niedrigwasserperioden werden</w:t>
      </w:r>
    </w:p>
    <w:p w14:paraId="45BAB40D" w14:textId="77777777" w:rsidR="00A06D9E" w:rsidRPr="00A06D9E" w:rsidRDefault="00A06D9E" w:rsidP="00A06D9E">
      <w:pPr>
        <w:spacing w:after="0"/>
      </w:pPr>
      <w:r w:rsidRPr="00A06D9E">
        <w:t xml:space="preserve">dabei durch die Unterschreitung eines Schwellenwertes (z. B. MNQ) definiert. </w:t>
      </w:r>
      <w:proofErr w:type="spellStart"/>
      <w:r w:rsidRPr="00A06D9E">
        <w:t>SumD</w:t>
      </w:r>
      <w:proofErr w:type="spellEnd"/>
      <w:r w:rsidRPr="00A06D9E">
        <w:t xml:space="preserve"> ist die</w:t>
      </w:r>
    </w:p>
    <w:p w14:paraId="269A3DC0" w14:textId="77777777" w:rsidR="00A06D9E" w:rsidRPr="00A06D9E" w:rsidRDefault="00A06D9E" w:rsidP="00A06D9E">
      <w:pPr>
        <w:spacing w:after="0"/>
      </w:pPr>
      <w:r w:rsidRPr="00A06D9E">
        <w:t xml:space="preserve">Summe aller Unterschreitungstage in einer Zeitspanne, </w:t>
      </w:r>
      <w:proofErr w:type="spellStart"/>
      <w:r w:rsidRPr="00A06D9E">
        <w:t>maxD</w:t>
      </w:r>
      <w:proofErr w:type="spellEnd"/>
      <w:r w:rsidRPr="00A06D9E">
        <w:t xml:space="preserve"> entspricht der maximalen</w:t>
      </w:r>
    </w:p>
    <w:p w14:paraId="063FBF3A" w14:textId="5EC97000" w:rsidR="00A06D9E" w:rsidRDefault="00A06D9E" w:rsidP="00A06D9E">
      <w:pPr>
        <w:spacing w:after="0"/>
      </w:pPr>
      <w:r w:rsidRPr="00A06D9E">
        <w:t>Summe aller zusammenhängenden Unterschreitungstage einer Zeitspanne.</w:t>
      </w:r>
    </w:p>
    <w:p w14:paraId="70DAA184" w14:textId="77777777" w:rsidR="00A06D9E" w:rsidRPr="00A06D9E" w:rsidRDefault="00A06D9E" w:rsidP="00A06D9E">
      <w:pPr>
        <w:spacing w:after="0"/>
      </w:pPr>
    </w:p>
    <w:p w14:paraId="5697CAB1" w14:textId="77777777" w:rsidR="00A06D9E" w:rsidRPr="00A06D9E" w:rsidRDefault="00A06D9E" w:rsidP="00A06D9E">
      <w:pPr>
        <w:spacing w:after="0"/>
        <w:rPr>
          <w:b/>
          <w:bCs/>
        </w:rPr>
      </w:pPr>
      <w:proofErr w:type="spellStart"/>
      <w:r w:rsidRPr="00A06D9E">
        <w:rPr>
          <w:b/>
          <w:bCs/>
        </w:rPr>
        <w:t>NMxQ</w:t>
      </w:r>
      <w:proofErr w:type="spellEnd"/>
    </w:p>
    <w:p w14:paraId="1847D21A" w14:textId="77777777" w:rsidR="00A06D9E" w:rsidRPr="00A06D9E" w:rsidRDefault="00A06D9E" w:rsidP="00A06D9E">
      <w:pPr>
        <w:spacing w:after="0"/>
      </w:pPr>
      <w:r w:rsidRPr="00A06D9E">
        <w:t>Um kurzzeitige Schwankungen des Abflusses und Einflüsse der Messtechnik (z. B. Pegelauflösung,</w:t>
      </w:r>
    </w:p>
    <w:p w14:paraId="1653F535" w14:textId="77777777" w:rsidR="00A06D9E" w:rsidRPr="00A06D9E" w:rsidRDefault="00A06D9E" w:rsidP="00A06D9E">
      <w:pPr>
        <w:spacing w:after="0"/>
      </w:pPr>
      <w:r w:rsidRPr="00A06D9E">
        <w:t>Messgenauigkeit während Niedrigwasser) zu berücksichtigen, werden Kennwerte</w:t>
      </w:r>
    </w:p>
    <w:p w14:paraId="2DF2A9DA" w14:textId="77777777" w:rsidR="00A06D9E" w:rsidRPr="00A06D9E" w:rsidRDefault="00A06D9E" w:rsidP="00A06D9E">
      <w:pPr>
        <w:spacing w:after="0"/>
      </w:pPr>
      <w:r w:rsidRPr="00A06D9E">
        <w:t xml:space="preserve">auch </w:t>
      </w:r>
      <w:proofErr w:type="gramStart"/>
      <w:r w:rsidRPr="00A06D9E">
        <w:t>mittels gleitenden Mitteln</w:t>
      </w:r>
      <w:proofErr w:type="gramEnd"/>
      <w:r w:rsidRPr="00A06D9E">
        <w:t xml:space="preserve"> (z. B. NM7Q als niedrigster 7-tägiger Mittelwert oder der</w:t>
      </w:r>
    </w:p>
    <w:p w14:paraId="516AE17E" w14:textId="77777777" w:rsidR="00A06D9E" w:rsidRPr="00A06D9E" w:rsidRDefault="00A06D9E" w:rsidP="00A06D9E">
      <w:pPr>
        <w:spacing w:after="0"/>
      </w:pPr>
      <w:r w:rsidRPr="00A06D9E">
        <w:t>NM21Q als 21-tägiger Mittelwert) berechnet. Die resultierenden NM7QJahr oder NM21QJahr werden</w:t>
      </w:r>
    </w:p>
    <w:p w14:paraId="0C597BB0" w14:textId="77777777" w:rsidR="00A06D9E" w:rsidRPr="00A06D9E" w:rsidRDefault="00A06D9E" w:rsidP="00A06D9E">
      <w:pPr>
        <w:spacing w:after="0"/>
      </w:pPr>
      <w:r w:rsidRPr="00A06D9E">
        <w:t>auf Basis von hydrologischen Niedrigwasserjahren ausgewiesen, welche am 1. April eines</w:t>
      </w:r>
    </w:p>
    <w:p w14:paraId="7D310DC2" w14:textId="0E7325EA" w:rsidR="00A06D9E" w:rsidRDefault="00A06D9E" w:rsidP="00A06D9E">
      <w:pPr>
        <w:spacing w:after="0"/>
      </w:pPr>
      <w:r w:rsidRPr="00A06D9E">
        <w:t>Jahres beginnen und am 31. März des Folgejahres enden.</w:t>
      </w:r>
    </w:p>
    <w:p w14:paraId="72823747" w14:textId="088FA49E" w:rsidR="00A06D9E" w:rsidRDefault="00A06D9E" w:rsidP="00A06D9E">
      <w:pPr>
        <w:spacing w:after="0"/>
      </w:pPr>
    </w:p>
    <w:p w14:paraId="08153E30" w14:textId="77777777" w:rsidR="00A06D9E" w:rsidRPr="00A06D9E" w:rsidRDefault="00A06D9E" w:rsidP="00A06D9E">
      <w:pPr>
        <w:spacing w:after="0"/>
        <w:rPr>
          <w:highlight w:val="yellow"/>
        </w:rPr>
      </w:pPr>
      <w:r>
        <w:t xml:space="preserve">-&gt; </w:t>
      </w:r>
      <w:r w:rsidRPr="00A06D9E">
        <w:rPr>
          <w:highlight w:val="yellow"/>
        </w:rPr>
        <w:t>Bei den hydrologischen Kennwerten hat sich der MNQ in allen Studien als wichtige und belastbare</w:t>
      </w:r>
    </w:p>
    <w:p w14:paraId="31FF5FE6" w14:textId="77777777" w:rsidR="00A06D9E" w:rsidRPr="00A06D9E" w:rsidRDefault="00A06D9E" w:rsidP="00A06D9E">
      <w:pPr>
        <w:spacing w:after="0"/>
      </w:pPr>
      <w:r w:rsidRPr="00A06D9E">
        <w:rPr>
          <w:highlight w:val="yellow"/>
        </w:rPr>
        <w:t>Größe erwiesen</w:t>
      </w:r>
      <w:r w:rsidRPr="00A06D9E">
        <w:t>, die in der wasserwirtschaftlichen Praxis breite Anwendung findet.</w:t>
      </w:r>
    </w:p>
    <w:p w14:paraId="2D0ED7B1" w14:textId="77777777" w:rsidR="00A06D9E" w:rsidRPr="00A06D9E" w:rsidRDefault="00A06D9E" w:rsidP="00A06D9E">
      <w:pPr>
        <w:spacing w:after="0"/>
      </w:pPr>
      <w:r w:rsidRPr="00A06D9E">
        <w:t>Um diesen Kennwert belastbarer zu machen, kann es hilfreich sein, den MNQ auf Basis von</w:t>
      </w:r>
    </w:p>
    <w:p w14:paraId="2D7572AD" w14:textId="77777777" w:rsidR="00A06D9E" w:rsidRPr="00A06D9E" w:rsidRDefault="00A06D9E" w:rsidP="00A06D9E">
      <w:pPr>
        <w:spacing w:after="0"/>
      </w:pPr>
      <w:r w:rsidRPr="00A06D9E">
        <w:t>gleitenden Mittelwerten zu ermitteln (also auf Grundlage von z. B. NM7QJahr und nicht anhand</w:t>
      </w:r>
    </w:p>
    <w:p w14:paraId="0DBD145E" w14:textId="77777777" w:rsidR="00A06D9E" w:rsidRPr="00A06D9E" w:rsidRDefault="00A06D9E" w:rsidP="00A06D9E">
      <w:pPr>
        <w:spacing w:after="0"/>
      </w:pPr>
      <w:r w:rsidRPr="00A06D9E">
        <w:t xml:space="preserve">von </w:t>
      </w:r>
      <w:proofErr w:type="spellStart"/>
      <w:r w:rsidRPr="00A06D9E">
        <w:t>NQJahr</w:t>
      </w:r>
      <w:proofErr w:type="spellEnd"/>
      <w:r w:rsidRPr="00A06D9E">
        <w:t>). Je nach Wassernutzung und Fragestellung der Untersuchung kann dieser Unterschied</w:t>
      </w:r>
    </w:p>
    <w:p w14:paraId="29C3127F" w14:textId="77777777" w:rsidR="00A06D9E" w:rsidRPr="00A06D9E" w:rsidRDefault="00A06D9E" w:rsidP="00A06D9E">
      <w:pPr>
        <w:spacing w:after="0"/>
      </w:pPr>
      <w:r w:rsidRPr="00A06D9E">
        <w:t>Relevanz haben, wenn z. B. einzelne Tage mit sehr geringer Abflussmenge maßgeblich</w:t>
      </w:r>
    </w:p>
    <w:p w14:paraId="3BA95C64" w14:textId="77777777" w:rsidR="00A06D9E" w:rsidRPr="00A06D9E" w:rsidRDefault="00A06D9E" w:rsidP="00A06D9E">
      <w:pPr>
        <w:spacing w:after="0"/>
      </w:pPr>
      <w:r w:rsidRPr="00A06D9E">
        <w:t>sind. Bei sehr kurzen Zeitreihen (wenige Jahre) können wichtige Grenzwerte wie der</w:t>
      </w:r>
    </w:p>
    <w:p w14:paraId="6B4A4264" w14:textId="77777777" w:rsidR="00A06D9E" w:rsidRPr="00A06D9E" w:rsidRDefault="00A06D9E" w:rsidP="00A06D9E">
      <w:pPr>
        <w:spacing w:after="0"/>
      </w:pPr>
      <w:r w:rsidRPr="00A06D9E">
        <w:t>MNQ stark durch einzelne Extremjahre beeinflusst sein, bei langen Zeitreihen ist die Stationarität</w:t>
      </w:r>
    </w:p>
    <w:p w14:paraId="09AB04C3" w14:textId="7D9C90CC" w:rsidR="00A06D9E" w:rsidRDefault="00A06D9E" w:rsidP="00A06D9E">
      <w:pPr>
        <w:spacing w:after="0"/>
      </w:pPr>
      <w:r w:rsidRPr="00A06D9E">
        <w:t>der Daten zu prüfen (siehe Kap. 3.3.1).</w:t>
      </w:r>
    </w:p>
    <w:p w14:paraId="705FD894" w14:textId="77777777" w:rsidR="00A06D9E" w:rsidRPr="002E05D1" w:rsidRDefault="00A06D9E" w:rsidP="002E05D1">
      <w:pPr>
        <w:spacing w:after="0"/>
      </w:pPr>
      <w:r>
        <w:t xml:space="preserve">-&gt; </w:t>
      </w:r>
      <w:r w:rsidRPr="002E05D1">
        <w:t xml:space="preserve">Niedrigwasserkennwerte zur Quantifizierung des Abflussdefizits, </w:t>
      </w:r>
      <w:proofErr w:type="spellStart"/>
      <w:r w:rsidRPr="002E05D1">
        <w:t>maxV</w:t>
      </w:r>
      <w:proofErr w:type="spellEnd"/>
      <w:r w:rsidRPr="002E05D1">
        <w:t xml:space="preserve">, </w:t>
      </w:r>
      <w:proofErr w:type="spellStart"/>
      <w:r w:rsidRPr="002E05D1">
        <w:t>sumV</w:t>
      </w:r>
      <w:proofErr w:type="spellEnd"/>
      <w:r w:rsidRPr="002E05D1">
        <w:t xml:space="preserve"> in Anlehnung</w:t>
      </w:r>
    </w:p>
    <w:p w14:paraId="2804A692" w14:textId="77777777" w:rsidR="00A06D9E" w:rsidRPr="002E05D1" w:rsidRDefault="00A06D9E" w:rsidP="002E05D1">
      <w:pPr>
        <w:spacing w:after="0"/>
      </w:pPr>
      <w:r w:rsidRPr="002E05D1">
        <w:t xml:space="preserve">an </w:t>
      </w:r>
      <w:proofErr w:type="spellStart"/>
      <w:r w:rsidRPr="002E05D1">
        <w:t>maxD</w:t>
      </w:r>
      <w:proofErr w:type="spellEnd"/>
      <w:r w:rsidRPr="002E05D1">
        <w:t xml:space="preserve"> und </w:t>
      </w:r>
      <w:proofErr w:type="spellStart"/>
      <w:r w:rsidRPr="002E05D1">
        <w:t>sumD</w:t>
      </w:r>
      <w:proofErr w:type="spellEnd"/>
      <w:r w:rsidRPr="002E05D1">
        <w:t>, unter einem Grenzwert (häufig MNQ) wurden teilweise in den Pilotstudien</w:t>
      </w:r>
    </w:p>
    <w:p w14:paraId="5576EBCE" w14:textId="77777777" w:rsidR="00A06D9E" w:rsidRPr="002E05D1" w:rsidRDefault="00A06D9E" w:rsidP="002E05D1">
      <w:pPr>
        <w:spacing w:after="0"/>
      </w:pPr>
      <w:r w:rsidRPr="002E05D1">
        <w:t>ermittelt, kamen aber hinsichtlich der Charakterisierung der Niedrigwasserperioden</w:t>
      </w:r>
    </w:p>
    <w:p w14:paraId="4E412397" w14:textId="77777777" w:rsidR="00A06D9E" w:rsidRPr="002E05D1" w:rsidRDefault="00A06D9E" w:rsidP="002E05D1">
      <w:pPr>
        <w:spacing w:after="0"/>
        <w:rPr>
          <w:highlight w:val="yellow"/>
        </w:rPr>
      </w:pPr>
      <w:r w:rsidRPr="002E05D1">
        <w:t xml:space="preserve">nicht zur Anwendung. </w:t>
      </w:r>
      <w:r w:rsidRPr="002E05D1">
        <w:rPr>
          <w:highlight w:val="yellow"/>
        </w:rPr>
        <w:t>Diese Kennwerte böten jedoch die interessante Möglichkeit Niedrigwasserperioden</w:t>
      </w:r>
    </w:p>
    <w:p w14:paraId="7A6BE3BB" w14:textId="04C8E08E" w:rsidR="00A06D9E" w:rsidRDefault="00A06D9E" w:rsidP="00A06D9E">
      <w:pPr>
        <w:spacing w:after="0"/>
      </w:pPr>
      <w:r w:rsidRPr="002E05D1">
        <w:rPr>
          <w:highlight w:val="yellow"/>
        </w:rPr>
        <w:t xml:space="preserve">gerade auch in Hinblick auf </w:t>
      </w:r>
      <w:proofErr w:type="spellStart"/>
      <w:r w:rsidRPr="002E05D1">
        <w:rPr>
          <w:highlight w:val="yellow"/>
        </w:rPr>
        <w:t>sumD</w:t>
      </w:r>
      <w:proofErr w:type="spellEnd"/>
      <w:r w:rsidRPr="002E05D1">
        <w:rPr>
          <w:highlight w:val="yellow"/>
        </w:rPr>
        <w:t xml:space="preserve"> und </w:t>
      </w:r>
      <w:proofErr w:type="spellStart"/>
      <w:r w:rsidRPr="002E05D1">
        <w:rPr>
          <w:highlight w:val="yellow"/>
        </w:rPr>
        <w:t>maxD</w:t>
      </w:r>
      <w:proofErr w:type="spellEnd"/>
      <w:r w:rsidRPr="002E05D1">
        <w:rPr>
          <w:highlight w:val="yellow"/>
        </w:rPr>
        <w:t xml:space="preserve"> näher zu charakterisieren.</w:t>
      </w:r>
      <w:r w:rsidR="002E05D1">
        <w:t xml:space="preserve"> …..</w:t>
      </w:r>
    </w:p>
    <w:p w14:paraId="295B5AFD" w14:textId="30BE669D" w:rsidR="002E05D1" w:rsidRDefault="002E05D1" w:rsidP="00A06D9E">
      <w:pPr>
        <w:spacing w:after="0"/>
      </w:pPr>
    </w:p>
    <w:p w14:paraId="0587A3B1" w14:textId="479F4A46" w:rsidR="002E05D1" w:rsidRPr="002E05D1" w:rsidRDefault="002E05D1" w:rsidP="002E05D1">
      <w:pPr>
        <w:spacing w:after="0"/>
      </w:pPr>
      <w:r>
        <w:t>-&gt;</w:t>
      </w:r>
      <w:r w:rsidRPr="002E05D1">
        <w:t>Für eine Vielzahl von Wassernutzungen ist auch die Saisonalität (vgl. Abbildung 4-3) der Kennwertausprägungen</w:t>
      </w:r>
    </w:p>
    <w:p w14:paraId="3F9F7F03" w14:textId="77777777" w:rsidR="002E05D1" w:rsidRPr="002E05D1" w:rsidRDefault="002E05D1" w:rsidP="002E05D1">
      <w:pPr>
        <w:spacing w:after="0"/>
      </w:pPr>
      <w:r w:rsidRPr="002E05D1">
        <w:t>von hoher Relevanz. Daher sollten Niedrigwasserkennwerte je nach Fragestellung für adäquate</w:t>
      </w:r>
    </w:p>
    <w:p w14:paraId="1373728C" w14:textId="64D87B64" w:rsidR="002E05D1" w:rsidRDefault="002E05D1" w:rsidP="002E05D1">
      <w:pPr>
        <w:spacing w:after="0"/>
      </w:pPr>
      <w:r w:rsidRPr="002E05D1">
        <w:t>Zeitabschnitte berechnet werden</w:t>
      </w:r>
    </w:p>
    <w:p w14:paraId="09AAEEEC" w14:textId="513C5307" w:rsidR="00A06D9E" w:rsidRDefault="00A06D9E" w:rsidP="00A06D9E">
      <w:pPr>
        <w:spacing w:after="0"/>
      </w:pPr>
    </w:p>
    <w:p w14:paraId="124A1F4B" w14:textId="2DB468BD" w:rsidR="002E05D1" w:rsidRDefault="002E05D1" w:rsidP="00A06D9E">
      <w:pPr>
        <w:spacing w:after="0"/>
      </w:pPr>
      <w:r w:rsidRPr="002E05D1">
        <w:rPr>
          <w:highlight w:val="yellow"/>
        </w:rPr>
        <w:t>Tipp:</w:t>
      </w:r>
    </w:p>
    <w:p w14:paraId="694D406F" w14:textId="77777777" w:rsidR="002E05D1" w:rsidRPr="002E05D1" w:rsidRDefault="002E05D1" w:rsidP="002E05D1">
      <w:pPr>
        <w:spacing w:after="0"/>
      </w:pPr>
      <w:r w:rsidRPr="002E05D1">
        <w:t>Bei der Berechnung ist jedoch stets auf die korrekte Mitführung der Einheiten zu achten, da</w:t>
      </w:r>
    </w:p>
    <w:p w14:paraId="53ADC082" w14:textId="77777777" w:rsidR="002E05D1" w:rsidRPr="002E05D1" w:rsidRDefault="002E05D1" w:rsidP="002E05D1">
      <w:pPr>
        <w:spacing w:after="0"/>
      </w:pPr>
      <w:r w:rsidRPr="002E05D1">
        <w:t>das Defizit einem Wasservolumen und keinem Durchfluss entspricht. Anzumerken bleibt,</w:t>
      </w:r>
    </w:p>
    <w:p w14:paraId="4BBF216E" w14:textId="77777777" w:rsidR="002E05D1" w:rsidRPr="002E05D1" w:rsidRDefault="002E05D1" w:rsidP="002E05D1">
      <w:pPr>
        <w:spacing w:after="0"/>
      </w:pPr>
      <w:r w:rsidRPr="002E05D1">
        <w:t>dass Kennwertberechnungen häufig auf mittleren Tagesdurchflüssen (m3/s) basieren und</w:t>
      </w:r>
    </w:p>
    <w:p w14:paraId="7E724981" w14:textId="77777777" w:rsidR="002E05D1" w:rsidRPr="002E05D1" w:rsidRDefault="002E05D1" w:rsidP="002E05D1">
      <w:pPr>
        <w:spacing w:after="0"/>
      </w:pPr>
      <w:r w:rsidRPr="002E05D1">
        <w:t>somit spezifisch für die Einzugsgebietsfläche sind. Abflusshöhen (oder auch Abflussspenden)</w:t>
      </w:r>
    </w:p>
    <w:p w14:paraId="017AE42F" w14:textId="77777777" w:rsidR="002E05D1" w:rsidRPr="002E05D1" w:rsidRDefault="002E05D1" w:rsidP="002E05D1">
      <w:pPr>
        <w:spacing w:after="0"/>
      </w:pPr>
      <w:r w:rsidRPr="002E05D1">
        <w:t>hingegen sind in der Anwendung weniger gut kommunizierbar, jedoch unerlässlich,</w:t>
      </w:r>
    </w:p>
    <w:p w14:paraId="62909E89" w14:textId="77777777" w:rsidR="002E05D1" w:rsidRPr="002E05D1" w:rsidRDefault="002E05D1" w:rsidP="002E05D1">
      <w:pPr>
        <w:spacing w:after="0"/>
      </w:pPr>
      <w:r w:rsidRPr="002E05D1">
        <w:t>wenn ein Vergleich zwischen verschiedenen Einzugsgebieten und Fließgewässern erfolgen</w:t>
      </w:r>
    </w:p>
    <w:p w14:paraId="7D22F326" w14:textId="79BEF08C" w:rsidR="002E05D1" w:rsidRDefault="002E05D1" w:rsidP="002E05D1">
      <w:pPr>
        <w:spacing w:after="0"/>
      </w:pPr>
      <w:r w:rsidRPr="002E05D1">
        <w:t>soll.</w:t>
      </w:r>
    </w:p>
    <w:p w14:paraId="2D1F2D03" w14:textId="200E9333" w:rsidR="002E05D1" w:rsidRDefault="002E05D1" w:rsidP="002E05D1">
      <w:pPr>
        <w:spacing w:after="0"/>
      </w:pPr>
    </w:p>
    <w:p w14:paraId="6A31CD76" w14:textId="32E9588E" w:rsidR="002E05D1" w:rsidRDefault="002E05D1" w:rsidP="002E05D1">
      <w:pPr>
        <w:spacing w:after="0"/>
        <w:rPr>
          <w:b/>
          <w:bCs/>
          <w:sz w:val="24"/>
          <w:szCs w:val="24"/>
        </w:rPr>
      </w:pPr>
      <w:r w:rsidRPr="002E05D1">
        <w:rPr>
          <w:b/>
          <w:bCs/>
          <w:sz w:val="24"/>
          <w:szCs w:val="24"/>
        </w:rPr>
        <w:t xml:space="preserve">Probleme bei der Quantifizierung im Einzugsgebiet der </w:t>
      </w:r>
      <w:proofErr w:type="spellStart"/>
      <w:r w:rsidRPr="002E05D1">
        <w:rPr>
          <w:b/>
          <w:bCs/>
          <w:sz w:val="24"/>
          <w:szCs w:val="24"/>
        </w:rPr>
        <w:t>Dreisam</w:t>
      </w:r>
      <w:proofErr w:type="spellEnd"/>
      <w:r>
        <w:rPr>
          <w:b/>
          <w:bCs/>
          <w:sz w:val="24"/>
          <w:szCs w:val="24"/>
        </w:rPr>
        <w:t>:</w:t>
      </w:r>
    </w:p>
    <w:p w14:paraId="3CF710A9" w14:textId="1A156CBD" w:rsidR="002E05D1" w:rsidRDefault="002E05D1" w:rsidP="002E05D1">
      <w:pPr>
        <w:spacing w:after="0"/>
      </w:pPr>
      <w:r>
        <w:t xml:space="preserve">- Aus- und Einleitung von Gewässern -&gt; </w:t>
      </w:r>
      <w:proofErr w:type="gramStart"/>
      <w:r>
        <w:t>Verändert</w:t>
      </w:r>
      <w:proofErr w:type="gramEnd"/>
      <w:r>
        <w:t xml:space="preserve"> die Ausprägung und Variabilität der Niedrigwasserkennwerten</w:t>
      </w:r>
    </w:p>
    <w:p w14:paraId="17EEA63A" w14:textId="03F19DCF" w:rsidR="002E05D1" w:rsidRPr="002E05D1" w:rsidRDefault="002E05D1" w:rsidP="002E05D1">
      <w:pPr>
        <w:spacing w:after="0"/>
      </w:pPr>
      <w:r>
        <w:t>- F</w:t>
      </w:r>
      <w:r w:rsidRPr="002E05D1">
        <w:t xml:space="preserve">ür manche Einzugsgebiete </w:t>
      </w:r>
      <w:r w:rsidR="00AD4378">
        <w:t xml:space="preserve">ist </w:t>
      </w:r>
      <w:r w:rsidRPr="002E05D1">
        <w:t>mit starken Abflussschwankungen</w:t>
      </w:r>
    </w:p>
    <w:p w14:paraId="396BCD39" w14:textId="6FF1A6CC" w:rsidR="002E05D1" w:rsidRPr="002E05D1" w:rsidRDefault="002E05D1" w:rsidP="002E05D1">
      <w:pPr>
        <w:spacing w:after="0"/>
      </w:pPr>
      <w:r w:rsidRPr="002E05D1">
        <w:t>entlang des Gewässerverlaufs zu rechnen und</w:t>
      </w:r>
      <w:r w:rsidR="00AD4378">
        <w:t xml:space="preserve"> so</w:t>
      </w:r>
      <w:r w:rsidRPr="002E05D1">
        <w:t xml:space="preserve"> die Pegelrepräsentativität auch hinsichtlich</w:t>
      </w:r>
    </w:p>
    <w:p w14:paraId="42F958D7" w14:textId="2498E436" w:rsidR="002E05D1" w:rsidRDefault="002E05D1" w:rsidP="002E05D1">
      <w:pPr>
        <w:spacing w:after="0"/>
      </w:pPr>
      <w:r w:rsidRPr="002E05D1">
        <w:lastRenderedPageBreak/>
        <w:t>der Niedrigwasserkennwerte geprüft werden muss.</w:t>
      </w:r>
    </w:p>
    <w:p w14:paraId="1877A816" w14:textId="41781DDF" w:rsidR="00AD4378" w:rsidRDefault="00AD4378" w:rsidP="002E05D1">
      <w:pPr>
        <w:spacing w:after="0"/>
      </w:pPr>
    </w:p>
    <w:p w14:paraId="381ED199" w14:textId="2FA6369E" w:rsidR="00AD4378" w:rsidRPr="00AD4378" w:rsidRDefault="00AD4378" w:rsidP="002E05D1">
      <w:pPr>
        <w:spacing w:after="0"/>
        <w:rPr>
          <w:b/>
          <w:bCs/>
          <w:sz w:val="24"/>
          <w:szCs w:val="24"/>
        </w:rPr>
      </w:pPr>
      <w:r w:rsidRPr="00AD4378">
        <w:rPr>
          <w:b/>
          <w:bCs/>
          <w:sz w:val="24"/>
          <w:szCs w:val="24"/>
        </w:rPr>
        <w:t>Zustand in der Vergangenheit:</w:t>
      </w:r>
    </w:p>
    <w:p w14:paraId="4C9A370A" w14:textId="3C06EC4C" w:rsidR="00AD4378" w:rsidRPr="00AD4378" w:rsidRDefault="00AD4378" w:rsidP="00AD4378">
      <w:pPr>
        <w:spacing w:after="0"/>
      </w:pPr>
      <w:r>
        <w:t xml:space="preserve">- </w:t>
      </w:r>
      <w:r w:rsidRPr="00AD4378">
        <w:t>Auch wenn an zahlreichen Messstellen von einer Tendenz zu niedrigeren Abflüssen auszugehen</w:t>
      </w:r>
    </w:p>
    <w:p w14:paraId="533E5E49" w14:textId="77777777" w:rsidR="00AD4378" w:rsidRPr="00AD4378" w:rsidRDefault="00AD4378" w:rsidP="00AD4378">
      <w:pPr>
        <w:spacing w:after="0"/>
      </w:pPr>
      <w:r w:rsidRPr="00AD4378">
        <w:t>ist, so beeinflusst die verwendete Methodik (z. B. Länge der Zeitreihe) deutlich die</w:t>
      </w:r>
    </w:p>
    <w:p w14:paraId="168A0BC4" w14:textId="0771648F" w:rsidR="00AD4378" w:rsidRDefault="00AD4378" w:rsidP="00AD4378">
      <w:pPr>
        <w:spacing w:after="0"/>
      </w:pPr>
      <w:r w:rsidRPr="00AD4378">
        <w:t>Aussagekraft des Veränderungssignals</w:t>
      </w:r>
    </w:p>
    <w:p w14:paraId="242B7487" w14:textId="5CD51AF2" w:rsidR="00AD4378" w:rsidRDefault="00AD4378" w:rsidP="00AD4378">
      <w:pPr>
        <w:spacing w:after="0"/>
      </w:pPr>
      <w:r>
        <w:t xml:space="preserve">- hydro-meteorologische Niedrigwasserjahre: </w:t>
      </w:r>
    </w:p>
    <w:p w14:paraId="76778F86" w14:textId="13F0A599" w:rsidR="00AD4378" w:rsidRDefault="00AD4378" w:rsidP="00AD4378">
      <w:pPr>
        <w:spacing w:after="0"/>
      </w:pPr>
      <w:r>
        <w:t>1976, 1991/92, 2003,2011,2015</w:t>
      </w:r>
    </w:p>
    <w:p w14:paraId="120D98BB" w14:textId="2EA8EF9D" w:rsidR="00A432F8" w:rsidRDefault="00A432F8" w:rsidP="00AD4378">
      <w:pPr>
        <w:spacing w:after="0"/>
      </w:pPr>
    </w:p>
    <w:p w14:paraId="21FD1DEC" w14:textId="6D3B967A" w:rsidR="00A432F8" w:rsidRDefault="00A432F8" w:rsidP="00AD4378">
      <w:pPr>
        <w:spacing w:after="0"/>
      </w:pPr>
      <w:r w:rsidRPr="00A432F8">
        <w:rPr>
          <w:b/>
          <w:bCs/>
          <w:sz w:val="24"/>
          <w:szCs w:val="24"/>
        </w:rPr>
        <w:t>Zukunftsszenarien</w:t>
      </w:r>
      <w:r>
        <w:t>:</w:t>
      </w:r>
    </w:p>
    <w:p w14:paraId="2208AA94" w14:textId="569C59B2" w:rsidR="00A432F8" w:rsidRDefault="00A432F8" w:rsidP="00AD4378">
      <w:pPr>
        <w:spacing w:after="0"/>
      </w:pPr>
      <w:r>
        <w:t>S.39</w:t>
      </w:r>
    </w:p>
    <w:p w14:paraId="4729D79B" w14:textId="2B413C43" w:rsidR="00A432F8" w:rsidRDefault="00A432F8" w:rsidP="00AD4378">
      <w:pPr>
        <w:spacing w:after="0"/>
      </w:pPr>
    </w:p>
    <w:p w14:paraId="00B19FD9" w14:textId="2AA06D50" w:rsidR="00A432F8" w:rsidRDefault="00A432F8" w:rsidP="00A432F8">
      <w:pPr>
        <w:pStyle w:val="berschrift2"/>
      </w:pPr>
      <w:r>
        <w:t xml:space="preserve">Risikomanagement </w:t>
      </w:r>
      <w:proofErr w:type="spellStart"/>
      <w:r>
        <w:t>Dreisam</w:t>
      </w:r>
      <w:proofErr w:type="spellEnd"/>
      <w:r>
        <w:t xml:space="preserve"> – Bericht 2018</w:t>
      </w:r>
    </w:p>
    <w:p w14:paraId="678E566C" w14:textId="3D23787D" w:rsidR="00A432F8" w:rsidRPr="00A432F8" w:rsidRDefault="00A432F8" w:rsidP="00A432F8">
      <w:r>
        <w:t xml:space="preserve">(Voller Titel: Risikomanagement hydrologischer Naturgefahren am Bsp. der </w:t>
      </w:r>
      <w:proofErr w:type="spellStart"/>
      <w:r>
        <w:t>Dreisam</w:t>
      </w:r>
      <w:proofErr w:type="spellEnd"/>
      <w:r>
        <w:t xml:space="preserve"> und des Eschbachs </w:t>
      </w:r>
    </w:p>
    <w:p w14:paraId="6E1D62A4" w14:textId="060EE912" w:rsidR="009D1D9D" w:rsidRDefault="009D1D9D" w:rsidP="009D1D9D">
      <w:pPr>
        <w:pStyle w:val="berschrift1"/>
      </w:pPr>
      <w:r>
        <w:t>Brainstorming:</w:t>
      </w:r>
    </w:p>
    <w:p w14:paraId="05101582" w14:textId="506ACF1F" w:rsidR="00B4003F" w:rsidRDefault="00B4003F" w:rsidP="00B4003F">
      <w:pPr>
        <w:pStyle w:val="berschrift2"/>
      </w:pPr>
      <w:r>
        <w:t>Weitere Quellen:</w:t>
      </w:r>
    </w:p>
    <w:p w14:paraId="2C98AB22" w14:textId="21A5FD38" w:rsidR="00B4003F" w:rsidRDefault="00B4003F" w:rsidP="00B4003F">
      <w:r>
        <w:t xml:space="preserve">- </w:t>
      </w:r>
      <w:r w:rsidRPr="00B4003F">
        <w:t>https://www.lubw.baden-wuerttemberg.de/klimawandel-und-anpassung/niedrigwasser</w:t>
      </w:r>
    </w:p>
    <w:p w14:paraId="403A90E1" w14:textId="0BBFFBFA" w:rsidR="00B4003F" w:rsidRDefault="00B4003F" w:rsidP="00B4003F">
      <w:r>
        <w:t xml:space="preserve">- </w:t>
      </w:r>
      <w:r w:rsidRPr="00B4003F">
        <w:t>https://www.umweltbundesamt.de/themen/wasser/hoch-niedrigwasser/niedrigwasser</w:t>
      </w:r>
    </w:p>
    <w:p w14:paraId="4FDD58EB" w14:textId="2A6780F9" w:rsidR="00B4003F" w:rsidRDefault="00B4003F" w:rsidP="00B4003F">
      <w:r>
        <w:t xml:space="preserve">- </w:t>
      </w:r>
      <w:r w:rsidRPr="00B4003F">
        <w:t>https://www.umweltbundesamt.de/themen/zwischen-duerre-starkregen</w:t>
      </w:r>
    </w:p>
    <w:p w14:paraId="5C437AA7" w14:textId="5E82FEA8" w:rsidR="00B4003F" w:rsidRPr="00B4003F" w:rsidRDefault="00B4003F" w:rsidP="00B4003F">
      <w:r>
        <w:t xml:space="preserve">- </w:t>
      </w:r>
    </w:p>
    <w:p w14:paraId="5D2A6CEA" w14:textId="2D05E12B" w:rsidR="00A432F8" w:rsidRDefault="00A432F8" w:rsidP="00A432F8">
      <w:pPr>
        <w:pStyle w:val="berschrift2"/>
      </w:pPr>
      <w:r>
        <w:t>Bericht Inhalte/Schwerpunkte</w:t>
      </w:r>
    </w:p>
    <w:p w14:paraId="559C089C" w14:textId="199F04CE" w:rsidR="00A432F8" w:rsidRDefault="00A432F8" w:rsidP="00655731">
      <w:pPr>
        <w:spacing w:after="0"/>
      </w:pPr>
      <w:r>
        <w:t xml:space="preserve">- Auswertung der </w:t>
      </w:r>
      <w:r w:rsidR="00655731">
        <w:t xml:space="preserve">QR-Code Platten </w:t>
      </w:r>
    </w:p>
    <w:p w14:paraId="04881AC5" w14:textId="27D4BB01" w:rsidR="00655731" w:rsidRDefault="00655731" w:rsidP="00655731">
      <w:pPr>
        <w:spacing w:after="0"/>
      </w:pPr>
      <w:r>
        <w:t>- Messungen vom Oktober bis Dezember 2019</w:t>
      </w:r>
    </w:p>
    <w:p w14:paraId="2716E444" w14:textId="710623F2" w:rsidR="008257C2" w:rsidRDefault="008257C2" w:rsidP="00655731">
      <w:pPr>
        <w:spacing w:after="0"/>
      </w:pPr>
      <w:r>
        <w:t>- Untersuchte Parameter: Wasserqualität, Wasserquantität, Nutzung, Einflüsse von Trockenheit</w:t>
      </w:r>
    </w:p>
    <w:p w14:paraId="1FE642F1" w14:textId="65DFA23D" w:rsidR="00655731" w:rsidRDefault="00655731" w:rsidP="00655731">
      <w:pPr>
        <w:spacing w:after="0"/>
      </w:pPr>
      <w:r>
        <w:t>- Risikoanalyse</w:t>
      </w:r>
    </w:p>
    <w:p w14:paraId="4F5FD8E6" w14:textId="1D7A2285" w:rsidR="00655731" w:rsidRDefault="00655731" w:rsidP="00655731">
      <w:pPr>
        <w:spacing w:after="0"/>
        <w:ind w:left="708"/>
      </w:pPr>
      <w:r>
        <w:tab/>
        <w:t>-&gt;</w:t>
      </w:r>
      <w:r w:rsidRPr="00655731">
        <w:rPr>
          <w:b/>
          <w:bCs/>
        </w:rPr>
        <w:t xml:space="preserve"> Risiko</w:t>
      </w:r>
      <w:r>
        <w:t>: Wahrscheinlichkeit des Auftretens von Schäden aufgrund des Zusammenspiels von Naturgefahren und vulnerablen Verhältnissen</w:t>
      </w:r>
    </w:p>
    <w:p w14:paraId="718B1869" w14:textId="3F2C0ED0" w:rsidR="00655731" w:rsidRPr="00655731" w:rsidRDefault="00655731" w:rsidP="00655731">
      <w:pPr>
        <w:spacing w:after="0"/>
        <w:ind w:left="708"/>
        <w:rPr>
          <w:b/>
          <w:bCs/>
        </w:rPr>
      </w:pPr>
      <w:proofErr w:type="gramStart"/>
      <w:r w:rsidRPr="00655731">
        <w:rPr>
          <w:b/>
          <w:bCs/>
        </w:rPr>
        <w:t>Naturgefahr  &lt;</w:t>
      </w:r>
      <w:proofErr w:type="gramEnd"/>
      <w:r w:rsidRPr="00655731">
        <w:rPr>
          <w:b/>
          <w:bCs/>
        </w:rPr>
        <w:t>-&gt; Vulnerabilität (Exposition, Sensitivität, Anpassungsfähigkeit)</w:t>
      </w:r>
    </w:p>
    <w:p w14:paraId="366A6233" w14:textId="18412795" w:rsidR="00655731" w:rsidRDefault="00655731" w:rsidP="00A432F8"/>
    <w:p w14:paraId="16982B0A" w14:textId="2C570475" w:rsidR="00655731" w:rsidRDefault="00655731" w:rsidP="00655731">
      <w:pPr>
        <w:spacing w:after="0"/>
        <w:rPr>
          <w:b/>
          <w:bCs/>
        </w:rPr>
      </w:pPr>
      <w:r w:rsidRPr="00655731">
        <w:rPr>
          <w:b/>
          <w:bCs/>
        </w:rPr>
        <w:t xml:space="preserve">Definitionen: </w:t>
      </w:r>
    </w:p>
    <w:p w14:paraId="2152D153" w14:textId="4E71268D" w:rsidR="00655731" w:rsidRDefault="00655731" w:rsidP="00655731">
      <w:pPr>
        <w:spacing w:after="0"/>
        <w:rPr>
          <w:b/>
          <w:bCs/>
        </w:rPr>
      </w:pPr>
      <w:r>
        <w:rPr>
          <w:b/>
          <w:bCs/>
        </w:rPr>
        <w:t xml:space="preserve">Trockenheit: </w:t>
      </w:r>
    </w:p>
    <w:p w14:paraId="65E0DB91" w14:textId="0F3F1C63" w:rsidR="00655731" w:rsidRDefault="00655731" w:rsidP="00655731">
      <w:pPr>
        <w:spacing w:after="0"/>
      </w:pPr>
      <w:r w:rsidRPr="00655731">
        <w:t xml:space="preserve">- </w:t>
      </w:r>
      <w:r>
        <w:t>ein natürliches Phänomen</w:t>
      </w:r>
    </w:p>
    <w:p w14:paraId="0330C2C8" w14:textId="2D39FFE0" w:rsidR="00655731" w:rsidRDefault="00655731" w:rsidP="00655731">
      <w:pPr>
        <w:spacing w:after="0"/>
      </w:pPr>
      <w:r>
        <w:t>- temporär, negative und starke Abweichung von durchschnittlichen Niederschlägen welches abhängig von Schwere und Dauer, zu den verschiedenen Dürre</w:t>
      </w:r>
      <w:r w:rsidR="008257C2">
        <w:t>arten führen kann.</w:t>
      </w:r>
    </w:p>
    <w:p w14:paraId="251A0AC5" w14:textId="63C615D2" w:rsidR="008257C2" w:rsidRDefault="008257C2" w:rsidP="00655731">
      <w:pPr>
        <w:spacing w:after="0"/>
        <w:rPr>
          <w:b/>
          <w:bCs/>
        </w:rPr>
      </w:pPr>
      <w:r w:rsidRPr="008257C2">
        <w:rPr>
          <w:b/>
          <w:bCs/>
        </w:rPr>
        <w:t>Dürre</w:t>
      </w:r>
      <w:r>
        <w:rPr>
          <w:b/>
          <w:bCs/>
        </w:rPr>
        <w:t>:</w:t>
      </w:r>
    </w:p>
    <w:p w14:paraId="41401538" w14:textId="3785ECA8" w:rsidR="008257C2" w:rsidRPr="008257C2" w:rsidRDefault="008257C2" w:rsidP="00655731">
      <w:pPr>
        <w:spacing w:after="0"/>
      </w:pPr>
      <w:r>
        <w:t>- ist ein klimatisch bedingtes Defizit der Wasserverfügbarkeit welches negative soziale. Ökonomische und ökologische Auswirkungen bewirkt.</w:t>
      </w:r>
    </w:p>
    <w:p w14:paraId="2F5AEFE3" w14:textId="437B45B7" w:rsidR="00655731" w:rsidRPr="00655731" w:rsidRDefault="00655731" w:rsidP="00655731">
      <w:pPr>
        <w:spacing w:after="0"/>
        <w:rPr>
          <w:b/>
          <w:bCs/>
        </w:rPr>
      </w:pPr>
      <w:r w:rsidRPr="00655731">
        <w:rPr>
          <w:b/>
          <w:bCs/>
        </w:rPr>
        <w:t>Meteorologische Dürre:</w:t>
      </w:r>
    </w:p>
    <w:p w14:paraId="6B2E4350" w14:textId="2E8537C4" w:rsidR="00655731" w:rsidRDefault="00655731" w:rsidP="00655731">
      <w:pPr>
        <w:spacing w:after="0"/>
      </w:pPr>
      <w:r>
        <w:t>-&gt; ausbleibende Niederschläge</w:t>
      </w:r>
    </w:p>
    <w:p w14:paraId="47B919BE" w14:textId="4C4975AC" w:rsidR="00655731" w:rsidRDefault="00655731" w:rsidP="00655731">
      <w:pPr>
        <w:spacing w:after="0"/>
      </w:pPr>
      <w:r>
        <w:t>-&gt; hohe Temperaturen und Hitzewellen</w:t>
      </w:r>
    </w:p>
    <w:p w14:paraId="21347E5B" w14:textId="39342FDC" w:rsidR="00655731" w:rsidRPr="00655731" w:rsidRDefault="00655731" w:rsidP="00655731">
      <w:pPr>
        <w:spacing w:after="0"/>
        <w:rPr>
          <w:b/>
          <w:bCs/>
        </w:rPr>
      </w:pPr>
      <w:r w:rsidRPr="00655731">
        <w:rPr>
          <w:b/>
          <w:bCs/>
        </w:rPr>
        <w:t>Dürre in der Landwirtschaft:</w:t>
      </w:r>
    </w:p>
    <w:p w14:paraId="221CE5BD" w14:textId="7F264298" w:rsidR="00655731" w:rsidRDefault="00655731" w:rsidP="00655731">
      <w:pPr>
        <w:spacing w:after="0"/>
      </w:pPr>
      <w:r>
        <w:t>-&gt; geringe Bodenfeuchte</w:t>
      </w:r>
    </w:p>
    <w:p w14:paraId="0DA4D62C" w14:textId="07B919F3" w:rsidR="00655731" w:rsidRDefault="00655731" w:rsidP="00655731">
      <w:pPr>
        <w:spacing w:after="0"/>
      </w:pPr>
      <w:r>
        <w:t>-&gt; Ertragseinbußen</w:t>
      </w:r>
    </w:p>
    <w:p w14:paraId="4186723D" w14:textId="63252916" w:rsidR="00655731" w:rsidRPr="00655731" w:rsidRDefault="00655731" w:rsidP="00655731">
      <w:pPr>
        <w:spacing w:after="0"/>
        <w:rPr>
          <w:b/>
          <w:bCs/>
          <w:highlight w:val="yellow"/>
        </w:rPr>
      </w:pPr>
      <w:r w:rsidRPr="00655731">
        <w:rPr>
          <w:b/>
          <w:bCs/>
          <w:highlight w:val="yellow"/>
        </w:rPr>
        <w:t>Hydrologische Dürre:</w:t>
      </w:r>
    </w:p>
    <w:p w14:paraId="23A61878" w14:textId="47A64D88" w:rsidR="00655731" w:rsidRPr="00655731" w:rsidRDefault="00655731" w:rsidP="00655731">
      <w:pPr>
        <w:spacing w:after="0"/>
        <w:rPr>
          <w:highlight w:val="yellow"/>
        </w:rPr>
      </w:pPr>
      <w:r w:rsidRPr="00655731">
        <w:rPr>
          <w:highlight w:val="yellow"/>
        </w:rPr>
        <w:t>-&gt; Niedrigwasser</w:t>
      </w:r>
    </w:p>
    <w:p w14:paraId="51F9416F" w14:textId="0312F0FD" w:rsidR="00655731" w:rsidRPr="00655731" w:rsidRDefault="00655731" w:rsidP="00655731">
      <w:pPr>
        <w:spacing w:after="0"/>
        <w:rPr>
          <w:highlight w:val="yellow"/>
        </w:rPr>
      </w:pPr>
      <w:r w:rsidRPr="00655731">
        <w:rPr>
          <w:highlight w:val="yellow"/>
        </w:rPr>
        <w:t>-&gt; abgesenktes Grundwasser</w:t>
      </w:r>
    </w:p>
    <w:p w14:paraId="7B3F6183" w14:textId="45C5F763" w:rsidR="00655731" w:rsidRPr="00655731" w:rsidRDefault="00655731" w:rsidP="00655731">
      <w:pPr>
        <w:spacing w:after="0"/>
        <w:rPr>
          <w:highlight w:val="yellow"/>
        </w:rPr>
      </w:pPr>
      <w:r w:rsidRPr="00655731">
        <w:rPr>
          <w:highlight w:val="yellow"/>
        </w:rPr>
        <w:t>-&gt; leere Gebietsspeicher</w:t>
      </w:r>
    </w:p>
    <w:p w14:paraId="56B0774C" w14:textId="5A76A787" w:rsidR="00655731" w:rsidRPr="00655731" w:rsidRDefault="00655731" w:rsidP="00655731">
      <w:pPr>
        <w:spacing w:after="0"/>
        <w:rPr>
          <w:highlight w:val="yellow"/>
        </w:rPr>
      </w:pPr>
      <w:r w:rsidRPr="00655731">
        <w:rPr>
          <w:highlight w:val="yellow"/>
        </w:rPr>
        <w:t>-&gt; Signifikantes Unterschreiten eines Grenzwertes der verfügbaren Wasserressourcen</w:t>
      </w:r>
    </w:p>
    <w:p w14:paraId="1505BA1E" w14:textId="0684B66C" w:rsidR="00655731" w:rsidRDefault="00655731" w:rsidP="00655731">
      <w:pPr>
        <w:spacing w:after="0"/>
      </w:pPr>
      <w:r w:rsidRPr="00655731">
        <w:rPr>
          <w:highlight w:val="yellow"/>
        </w:rPr>
        <w:lastRenderedPageBreak/>
        <w:t>(Trockenheitsbedingtes Niedrigwasser: Signifikantes Unterschreiten eines Grenzwertes des Abflusses)</w:t>
      </w:r>
    </w:p>
    <w:p w14:paraId="7DF23AA3" w14:textId="3C8560E8" w:rsidR="00655731" w:rsidRPr="00655731" w:rsidRDefault="00655731" w:rsidP="00655731">
      <w:pPr>
        <w:spacing w:after="0"/>
        <w:rPr>
          <w:b/>
          <w:bCs/>
        </w:rPr>
      </w:pPr>
      <w:r w:rsidRPr="00655731">
        <w:rPr>
          <w:b/>
          <w:bCs/>
        </w:rPr>
        <w:t>Sozio-ökonomische Dürre:</w:t>
      </w:r>
    </w:p>
    <w:p w14:paraId="63E37EF1" w14:textId="1AE76D8F" w:rsidR="00655731" w:rsidRDefault="00655731" w:rsidP="00655731">
      <w:pPr>
        <w:spacing w:after="0"/>
      </w:pPr>
      <w:r>
        <w:t>-&gt; Europa 2003</w:t>
      </w:r>
    </w:p>
    <w:p w14:paraId="3B62B8A1" w14:textId="38F5647C" w:rsidR="00655731" w:rsidRDefault="00655731" w:rsidP="00655731">
      <w:pPr>
        <w:spacing w:after="0"/>
      </w:pPr>
      <w:r>
        <w:t xml:space="preserve">-&gt; Auswirkungen für die Volkswirtschaft: Erträge, Gesundheit, Energie, Transport </w:t>
      </w:r>
    </w:p>
    <w:p w14:paraId="391CC044" w14:textId="1F08B4AA" w:rsidR="00CB6360" w:rsidRDefault="00CB6360" w:rsidP="00655731">
      <w:pPr>
        <w:spacing w:after="0"/>
      </w:pPr>
    </w:p>
    <w:p w14:paraId="2C07ADEF" w14:textId="72CB9E38" w:rsidR="00CB6360" w:rsidRPr="00CB6360" w:rsidRDefault="00CB6360" w:rsidP="00655731">
      <w:pPr>
        <w:spacing w:after="0"/>
        <w:rPr>
          <w:sz w:val="23"/>
          <w:szCs w:val="23"/>
          <w:lang w:val="en-US"/>
        </w:rPr>
      </w:pPr>
      <w:r w:rsidRPr="00CB6360">
        <w:rPr>
          <w:sz w:val="23"/>
          <w:szCs w:val="23"/>
          <w:lang w:val="en-US"/>
        </w:rPr>
        <w:t xml:space="preserve">- </w:t>
      </w:r>
      <w:r w:rsidRPr="00CB6360">
        <w:rPr>
          <w:sz w:val="23"/>
          <w:szCs w:val="23"/>
          <w:highlight w:val="yellow"/>
          <w:lang w:val="en-US"/>
        </w:rPr>
        <w:t xml:space="preserve">Statements about low water levels could not be made due to the persistently </w:t>
      </w:r>
      <w:proofErr w:type="gramStart"/>
      <w:r w:rsidRPr="00CB6360">
        <w:rPr>
          <w:sz w:val="23"/>
          <w:szCs w:val="23"/>
          <w:highlight w:val="yellow"/>
          <w:lang w:val="en-US"/>
        </w:rPr>
        <w:t>high water</w:t>
      </w:r>
      <w:proofErr w:type="gramEnd"/>
      <w:r w:rsidRPr="00CB6360">
        <w:rPr>
          <w:sz w:val="23"/>
          <w:szCs w:val="23"/>
          <w:highlight w:val="yellow"/>
          <w:lang w:val="en-US"/>
        </w:rPr>
        <w:t xml:space="preserve"> levels during the study period.</w:t>
      </w:r>
    </w:p>
    <w:p w14:paraId="0881AE87" w14:textId="77777777" w:rsidR="00CB6360" w:rsidRPr="00CB6360" w:rsidRDefault="00CB6360" w:rsidP="00655731">
      <w:pPr>
        <w:spacing w:after="0"/>
        <w:rPr>
          <w:lang w:val="en-US"/>
        </w:rPr>
      </w:pPr>
    </w:p>
    <w:sectPr w:rsidR="00CB6360" w:rsidRPr="00CB6360">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Carina Schlamberger" w:date="2019-12-14T09:51:00Z" w:initials="CS">
    <w:p w14:paraId="25F8B69B" w14:textId="77777777" w:rsidR="00CB6360" w:rsidRDefault="00CB6360">
      <w:pPr>
        <w:pStyle w:val="Kommentartext"/>
      </w:pPr>
      <w:r>
        <w:rPr>
          <w:rStyle w:val="Kommentarzeichen"/>
        </w:rPr>
        <w:annotationRef/>
      </w:r>
      <w:r>
        <w:t>Beweis</w:t>
      </w:r>
    </w:p>
  </w:comment>
  <w:comment w:id="1" w:author="Carina Schlamberger" w:date="2019-12-14T09:52:00Z" w:initials="CS">
    <w:p w14:paraId="51821393" w14:textId="77777777" w:rsidR="00CB6360" w:rsidRDefault="00CB6360">
      <w:pPr>
        <w:pStyle w:val="Kommentartext"/>
      </w:pPr>
      <w:r>
        <w:rPr>
          <w:rStyle w:val="Kommentarzeichen"/>
        </w:rPr>
        <w:annotationRef/>
      </w:r>
      <w:r>
        <w:t>Quelle/Vorlesung/NW-Synthesebericht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5F8B69B" w15:done="0"/>
  <w15:commentEx w15:paraId="5182139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5F8B69B" w16cid:durableId="219F2F34"/>
  <w16cid:commentId w16cid:paraId="51821393" w16cid:durableId="219F2F4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arina Schlamberger">
    <w15:presenceInfo w15:providerId="None" w15:userId="Carina Schlamberg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D9D"/>
    <w:rsid w:val="00073C7C"/>
    <w:rsid w:val="0011046B"/>
    <w:rsid w:val="00205699"/>
    <w:rsid w:val="00215700"/>
    <w:rsid w:val="002E05D1"/>
    <w:rsid w:val="003F3A09"/>
    <w:rsid w:val="00422230"/>
    <w:rsid w:val="004C6FCC"/>
    <w:rsid w:val="00517770"/>
    <w:rsid w:val="00603648"/>
    <w:rsid w:val="00655731"/>
    <w:rsid w:val="008257C2"/>
    <w:rsid w:val="008865B1"/>
    <w:rsid w:val="008D762F"/>
    <w:rsid w:val="009C2108"/>
    <w:rsid w:val="009D1D9D"/>
    <w:rsid w:val="009D48F6"/>
    <w:rsid w:val="00A06D9E"/>
    <w:rsid w:val="00A432F8"/>
    <w:rsid w:val="00AD4378"/>
    <w:rsid w:val="00B4003F"/>
    <w:rsid w:val="00CB6360"/>
    <w:rsid w:val="00CF2F59"/>
    <w:rsid w:val="00D6708A"/>
    <w:rsid w:val="00D72AAA"/>
    <w:rsid w:val="00D85B51"/>
    <w:rsid w:val="00E72EA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4E7F0"/>
  <w15:chartTrackingRefBased/>
  <w15:docId w15:val="{E20569BA-BFEB-492B-BD5F-4B49A115E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Standard">
    <w:name w:val="Normal"/>
    <w:qFormat/>
    <w:rsid w:val="009D1D9D"/>
    <w:pPr>
      <w:spacing w:after="80" w:line="240" w:lineRule="auto"/>
    </w:pPr>
  </w:style>
  <w:style w:type="paragraph" w:styleId="berschrift1">
    <w:name w:val="heading 1"/>
    <w:basedOn w:val="Standard"/>
    <w:next w:val="Standard"/>
    <w:link w:val="berschrift1Zchn"/>
    <w:uiPriority w:val="9"/>
    <w:qFormat/>
    <w:rsid w:val="009D1D9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berschrift2">
    <w:name w:val="heading 2"/>
    <w:basedOn w:val="Standard"/>
    <w:next w:val="Standard"/>
    <w:link w:val="berschrift2Zchn"/>
    <w:uiPriority w:val="9"/>
    <w:unhideWhenUsed/>
    <w:qFormat/>
    <w:rsid w:val="008D762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9D1D9D"/>
    <w:pPr>
      <w:spacing w:after="0"/>
      <w:contextualSpacing/>
      <w:jc w:val="center"/>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D1D9D"/>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9D1D9D"/>
    <w:rPr>
      <w:rFonts w:asciiTheme="majorHAnsi" w:eastAsiaTheme="majorEastAsia" w:hAnsiTheme="majorHAnsi" w:cstheme="majorBidi"/>
      <w:color w:val="365F91" w:themeColor="accent1" w:themeShade="BF"/>
      <w:sz w:val="32"/>
      <w:szCs w:val="32"/>
    </w:rPr>
  </w:style>
  <w:style w:type="character" w:styleId="Hyperlink">
    <w:name w:val="Hyperlink"/>
    <w:basedOn w:val="Absatz-Standardschriftart"/>
    <w:uiPriority w:val="99"/>
    <w:unhideWhenUsed/>
    <w:rsid w:val="004C6FCC"/>
    <w:rPr>
      <w:color w:val="0000FF"/>
      <w:u w:val="single"/>
    </w:rPr>
  </w:style>
  <w:style w:type="character" w:styleId="Fett">
    <w:name w:val="Strong"/>
    <w:basedOn w:val="Absatz-Standardschriftart"/>
    <w:uiPriority w:val="22"/>
    <w:qFormat/>
    <w:rsid w:val="004C6FCC"/>
    <w:rPr>
      <w:b/>
      <w:bCs/>
    </w:rPr>
  </w:style>
  <w:style w:type="table" w:styleId="Tabellenraster">
    <w:name w:val="Table Grid"/>
    <w:basedOn w:val="NormaleTabelle"/>
    <w:uiPriority w:val="59"/>
    <w:rsid w:val="00E72E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8D762F"/>
    <w:rPr>
      <w:rFonts w:asciiTheme="majorHAnsi" w:eastAsiaTheme="majorEastAsia" w:hAnsiTheme="majorHAnsi" w:cstheme="majorBidi"/>
      <w:color w:val="365F91" w:themeColor="accent1" w:themeShade="BF"/>
      <w:sz w:val="26"/>
      <w:szCs w:val="26"/>
    </w:rPr>
  </w:style>
  <w:style w:type="character" w:styleId="Kommentarzeichen">
    <w:name w:val="annotation reference"/>
    <w:basedOn w:val="Absatz-Standardschriftart"/>
    <w:uiPriority w:val="99"/>
    <w:semiHidden/>
    <w:unhideWhenUsed/>
    <w:rsid w:val="00422230"/>
    <w:rPr>
      <w:sz w:val="16"/>
      <w:szCs w:val="16"/>
    </w:rPr>
  </w:style>
  <w:style w:type="paragraph" w:styleId="Kommentartext">
    <w:name w:val="annotation text"/>
    <w:basedOn w:val="Standard"/>
    <w:link w:val="KommentartextZchn"/>
    <w:uiPriority w:val="99"/>
    <w:semiHidden/>
    <w:unhideWhenUsed/>
    <w:rsid w:val="00422230"/>
    <w:rPr>
      <w:sz w:val="20"/>
      <w:szCs w:val="20"/>
    </w:rPr>
  </w:style>
  <w:style w:type="character" w:customStyle="1" w:styleId="KommentartextZchn">
    <w:name w:val="Kommentartext Zchn"/>
    <w:basedOn w:val="Absatz-Standardschriftart"/>
    <w:link w:val="Kommentartext"/>
    <w:uiPriority w:val="99"/>
    <w:semiHidden/>
    <w:rsid w:val="00422230"/>
    <w:rPr>
      <w:sz w:val="20"/>
      <w:szCs w:val="20"/>
    </w:rPr>
  </w:style>
  <w:style w:type="paragraph" w:styleId="Kommentarthema">
    <w:name w:val="annotation subject"/>
    <w:basedOn w:val="Kommentartext"/>
    <w:next w:val="Kommentartext"/>
    <w:link w:val="KommentarthemaZchn"/>
    <w:uiPriority w:val="99"/>
    <w:semiHidden/>
    <w:unhideWhenUsed/>
    <w:rsid w:val="00422230"/>
    <w:rPr>
      <w:b/>
      <w:bCs/>
    </w:rPr>
  </w:style>
  <w:style w:type="character" w:customStyle="1" w:styleId="KommentarthemaZchn">
    <w:name w:val="Kommentarthema Zchn"/>
    <w:basedOn w:val="KommentartextZchn"/>
    <w:link w:val="Kommentarthema"/>
    <w:uiPriority w:val="99"/>
    <w:semiHidden/>
    <w:rsid w:val="00422230"/>
    <w:rPr>
      <w:b/>
      <w:bCs/>
      <w:sz w:val="20"/>
      <w:szCs w:val="20"/>
    </w:rPr>
  </w:style>
  <w:style w:type="paragraph" w:styleId="Sprechblasentext">
    <w:name w:val="Balloon Text"/>
    <w:basedOn w:val="Standard"/>
    <w:link w:val="SprechblasentextZchn"/>
    <w:uiPriority w:val="99"/>
    <w:semiHidden/>
    <w:unhideWhenUsed/>
    <w:rsid w:val="00422230"/>
    <w:pPr>
      <w:spacing w:after="0"/>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22230"/>
    <w:rPr>
      <w:rFonts w:ascii="Segoe UI" w:hAnsi="Segoe UI" w:cs="Segoe UI"/>
      <w:sz w:val="18"/>
      <w:szCs w:val="18"/>
    </w:rPr>
  </w:style>
  <w:style w:type="character" w:styleId="NichtaufgelsteErwhnung">
    <w:name w:val="Unresolved Mention"/>
    <w:basedOn w:val="Absatz-Standardschriftart"/>
    <w:uiPriority w:val="99"/>
    <w:semiHidden/>
    <w:unhideWhenUsed/>
    <w:rsid w:val="00B400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1524</Words>
  <Characters>9605</Characters>
  <Application>Microsoft Office Word</Application>
  <DocSecurity>0</DocSecurity>
  <Lines>80</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Carina Schlamberger</dc:creator>
  <cp:keywords/>
  <dc:description/>
  <cp:lastModifiedBy>Carina Schlamberger</cp:lastModifiedBy>
  <cp:revision>9</cp:revision>
  <dcterms:created xsi:type="dcterms:W3CDTF">2019-12-13T14:33:00Z</dcterms:created>
  <dcterms:modified xsi:type="dcterms:W3CDTF">2020-01-08T16:43:00Z</dcterms:modified>
</cp:coreProperties>
</file>