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INPUT n // với n là điểm học viên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IF n &gt; 75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DISPLAY ‘ Loại A’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IF 60&lt;n&lt;75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DISPLAY ‘ Loại B’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IF 45&lt;n&lt;60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DISPLAY ‘ Loại C’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IF 35&lt;n&lt;45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DISPLAY ‘ Loại D’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IF n&lt;35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DISPLAY ‘ Loại E’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4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4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