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Override ContentType="application/xhtml+xml" PartName="/chunk.xht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7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>Case 1. Tietovuodon analysointi</w:t>
      </w:r>
    </w:p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>Johdanto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Tehtävässä analysoidaan erästä tapahtumaa käyttäen hyväksi tapahtuma-ajalta tehtyä verkkoliikenteen kaappausta. Analysointiin tarvitset Wireshark-ohjelman. Kaappaus on tiedostossa, jonka voi ladata tästä linkistä: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hyperlink r:id="rId5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>https://www.dropbox.com/s/19wqzea2sro0o9h/CyberOps_case1.pcapng?dl=0</w:t>
        </w:r>
      </w:hyperlink>
      <w:r>
        <w:br/>
      </w:r>
    </w:p>
    <w:p>
      <w:pPr>
        <w:spacing w:after="0"/>
        <w:ind w:left="120"/>
        <w:jc w:val="left"/>
      </w:pPr>
      <w:hyperlink r:id="rId6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>https://www.dropbox.com/s/19wqzea2sro0o9h/CyberOps_case1.pcapng?dl=0</w:t>
        </w:r>
      </w:hyperlink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Tehtävään saa ohjausta tuntien yhteydessä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(ja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sitä mahdollisesti tehdään tunneilla).  Tehtävää saa toki tehdä itsenäisesti etu- tai jälkikäteen ja tehtävästä saa vaihtaa tietoja muiden opiskelijoiden kanssa mutta toivottavaa on, että toisille annettaisiin ennemmin selvittämiseen liittyviä vihjeitä kuin suoria ratkaisuja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(älä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pilaa toisilta onnistumisen mahdollisuutta)! Tehtävän voi myös tehdä pareissa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(tai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pienessä ryhmässä) mutta jokaisen tulee silti tehdä oma palautus.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Tehtävänannon lopussa on vinkkejä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(jos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niitä kaipaa) sekä palautusohje. Tehtävän voi ratkaista lukuisilla erilaisilla tavoilla ja vinkit ovat vain yksi keino.</w:t>
      </w:r>
    </w:p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>Tehtävä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Ratkaise seuraava skenaario analysoimalla annettua pcap-tiedostoa. Analyysin perusteella kirjoita lyhyt mutta tarkka kuvaus siitä, mitä skenaariossa on tapahtunut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(maks.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2 sivua, pdf-muoto). Tue analyysiä ottamalla raporttiin mukaan täsmällisiä sopivia kaappauskuvia pakettianalysoinnista. Palauta raportti palautuskansioosi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(ks.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palautus) ja merkitse tehtävä suoritetuksi.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Analysointiin riittää Wireshark-ohjelma mutta muitakin työvälineitä saa halutessaan käyttää. Mikäli käytät muita ohjelmia, niin mainitse ne raportissa.</w:t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>Skenaario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Eräs yhtiö on hävinnyt monta tarjouskilpailua ulkomaiselle kilpailijalleen. Yhden hävityn tarjouskilpailun jälkeen yrityksen edustajien tietoon saatettiin asioita, jotka saivat heidät epäilemään, että yrityksen luottamuksellista tietoa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(tehtyjen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tarjouksien yksityiskohtia) on vuotanut kilpailijalle. 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Yrityksellä on arkistointijärjestelmä, jonne luottamukselliset dokumentit arkistoidaan kuvatiedostoina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(.jpg).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On herännyt epäily, että tietovuodot liittyvät arkistointijärjestelmään tallennettuihin dokumentteihin.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Yrityksen verkon liikennettä oli seurattu tekemällä osittaisia liikennekaapauksia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(PCAP-tiedostoja).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Yhdessä tiedostossa näkyy liikennettä, joka ajoittuu hetkeen, jolloin epäillään tietoja vuodetun.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Oheisesta kuvasta selviää verkon topologia, kyseisenä aikana konttorilla olleet työntekijät sekä muut tarpeelliset tiedot. Arkistointijärjestelmän toimialuenimi on sp.wpk.tpu.fi.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/>
          <w:i w:val="false"/>
          <w:color w:val="000000"/>
          <w:sz w:val="22"/>
        </w:rPr>
        <w:t>Tehtävänä on saada selville, mitä on tapahtunut?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drawing>
          <wp:inline distT="0" distB="0" distL="0" distR="0">
            <wp:extent cx="5943600" cy="3487222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 </w:t>
      </w:r>
    </w:p>
    <w:p>
      <w:pPr>
        <w:spacing w:after="0"/>
        <w:ind w:left="120"/>
        <w:jc w:val="left"/>
      </w:pPr>
      <w:r>
        <w:rPr>
          <w:rFonts w:ascii="Cambria" w:hAnsi="Cambria"/>
          <w:b/>
          <w:i w:val="false"/>
          <w:color w:val="000000"/>
          <w:sz w:val="22"/>
        </w:rPr>
        <w:t>Haaste</w:t>
      </w:r>
      <w:r>
        <w:rPr>
          <w:rFonts w:ascii="Cambria" w:hAnsi="Cambria"/>
          <w:b w:val="false"/>
          <w:i w:val="false"/>
          <w:color w:val="000000"/>
          <w:sz w:val="22"/>
        </w:rPr>
        <w:t>: saatko selvitettyä, minkä nimisestä firmasta skenaariossa on kyse. Vinkki: tieto löytyy yrityksen tekemästä tarjouksesta.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</w:p>
    <w:p>
      <w:r>
        <w:pict>
          <v:rect style="width:0;height:1.5pt" id="_x0000_i1025" o:hr="t" o:hrstd="t" o:hralign="center" stroked="f" fillcolor="#a0a0a0"/>
        </w:pict>
      </w:r>
    </w:p>
    <w:p>
      <w:pPr>
        <w:spacing w:after="0"/>
        <w:ind w:left="0"/>
        <w:jc w:val="left"/>
      </w:pP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>Vinkit etenemiselle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Tässä muutama vinkki siihen, kuinka pcap-tiedostoa voisi ryhtyä analysoimaan: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Yritä selvittää laitteiden IP-osoitteet. Aloita arkisto-palvelimesta. Se on ainoa laite, josta sinulla on jokin varma tieto jo olemassa. Hyödynnä tuota tietoa. Mikä on arkisto-palvelimen ip-osoite?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Selvitä käyttäjistä, kuka on käyttänyt mitäkin työasemaa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(IP-osoite)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ja mitä he ovat tehneet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(noin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suurin piirtein).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Selvitä, millaista liikennettä arkistopalvelimen ja käyttäjien työasemien välillä on ollut. Kuka on kirjautunut järjestelmään? Kuka on ladannut tiedostoja? Mitä tiedostoja?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Lopuksi huomioi vielä, että kaikki ei välttämättä ole niin miltä ensin näyttää… ;-)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Haaste-osuus: kaappauksesta pystyy erottamaan ladatun tiedoston ja tallentamaan sen erillisenä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(huom.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jpg-tiedostomuoto).</w:t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>Vinkkejä Wiresharkiin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Tässä muutamia vinkkejä kuinka analyysi voi alkaa tekemään Wiresharkilla:</w:t>
      </w:r>
    </w:p>
    <w:p>
      <w:pPr>
        <w:numPr>
          <w:ilvl w:val="0"/>
          <w:numId w:val="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Pyri suodattamaan kaappausta erilaisilla suodattimilla aina sopivasti</w:t>
      </w:r>
    </w:p>
    <w:p>
      <w:pPr>
        <w:numPr>
          <w:ilvl w:val="0"/>
          <w:numId w:val="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Hyvä alkukohta suodattimille on valikko Statistics:</w:t>
      </w:r>
    </w:p>
    <w:p>
      <w:pPr>
        <w:numPr>
          <w:ilvl w:val="1"/>
          <w:numId w:val="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Statistics → Protocol Hierarchy</w:t>
      </w:r>
    </w:p>
    <w:p>
      <w:pPr>
        <w:numPr>
          <w:ilvl w:val="1"/>
          <w:numId w:val="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Statistics → Conversations</w:t>
      </w:r>
    </w:p>
    <w:p>
      <w:pPr>
        <w:numPr>
          <w:ilvl w:val="1"/>
          <w:numId w:val="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Statistics → Endpoints</w:t>
      </w:r>
    </w:p>
    <w:p>
      <w:pPr>
        <w:numPr>
          <w:ilvl w:val="0"/>
          <w:numId w:val="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Valitse noiden valikkojen kautta kiinnostava asia ja hiiren kakkospainikkeella aseta siihen liittyvä suodatin.</w:t>
      </w:r>
    </w:p>
    <w:p>
      <w:pPr>
        <w:numPr>
          <w:ilvl w:val="0"/>
          <w:numId w:val="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Suodata lisäksi ainakin IP-osoitteilla…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</w:p>
    <w:p>
      <w:r>
        <w:pict>
          <v:rect style="width:0;height:1.5pt" id="_x0000_i1025" o:hr="t" o:hrstd="t" o:hralign="center" stroked="f" fillcolor="#a0a0a0"/>
        </w:pict>
      </w:r>
    </w:p>
    <w:p>
      <w:pPr>
        <w:spacing w:after="0"/>
        <w:ind w:left="0"/>
        <w:jc w:val="left"/>
      </w:pPr>
    </w:p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>Palautus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Palauta tekemäsi analyysi opintojakson palautuskansioon ja merkitse se suoritetuksi. Jokaisen tulee palauttaa oma selvitys vaikka tehtävän olisikin tehnyt yhteistyössä toisten kanssa. Selvityksessä on hyvä mainita kenen kanssa työ on tehty.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</w:p>
    <w:p>
      <w:r>
        <w:pict>
          <v:rect style="width:0;height:1.5pt" id="_x0000_i1025" o:hr="t" o:hrstd="t" o:hralign="center" stroked="f" fillcolor="#a0a0a0"/>
        </w:pict>
      </w:r>
    </w:p>
    <w:p>
      <w:pPr>
        <w:spacing w:after="0"/>
        <w:ind w:left="0"/>
        <w:jc w:val="left"/>
      </w:pP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</w:p>
    <w:p>
      <w:r>
        <w:pict>
          <v:rect style="width:0;height:1.5pt" id="_x0000_i1025" o:hr="t" o:hrstd="t" o:hralign="center" stroked="f" fillcolor="#a0a0a0"/>
        </w:pict>
      </w:r>
    </w:p>
    <w:p>
      <w:pPr>
        <w:spacing w:after="0"/>
        <w:ind w:left="0"/>
        <w:jc w:val="left"/>
      </w:pP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LOPPU</w:t>
      </w:r>
    </w:p>
    <w:p>
      <w:pPr>
        <w:spacing w:after="0"/>
        <w:ind w:left="120"/>
        <w:jc w:val="left"/>
      </w:pPr>
      <w:r>
        <w:br/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  <w:lvl w:ilvl="1">
      <w:start w:val="1"/>
      <w:numFmt w:val="lowerLetter"/>
      <w:lvlText w:val="%2."/>
      <w:lvlJc w:val="left"/>
      <w:pPr>
        <w:ind w:left="156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../chunk.xhtml" Type="http://schemas.openxmlformats.org/officeDocument/2006/relationships/aFChunk" Id="rId3"/>
    <Relationship Target="numbering.xml" Type="http://schemas.openxmlformats.org/officeDocument/2006/relationships/numbering" Id="rId4"/>
    <Relationship TargetMode="External" Target="https://www.dropbox.com/s/19wqzea2sro0o9h/CyberOps_case1.pcapng?dl=0" Type="http://schemas.openxmlformats.org/officeDocument/2006/relationships/hyperlink" Id="rId5"/>
    <Relationship TargetMode="External" Target="https://www.dropbox.com/s/19wqzea2sro0o9h/CyberOps_case1.pcapng?dl=0" Type="http://schemas.openxmlformats.org/officeDocument/2006/relationships/hyperlink" Id="rId6"/>
    <Relationship Target="media/document_image_rId7.png" Type="http://schemas.openxmlformats.org/officeDocument/2006/relationships/image" Id="rId7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