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Part</w:t>
      </w:r>
      <w:r>
        <w:t xml:space="preserve"> </w:t>
      </w:r>
      <w:r>
        <w:t xml:space="preserve">2</w:t>
      </w:r>
    </w:p>
    <w:p>
      <w:pPr>
        <w:pStyle w:val="Author"/>
      </w:pPr>
      <w:r>
        <w:t xml:space="preserve">David</w:t>
      </w:r>
      <w:r>
        <w:t xml:space="preserve"> </w:t>
      </w:r>
      <w:r>
        <w:t xml:space="preserve">Chiam</w:t>
      </w:r>
      <w:r>
        <w:t xml:space="preserve"> </w:t>
      </w:r>
      <w:r>
        <w:t xml:space="preserve">&amp;</w:t>
      </w:r>
      <w:r>
        <w:t xml:space="preserve"> </w:t>
      </w:r>
      <w:r>
        <w:t xml:space="preserve">Liu</w:t>
      </w:r>
      <w:r>
        <w:t xml:space="preserve"> </w:t>
      </w:r>
      <w:r>
        <w:t xml:space="preserve">Chih</w:t>
      </w:r>
      <w:r>
        <w:t xml:space="preserve"> </w:t>
      </w:r>
      <w:r>
        <w:t xml:space="preserve">Yuan</w:t>
      </w:r>
    </w:p>
    <w:p>
      <w:pPr>
        <w:pStyle w:val="Date"/>
      </w:pPr>
      <w:r>
        <w:t xml:space="preserve">2025-05-10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Commenting on David Chiam’s EDA 3.2</w:t>
            </w:r>
          </w:p>
        </w:tc>
      </w:tr>
      <w:tr>
        <w:trPr>
          <w:cantSplit/>
        </w:trPr>
        <w:tc>
          <w:tcPr>
            <w:tcMar>
              <w:top w:w="108" w:type="dxa"/>
              <w:bottom w:w="108" w:type="dxa"/>
            </w:tcMar>
          </w:tcPr>
        </w:tc>
      </w:tr>
    </w:tbl>
    <w:bookmarkStart w:id="25" w:name="overview"/>
    <w:p>
      <w:pPr>
        <w:pStyle w:val="Heading1"/>
      </w:pPr>
      <w:r>
        <w:rPr>
          <w:b/>
          <w:bCs/>
        </w:rPr>
        <w:t xml:space="preserve">1. Overview</w:t>
      </w:r>
    </w:p>
    <w:bookmarkStart w:id="23" w:name="setting-the-scene"/>
    <w:p>
      <w:pPr>
        <w:pStyle w:val="Heading2"/>
      </w:pPr>
      <w:r>
        <w:rPr>
          <w:b/>
          <w:bCs/>
        </w:rPr>
        <w:t xml:space="preserve">Setting the scene</w:t>
      </w:r>
    </w:p>
    <w:p>
      <w:pPr>
        <w:pStyle w:val="FirstParagraph"/>
      </w:pPr>
      <w:r>
        <w:t xml:space="preserve">A local online media company that publishes daily content on digital platforms is planning to release an article on</w:t>
      </w:r>
      <w:r>
        <w:t xml:space="preserve"> </w:t>
      </w:r>
      <w:r>
        <w:rPr>
          <w:b/>
          <w:bCs/>
        </w:rPr>
        <w:t xml:space="preserve">demographic structures and distribution of Singapore in 2024</w:t>
      </w:r>
      <w:r>
        <w:t xml:space="preserve">.</w:t>
      </w:r>
    </w:p>
    <w:bookmarkEnd w:id="23"/>
    <w:bookmarkStart w:id="24" w:name="the-task"/>
    <w:p>
      <w:pPr>
        <w:pStyle w:val="Heading2"/>
      </w:pPr>
      <w:r>
        <w:rPr>
          <w:b/>
          <w:bCs/>
        </w:rPr>
        <w:t xml:space="preserve">The task</w:t>
      </w:r>
    </w:p>
    <w:p>
      <w:pPr>
        <w:pStyle w:val="FirstParagraph"/>
      </w:pPr>
      <w:r>
        <w:t xml:space="preserve">Assuming the role of the graphical editor of the media company, the task was to prepare </w:t>
      </w:r>
      <w:r>
        <w:rPr>
          <w:b/>
          <w:bCs/>
        </w:rPr>
        <w:t xml:space="preserve">at most three data visualisation</w:t>
      </w:r>
      <w:r>
        <w:t xml:space="preserve"> for the exercise.</w:t>
      </w:r>
    </w:p>
    <w:p>
      <w:pPr>
        <w:pStyle w:val="BodyText"/>
      </w:pPr>
      <w:r>
        <w:t xml:space="preserve">Hence in this exercise, I curated three key visualisations as part of dats exploration:</w:t>
      </w:r>
    </w:p>
    <w:p>
      <w:pPr>
        <w:pStyle w:val="Compact"/>
        <w:numPr>
          <w:ilvl w:val="0"/>
          <w:numId w:val="1001"/>
        </w:numPr>
      </w:pPr>
      <w:r>
        <w:rPr>
          <w:b/>
          <w:bCs/>
        </w:rPr>
        <w:t xml:space="preserve">Generational Distribution by Region:</w:t>
      </w:r>
      <w:r>
        <w:t xml:space="preserve"> </w:t>
      </w:r>
      <w:r>
        <w:t xml:space="preserve">A paired bar chart highlights both absolute and relative generational makeup across Singapore’s five planning regions, revealing the Central and East as home to proportionally older populations.</w:t>
      </w:r>
    </w:p>
    <w:p>
      <w:pPr>
        <w:pStyle w:val="Compact"/>
        <w:numPr>
          <w:ilvl w:val="0"/>
          <w:numId w:val="1001"/>
        </w:numPr>
      </w:pPr>
      <w:r>
        <w:rPr>
          <w:b/>
          <w:bCs/>
        </w:rPr>
        <w:t xml:space="preserve">Age Demographics by Planning Area:</w:t>
      </w:r>
      <w:r>
        <w:t xml:space="preserve"> </w:t>
      </w:r>
      <w:r>
        <w:t xml:space="preserve">A boxplot with overlaid generation bands showcases median age and interquartile ranges, emphasising regions with mature population profiles like Central and West Singapore.</w:t>
      </w:r>
    </w:p>
    <w:p>
      <w:pPr>
        <w:pStyle w:val="Compact"/>
        <w:numPr>
          <w:ilvl w:val="0"/>
          <w:numId w:val="1001"/>
        </w:numPr>
      </w:pPr>
      <w:r>
        <w:rPr>
          <w:b/>
          <w:bCs/>
        </w:rPr>
        <w:t xml:space="preserve">Top Planning Areas by Age Band:</w:t>
      </w:r>
      <w:r>
        <w:t xml:space="preserve"> </w:t>
      </w:r>
      <w:r>
        <w:t xml:space="preserve">A set of ranked bar charts and accompanying pie charts depict the top 15 planning areas by population size in three age segments—youth (0–24), adults (25–54), and seniors (55+). These are complemented with gender breakdowns to visualise demographic imbalances.</w:t>
      </w:r>
    </w:p>
    <w:bookmarkEnd w:id="24"/>
    <w:bookmarkEnd w:id="25"/>
    <w:bookmarkStart w:id="49" w:name="Xb2e2254184c6d36541abcc0ccb9d100dcb2cae9"/>
    <w:p>
      <w:pPr>
        <w:pStyle w:val="Heading1"/>
      </w:pPr>
      <w:r>
        <w:rPr>
          <w:b/>
          <w:bCs/>
        </w:rPr>
        <w:t xml:space="preserve">2. Getting started, Data Loading and Preparation</w:t>
      </w:r>
    </w:p>
    <w:p>
      <w:pPr>
        <w:pStyle w:val="FirstParagraph"/>
      </w:pPr>
      <w:r>
        <w:t xml:space="preserve">This section documents the process of preparing the dataset for analysis and visualization. It covers the loading of R packages, initial inspection of the dataset, and the necessary wrangling and transformation steps applied.</w:t>
      </w:r>
    </w:p>
    <w:bookmarkStart w:id="38" w:name="load-required-packages"/>
    <w:p>
      <w:pPr>
        <w:pStyle w:val="Heading3"/>
      </w:pPr>
      <w:r>
        <w:rPr>
          <w:b/>
          <w:bCs/>
        </w:rPr>
        <w:t xml:space="preserve">2.1 Load required packages 📦</w:t>
      </w:r>
    </w:p>
    <w:p>
      <w:pPr>
        <w:pStyle w:val="FirstParagraph"/>
      </w:pPr>
      <w:r>
        <w:t xml:space="preserve">Before importing the data, we load several R packages from the</w:t>
      </w:r>
      <w:r>
        <w:t xml:space="preserve"> </w:t>
      </w:r>
      <w:r>
        <w:rPr>
          <w:b/>
          <w:bCs/>
        </w:rPr>
        <w:t xml:space="preserve">tidyverse</w:t>
      </w:r>
      <w:r>
        <w:t xml:space="preserve"> </w:t>
      </w:r>
      <w:r>
        <w:t xml:space="preserve">ecosystem and supporting libraries for data wrangling and visualization. These packages streamline data processing and produce publication-ready plots using</w:t>
      </w:r>
      <w:r>
        <w:t xml:space="preserve"> </w:t>
      </w:r>
      <w:r>
        <w:rPr>
          <w:rStyle w:val="VerbatimChar"/>
        </w:rPr>
        <w:t xml:space="preserve">ggplot2</w:t>
      </w:r>
      <w:r>
        <w:t xml:space="preserve">. This setup ensure that we have both the flexibility and power to craft expressive, publication-quality demographic visualizations for the report.</w:t>
      </w:r>
    </w:p>
    <w:p>
      <w:pPr>
        <w:pStyle w:val="BodyText"/>
      </w:pPr>
      <w:r>
        <w:t xml:space="preserve">📌</w:t>
      </w:r>
      <w:r>
        <w:t xml:space="preserve"> </w:t>
      </w:r>
      <w:r>
        <w:rPr>
          <w:b/>
          <w:bCs/>
        </w:rPr>
        <w:t xml:space="preserve">Summary of Package Roles</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pPr>
            <w:r>
              <w:t xml:space="preserve">Library</w:t>
            </w:r>
          </w:p>
        </w:tc>
        <w:tc>
          <w:tcPr/>
          <w:p>
            <w:pPr>
              <w:pStyle w:val="Compact"/>
              <w:jc w:val="left"/>
            </w:pPr>
            <w:r>
              <w:t xml:space="preserve">Description</w:t>
            </w:r>
          </w:p>
        </w:tc>
      </w:tr>
      <w:tr>
        <w:tc>
          <w:tcPr/>
          <w:p>
            <w:pPr>
              <w:pStyle w:val="Compact"/>
              <w:jc w:val="left"/>
            </w:pPr>
            <w:hyperlink r:id="rId26">
              <w:r>
                <w:rPr>
                  <w:rStyle w:val="Hyperlink"/>
                  <w:b/>
                  <w:bCs/>
                </w:rPr>
                <w:t xml:space="preserve">tidyverse</w:t>
              </w:r>
            </w:hyperlink>
          </w:p>
        </w:tc>
        <w:tc>
          <w:tcPr/>
          <w:p>
            <w:pPr>
              <w:pStyle w:val="Compact"/>
              <w:jc w:val="left"/>
            </w:pPr>
            <w:r>
              <w:t xml:space="preserve">A collection of core packages designed for data science, used extensively for data preparation and wrangling</w:t>
            </w:r>
          </w:p>
        </w:tc>
      </w:tr>
      <w:tr>
        <w:tc>
          <w:tcPr/>
          <w:p>
            <w:pPr>
              <w:pStyle w:val="Compact"/>
              <w:jc w:val="left"/>
            </w:pPr>
            <w:hyperlink r:id="rId27">
              <w:r>
                <w:rPr>
                  <w:rStyle w:val="Hyperlink"/>
                  <w:b/>
                  <w:bCs/>
                </w:rPr>
                <w:t xml:space="preserve">knitr</w:t>
              </w:r>
            </w:hyperlink>
          </w:p>
        </w:tc>
        <w:tc>
          <w:tcPr/>
          <w:p>
            <w:pPr>
              <w:pStyle w:val="Compact"/>
              <w:jc w:val="left"/>
            </w:pPr>
            <w:r>
              <w:t xml:space="preserve">Generates dynamic R markdown or Quarto reports</w:t>
            </w:r>
          </w:p>
        </w:tc>
      </w:tr>
      <w:tr>
        <w:tc>
          <w:tcPr/>
          <w:p>
            <w:pPr>
              <w:pStyle w:val="Compact"/>
              <w:jc w:val="left"/>
            </w:pPr>
            <w:hyperlink r:id="rId28">
              <w:r>
                <w:rPr>
                  <w:rStyle w:val="Hyperlink"/>
                  <w:b/>
                  <w:bCs/>
                </w:rPr>
                <w:t xml:space="preserve">patchwork</w:t>
              </w:r>
            </w:hyperlink>
          </w:p>
        </w:tc>
        <w:tc>
          <w:tcPr/>
          <w:p>
            <w:pPr>
              <w:pStyle w:val="Compact"/>
              <w:jc w:val="left"/>
            </w:pPr>
            <w:r>
              <w:t xml:space="preserve">Combine multiple ggplots into a single layout</w:t>
            </w:r>
          </w:p>
        </w:tc>
      </w:tr>
      <w:tr>
        <w:tc>
          <w:tcPr/>
          <w:p>
            <w:pPr>
              <w:pStyle w:val="Compact"/>
              <w:jc w:val="left"/>
            </w:pPr>
            <w:hyperlink r:id="rId29">
              <w:r>
                <w:rPr>
                  <w:rStyle w:val="Hyperlink"/>
                  <w:b/>
                  <w:bCs/>
                </w:rPr>
                <w:t xml:space="preserve">ggthemes</w:t>
              </w:r>
            </w:hyperlink>
          </w:p>
        </w:tc>
        <w:tc>
          <w:tcPr/>
          <w:p>
            <w:pPr>
              <w:pStyle w:val="Compact"/>
              <w:jc w:val="left"/>
            </w:pPr>
            <w:r>
              <w:t xml:space="preserve">Provides extra themes (e.g. economist, wsj)</w:t>
            </w:r>
          </w:p>
        </w:tc>
      </w:tr>
      <w:tr>
        <w:tc>
          <w:tcPr/>
          <w:p>
            <w:pPr>
              <w:pStyle w:val="Compact"/>
              <w:jc w:val="left"/>
            </w:pPr>
            <w:hyperlink r:id="rId30">
              <w:r>
                <w:rPr>
                  <w:rStyle w:val="Hyperlink"/>
                  <w:b/>
                  <w:bCs/>
                </w:rPr>
                <w:t xml:space="preserve">scales</w:t>
              </w:r>
            </w:hyperlink>
          </w:p>
        </w:tc>
        <w:tc>
          <w:tcPr/>
          <w:p>
            <w:pPr>
              <w:pStyle w:val="Compact"/>
              <w:jc w:val="left"/>
            </w:pPr>
            <w:r>
              <w:t xml:space="preserve">For data/axes label formatting and annotations for ggplot2</w:t>
            </w:r>
          </w:p>
        </w:tc>
      </w:tr>
      <w:tr>
        <w:tc>
          <w:tcPr/>
          <w:p>
            <w:pPr>
              <w:pStyle w:val="Compact"/>
              <w:jc w:val="left"/>
            </w:pPr>
            <w:hyperlink r:id="rId31">
              <w:r>
                <w:rPr>
                  <w:rStyle w:val="Hyperlink"/>
                  <w:b/>
                  <w:bCs/>
                </w:rPr>
                <w:t xml:space="preserve">ggtext</w:t>
              </w:r>
            </w:hyperlink>
          </w:p>
        </w:tc>
        <w:tc>
          <w:tcPr/>
          <w:p>
            <w:pPr>
              <w:pStyle w:val="Compact"/>
              <w:jc w:val="left"/>
            </w:pPr>
            <w:r>
              <w:t xml:space="preserve">Supports improved and rich text rendering for ggplot2</w:t>
            </w:r>
          </w:p>
        </w:tc>
      </w:tr>
      <w:tr>
        <w:tc>
          <w:tcPr/>
          <w:p>
            <w:pPr>
              <w:pStyle w:val="Compact"/>
              <w:jc w:val="left"/>
            </w:pPr>
            <w:hyperlink r:id="rId32">
              <w:r>
                <w:rPr>
                  <w:rStyle w:val="Hyperlink"/>
                  <w:b/>
                  <w:bCs/>
                </w:rPr>
                <w:t xml:space="preserve">ggalt</w:t>
              </w:r>
            </w:hyperlink>
          </w:p>
        </w:tc>
        <w:tc>
          <w:tcPr/>
          <w:p>
            <w:pPr>
              <w:pStyle w:val="Compact"/>
              <w:jc w:val="left"/>
            </w:pPr>
            <w:r>
              <w:t xml:space="preserve">A compendium of</w:t>
            </w:r>
            <w:r>
              <w:t xml:space="preserve"> </w:t>
            </w:r>
            <w:r>
              <w:t xml:space="preserve">‘</w:t>
            </w:r>
            <w:r>
              <w:t xml:space="preserve">geoms</w:t>
            </w:r>
            <w:r>
              <w:t xml:space="preserve">’</w:t>
            </w:r>
            <w:r>
              <w:t xml:space="preserve">,</w:t>
            </w:r>
            <w:r>
              <w:t xml:space="preserve"> </w:t>
            </w:r>
            <w:r>
              <w:t xml:space="preserve">‘</w:t>
            </w:r>
            <w:r>
              <w:t xml:space="preserve">coords</w:t>
            </w:r>
            <w:r>
              <w:t xml:space="preserve">’</w:t>
            </w:r>
            <w:r>
              <w:t xml:space="preserve">,</w:t>
            </w:r>
            <w:r>
              <w:t xml:space="preserve"> </w:t>
            </w:r>
            <w:r>
              <w:t xml:space="preserve">‘</w:t>
            </w:r>
            <w:r>
              <w:t xml:space="preserve">stats</w:t>
            </w:r>
            <w:r>
              <w:t xml:space="preserve">’</w:t>
            </w:r>
            <w:r>
              <w:t xml:space="preserve">, scales and fonts for ggplots2</w:t>
            </w:r>
          </w:p>
        </w:tc>
      </w:tr>
      <w:tr>
        <w:tc>
          <w:tcPr/>
          <w:p>
            <w:pPr>
              <w:pStyle w:val="Compact"/>
              <w:jc w:val="left"/>
            </w:pPr>
            <w:hyperlink r:id="rId33">
              <w:r>
                <w:rPr>
                  <w:rStyle w:val="Hyperlink"/>
                  <w:b/>
                  <w:bCs/>
                </w:rPr>
                <w:t xml:space="preserve">ggridges</w:t>
              </w:r>
            </w:hyperlink>
          </w:p>
        </w:tc>
        <w:tc>
          <w:tcPr/>
          <w:p>
            <w:pPr>
              <w:pStyle w:val="Compact"/>
              <w:jc w:val="left"/>
            </w:pPr>
            <w:r>
              <w:t xml:space="preserve">For ridgeline plots that create the impression of a mountain range. They can be useful for visualising changes in distributions over time or space.</w:t>
            </w:r>
          </w:p>
        </w:tc>
      </w:tr>
      <w:tr>
        <w:tc>
          <w:tcPr/>
          <w:p>
            <w:pPr>
              <w:pStyle w:val="Compact"/>
              <w:jc w:val="left"/>
            </w:pPr>
            <w:hyperlink r:id="rId34">
              <w:r>
                <w:rPr>
                  <w:rStyle w:val="Hyperlink"/>
                  <w:b/>
                  <w:bCs/>
                </w:rPr>
                <w:t xml:space="preserve">ggpubr</w:t>
              </w:r>
            </w:hyperlink>
          </w:p>
        </w:tc>
        <w:tc>
          <w:tcPr/>
          <w:p>
            <w:pPr>
              <w:pStyle w:val="Compact"/>
              <w:jc w:val="left"/>
            </w:pPr>
            <w:r>
              <w:t xml:space="preserve">For publication-ready plots.</w:t>
            </w:r>
          </w:p>
        </w:tc>
      </w:tr>
      <w:tr>
        <w:tc>
          <w:tcPr/>
          <w:p>
            <w:pPr>
              <w:pStyle w:val="Compact"/>
              <w:jc w:val="left"/>
            </w:pPr>
            <w:hyperlink r:id="rId35">
              <w:r>
                <w:rPr>
                  <w:rStyle w:val="Hyperlink"/>
                  <w:b/>
                  <w:bCs/>
                </w:rPr>
                <w:t xml:space="preserve">ggextra</w:t>
              </w:r>
            </w:hyperlink>
          </w:p>
        </w:tc>
        <w:tc>
          <w:tcPr/>
          <w:p>
            <w:pPr>
              <w:pStyle w:val="Compact"/>
              <w:jc w:val="left"/>
            </w:pPr>
            <w:r>
              <w:t xml:space="preserve">For adding marginal plots to ggplot2</w:t>
            </w:r>
          </w:p>
        </w:tc>
      </w:tr>
      <w:tr>
        <w:tc>
          <w:tcPr/>
          <w:p>
            <w:pPr>
              <w:pStyle w:val="Compact"/>
              <w:jc w:val="left"/>
            </w:pPr>
            <w:hyperlink r:id="rId36">
              <w:r>
                <w:rPr>
                  <w:rStyle w:val="Hyperlink"/>
                  <w:b/>
                  <w:bCs/>
                </w:rPr>
                <w:t xml:space="preserve">cowplot</w:t>
              </w:r>
            </w:hyperlink>
          </w:p>
        </w:tc>
        <w:tc>
          <w:tcPr/>
          <w:p>
            <w:pPr>
              <w:pStyle w:val="Compact"/>
              <w:jc w:val="left"/>
            </w:pPr>
            <w:r>
              <w:t xml:space="preserve">Provides precise figure alignment and plot annotation</w:t>
            </w:r>
          </w:p>
        </w:tc>
      </w:tr>
      <w:tr>
        <w:tc>
          <w:tcPr/>
          <w:p>
            <w:pPr>
              <w:pStyle w:val="Compact"/>
              <w:jc w:val="left"/>
            </w:pPr>
            <w:hyperlink r:id="rId37">
              <w:r>
                <w:rPr>
                  <w:rStyle w:val="Hyperlink"/>
                  <w:b/>
                  <w:bCs/>
                </w:rPr>
                <w:t xml:space="preserve">ggnewscale</w:t>
              </w:r>
            </w:hyperlink>
          </w:p>
        </w:tc>
        <w:tc>
          <w:tcPr/>
          <w:p>
            <w:pPr>
              <w:pStyle w:val="Compact"/>
              <w:jc w:val="left"/>
            </w:pPr>
            <w:r>
              <w:t xml:space="preserve">Enables multiple fill/colour scales in a single plot. For defining scales in ggplot2.</w:t>
            </w:r>
          </w:p>
        </w:tc>
      </w:tr>
      <w:tr>
        <w:tc>
          <w:tcPr/>
          <w:p>
            <w:pPr>
              <w:pStyle w:val="Compact"/>
              <w:jc w:val="left"/>
            </w:pPr>
            <w:r>
              <w:t xml:space="preserve">ggrepel</w:t>
            </w:r>
          </w:p>
        </w:tc>
        <w:tc>
          <w:tcPr/>
          <w:p>
            <w:pPr>
              <w:pStyle w:val="Compact"/>
            </w:pPr>
          </w:p>
        </w:tc>
      </w:tr>
    </w:tbl>
    <w:p>
      <w:pPr>
        <w:pStyle w:val="BodyText"/>
      </w:pPr>
      <w:r>
        <w:t xml:space="preserve">We load the following R packages using the</w:t>
      </w:r>
      <w:r>
        <w:t xml:space="preserve"> </w:t>
      </w:r>
      <w:r>
        <w:rPr>
          <w:rStyle w:val="VerbatimChar"/>
        </w:rPr>
        <w:t xml:space="preserve">pacman::p_load()</w:t>
      </w:r>
      <w:r>
        <w:t xml:space="preserve"> </w:t>
      </w:r>
      <w:r>
        <w:t xml:space="preserv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Core data manipulation and ggplot2 plotting</w:t>
      </w:r>
      <w:r>
        <w:br/>
      </w:r>
      <w:r>
        <w:rPr>
          <w:rStyle w:val="NormalTok"/>
        </w:rPr>
        <w:t xml:space="preserve">  knitr,         </w:t>
      </w:r>
      <w:r>
        <w:rPr>
          <w:rStyle w:val="CommentTok"/>
        </w:rPr>
        <w:t xml:space="preserve"># Dynamic report generation and rendering</w:t>
      </w:r>
      <w:r>
        <w:br/>
      </w:r>
      <w:r>
        <w:rPr>
          <w:rStyle w:val="NormalTok"/>
        </w:rPr>
        <w:t xml:space="preserve">  patchwork,     </w:t>
      </w:r>
      <w:r>
        <w:rPr>
          <w:rStyle w:val="CommentTok"/>
        </w:rPr>
        <w:t xml:space="preserve"># Combines multiple ggplot2 plots</w:t>
      </w:r>
      <w:r>
        <w:br/>
      </w:r>
      <w:r>
        <w:rPr>
          <w:rStyle w:val="NormalTok"/>
        </w:rPr>
        <w:t xml:space="preserve">  ggthemes,      </w:t>
      </w:r>
      <w:r>
        <w:rPr>
          <w:rStyle w:val="CommentTok"/>
        </w:rPr>
        <w:t xml:space="preserve"># Additional themes and visual styles</w:t>
      </w:r>
      <w:r>
        <w:br/>
      </w:r>
      <w:r>
        <w:rPr>
          <w:rStyle w:val="NormalTok"/>
        </w:rPr>
        <w:t xml:space="preserve">  scales,        </w:t>
      </w:r>
      <w:r>
        <w:rPr>
          <w:rStyle w:val="CommentTok"/>
        </w:rPr>
        <w:t xml:space="preserve"># Formatting axes, scales, and labels</w:t>
      </w:r>
      <w:r>
        <w:br/>
      </w:r>
      <w:r>
        <w:rPr>
          <w:rStyle w:val="NormalTok"/>
        </w:rPr>
        <w:t xml:space="preserve">  ggtext,        </w:t>
      </w:r>
      <w:r>
        <w:rPr>
          <w:rStyle w:val="CommentTok"/>
        </w:rPr>
        <w:t xml:space="preserve"># Rich text formatting in ggplot titles/labels</w:t>
      </w:r>
      <w:r>
        <w:br/>
      </w:r>
      <w:r>
        <w:rPr>
          <w:rStyle w:val="NormalTok"/>
        </w:rPr>
        <w:t xml:space="preserve">  ggalt,         </w:t>
      </w:r>
      <w:r>
        <w:rPr>
          <w:rStyle w:val="CommentTok"/>
        </w:rPr>
        <w:t xml:space="preserve"># Dumbbell, lollipop, and other advanced geoms</w:t>
      </w:r>
      <w:r>
        <w:br/>
      </w:r>
      <w:r>
        <w:rPr>
          <w:rStyle w:val="NormalTok"/>
        </w:rPr>
        <w:t xml:space="preserve">  ggridges,      </w:t>
      </w:r>
      <w:r>
        <w:rPr>
          <w:rStyle w:val="CommentTok"/>
        </w:rPr>
        <w:t xml:space="preserve"># Ridgeline plots to visualize distributions</w:t>
      </w:r>
      <w:r>
        <w:br/>
      </w:r>
      <w:r>
        <w:rPr>
          <w:rStyle w:val="NormalTok"/>
        </w:rPr>
        <w:t xml:space="preserve">  ggpubr,        </w:t>
      </w:r>
      <w:r>
        <w:rPr>
          <w:rStyle w:val="CommentTok"/>
        </w:rPr>
        <w:t xml:space="preserve"># Publication-ready ggplot2 enhancements</w:t>
      </w:r>
      <w:r>
        <w:br/>
      </w:r>
      <w:r>
        <w:rPr>
          <w:rStyle w:val="NormalTok"/>
        </w:rPr>
        <w:t xml:space="preserve">  ggExtra,       </w:t>
      </w:r>
      <w:r>
        <w:rPr>
          <w:rStyle w:val="CommentTok"/>
        </w:rPr>
        <w:t xml:space="preserve"># Marginal plots for added insight</w:t>
      </w:r>
      <w:r>
        <w:br/>
      </w:r>
      <w:r>
        <w:rPr>
          <w:rStyle w:val="NormalTok"/>
        </w:rPr>
        <w:t xml:space="preserve">  cowplot,       </w:t>
      </w:r>
      <w:r>
        <w:rPr>
          <w:rStyle w:val="CommentTok"/>
        </w:rPr>
        <w:t xml:space="preserve"># Publication-quality figure alignment</w:t>
      </w:r>
      <w:r>
        <w:br/>
      </w:r>
      <w:r>
        <w:rPr>
          <w:rStyle w:val="NormalTok"/>
        </w:rPr>
        <w:t xml:space="preserve">  ggnewscale,    </w:t>
      </w:r>
      <w:r>
        <w:rPr>
          <w:rStyle w:val="CommentTok"/>
        </w:rPr>
        <w:t xml:space="preserve"># Allows multiple color/fill scales in one ggplot</w:t>
      </w:r>
      <w:r>
        <w:br/>
      </w:r>
      <w:r>
        <w:rPr>
          <w:rStyle w:val="NormalTok"/>
        </w:rPr>
        <w:t xml:space="preserve">  ggrepel        </w:t>
      </w:r>
      <w:r>
        <w:rPr>
          <w:rStyle w:val="CommentTok"/>
        </w:rPr>
        <w:t xml:space="preserve"># Allows</w:t>
      </w:r>
      <w:r>
        <w:br/>
      </w:r>
      <w:r>
        <w:rPr>
          <w:rStyle w:val="NormalTok"/>
        </w:rPr>
        <w:t xml:space="preserve">)</w:t>
      </w:r>
    </w:p>
    <w:bookmarkEnd w:id="38"/>
    <w:bookmarkStart w:id="40" w:name="X856e77fc905c2568c6bacffe59126a37531db08"/>
    <w:p>
      <w:pPr>
        <w:pStyle w:val="Heading3"/>
      </w:pPr>
      <w:r>
        <w:rPr>
          <w:b/>
          <w:bCs/>
        </w:rPr>
        <w:t xml:space="preserve">2.2</w:t>
      </w:r>
      <w:r>
        <w:t xml:space="preserve"> </w:t>
      </w:r>
      <w:r>
        <w:t xml:space="preserve">Loading the Data and Taking a Glimpse of the Dataset</w:t>
      </w:r>
      <w:r>
        <w:t xml:space="preserve"> </w:t>
      </w:r>
      <w:r>
        <w:rPr>
          <w:b/>
          <w:bCs/>
        </w:rPr>
        <w:t xml:space="preserve">📂</w:t>
      </w:r>
    </w:p>
    <w:p>
      <w:pPr>
        <w:pStyle w:val="FirstParagraph"/>
      </w:pPr>
      <w:r>
        <w:t xml:space="preserve">The dataset,</w:t>
      </w:r>
      <w:r>
        <w:t xml:space="preserve"> </w:t>
      </w:r>
      <w:r>
        <w:rPr>
          <w:i/>
          <w:iCs/>
        </w:rPr>
        <w:t xml:space="preserve">Singapore Residents by Planning Area / Subzone, Single Year of Age and Sex, June 2024</w:t>
      </w:r>
      <w:r>
        <w:t xml:space="preserve">, published by the</w:t>
      </w:r>
      <w:r>
        <w:t xml:space="preserve"> </w:t>
      </w:r>
      <w:hyperlink r:id="rId39">
        <w:r>
          <w:rPr>
            <w:rStyle w:val="Hyperlink"/>
          </w:rPr>
          <w:t xml:space="preserve">Department of Statistics, Singapore (DOS)</w:t>
        </w:r>
      </w:hyperlink>
      <w:r>
        <w:t xml:space="preserve"> </w:t>
      </w:r>
      <w:r>
        <w:t xml:space="preserve">was loaded using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in the tidyverse collection.</w:t>
      </w:r>
    </w:p>
    <w:p>
      <w:pPr>
        <w:pStyle w:val="SourceCode"/>
      </w:pPr>
      <w:r>
        <w:rPr>
          <w:rStyle w:val="CommentTok"/>
        </w:rPr>
        <w:t xml:space="preserve"># Load the dataset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FirstParagraph"/>
      </w:pPr>
      <w:r>
        <w:t xml:space="preserve">The dataset contains</w:t>
      </w:r>
      <w:r>
        <w:t xml:space="preserve"> </w:t>
      </w:r>
      <w:r>
        <w:rPr>
          <w:b/>
          <w:bCs/>
        </w:rPr>
        <w:t xml:space="preserve">60,424 rows</w:t>
      </w:r>
      <w:r>
        <w:t xml:space="preserve"> </w:t>
      </w:r>
      <w:r>
        <w:t xml:space="preserve">and</w:t>
      </w:r>
      <w:r>
        <w:t xml:space="preserve"> </w:t>
      </w:r>
      <w:r>
        <w:rPr>
          <w:b/>
          <w:bCs/>
        </w:rPr>
        <w:t xml:space="preserve">6 columns</w:t>
      </w:r>
      <w:r>
        <w:t xml:space="preserve">. Each row represents the count of residents for a specific combination of planning area, subzone, age, sex, and year.</w:t>
      </w:r>
    </w:p>
    <w:p>
      <w:pPr>
        <w:pStyle w:val="SourceCode"/>
      </w:pPr>
      <w:r>
        <w:rPr>
          <w:rStyle w:val="FunctionTok"/>
        </w:rPr>
        <w:t xml:space="preserve">glimpse</w:t>
      </w:r>
      <w:r>
        <w:rPr>
          <w:rStyle w:val="NormalTok"/>
        </w:rPr>
        <w:t xml:space="preserve">(df)</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FirstParagraph"/>
      </w:pPr>
      <w:r>
        <w:t xml:space="preserve">🧾</w:t>
      </w:r>
      <w:r>
        <w:t xml:space="preserve"> </w:t>
      </w:r>
      <w:r>
        <w:rPr>
          <w:b/>
          <w:bCs/>
        </w:rPr>
        <w:t xml:space="preserve">Variable Descriptions</w:t>
      </w:r>
    </w:p>
    <w:tbl>
      <w:tblPr>
        <w:tblStyle w:val="Table"/>
        <w:tblW w:type="pct" w:w="5000"/>
        <w:tblLayout w:type="fixed"/>
        <w:tblLook w:firstRow="1" w:lastRow="0" w:firstColumn="0" w:lastColumn="0" w:noHBand="0" w:noVBand="0" w:val="0020"/>
      </w:tblPr>
      <w:tblGrid>
        <w:gridCol w:w="2061"/>
        <w:gridCol w:w="2603"/>
        <w:gridCol w:w="3254"/>
      </w:tblGrid>
      <w:tr>
        <w:trPr>
          <w:tblHeader w:val="on"/>
        </w:trPr>
        <w:tc>
          <w:tcPr/>
          <w:p>
            <w:pPr>
              <w:pStyle w:val="Compact"/>
              <w:jc w:val="left"/>
            </w:pPr>
            <w:r>
              <w:t xml:space="preserve">Column</w:t>
            </w:r>
          </w:p>
        </w:tc>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PA</w:t>
            </w:r>
          </w:p>
        </w:tc>
        <w:tc>
          <w:tcPr/>
          <w:p>
            <w:pPr>
              <w:pStyle w:val="Compact"/>
              <w:jc w:val="left"/>
            </w:pPr>
            <w:r>
              <w:t xml:space="preserve">Categorical</w:t>
            </w:r>
          </w:p>
        </w:tc>
        <w:tc>
          <w:tcPr/>
          <w:p>
            <w:pPr>
              <w:pStyle w:val="Compact"/>
              <w:jc w:val="left"/>
            </w:pPr>
            <w:r>
              <w:t xml:space="preserve">Planning Area (e.g., Ang Mo Kio, Bedok)</w:t>
            </w:r>
          </w:p>
        </w:tc>
      </w:tr>
      <w:tr>
        <w:tc>
          <w:tcPr/>
          <w:p>
            <w:pPr>
              <w:pStyle w:val="Compact"/>
              <w:jc w:val="left"/>
            </w:pPr>
            <w:r>
              <w:rPr>
                <w:rStyle w:val="VerbatimChar"/>
              </w:rPr>
              <w:t xml:space="preserve">SZ</w:t>
            </w:r>
          </w:p>
        </w:tc>
        <w:tc>
          <w:tcPr/>
          <w:p>
            <w:pPr>
              <w:pStyle w:val="Compact"/>
              <w:jc w:val="left"/>
            </w:pPr>
            <w:r>
              <w:t xml:space="preserve">Categorical</w:t>
            </w:r>
          </w:p>
        </w:tc>
        <w:tc>
          <w:tcPr/>
          <w:p>
            <w:pPr>
              <w:pStyle w:val="Compact"/>
              <w:jc w:val="left"/>
            </w:pPr>
            <w:r>
              <w:t xml:space="preserve">Subzone within each Planning Area</w:t>
            </w:r>
          </w:p>
        </w:tc>
      </w:tr>
      <w:tr>
        <w:tc>
          <w:tcPr/>
          <w:p>
            <w:pPr>
              <w:pStyle w:val="Compact"/>
              <w:jc w:val="left"/>
            </w:pPr>
            <w:r>
              <w:rPr>
                <w:rStyle w:val="VerbatimChar"/>
              </w:rPr>
              <w:t xml:space="preserve">Age</w:t>
            </w:r>
          </w:p>
        </w:tc>
        <w:tc>
          <w:tcPr/>
          <w:p>
            <w:pPr>
              <w:pStyle w:val="Compact"/>
              <w:jc w:val="left"/>
            </w:pPr>
            <w:r>
              <w:t xml:space="preserve">Categorical (to be converted)</w:t>
            </w:r>
          </w:p>
        </w:tc>
        <w:tc>
          <w:tcPr/>
          <w:p>
            <w:pPr>
              <w:pStyle w:val="Compact"/>
              <w:jc w:val="left"/>
            </w:pPr>
            <w:r>
              <w:t xml:space="preserve">Age in single years (e.g., 0–100+)</w:t>
            </w:r>
          </w:p>
        </w:tc>
      </w:tr>
      <w:tr>
        <w:tc>
          <w:tcPr/>
          <w:p>
            <w:pPr>
              <w:pStyle w:val="Compact"/>
              <w:jc w:val="left"/>
            </w:pPr>
            <w:r>
              <w:rPr>
                <w:rStyle w:val="VerbatimChar"/>
              </w:rPr>
              <w:t xml:space="preserve">Sex</w:t>
            </w:r>
          </w:p>
        </w:tc>
        <w:tc>
          <w:tcPr/>
          <w:p>
            <w:pPr>
              <w:pStyle w:val="Compact"/>
              <w:jc w:val="left"/>
            </w:pPr>
            <w:r>
              <w:t xml:space="preserve">Categorical</w:t>
            </w:r>
          </w:p>
        </w:tc>
        <w:tc>
          <w:tcPr/>
          <w:p>
            <w:pPr>
              <w:pStyle w:val="Compact"/>
              <w:jc w:val="left"/>
            </w:pPr>
            <w:r>
              <w:t xml:space="preserve">Gender: Male / Female</w:t>
            </w:r>
          </w:p>
        </w:tc>
      </w:tr>
      <w:tr>
        <w:tc>
          <w:tcPr/>
          <w:p>
            <w:pPr>
              <w:pStyle w:val="Compact"/>
              <w:jc w:val="left"/>
            </w:pPr>
            <w:r>
              <w:rPr>
                <w:rStyle w:val="VerbatimChar"/>
              </w:rPr>
              <w:t xml:space="preserve">Pop</w:t>
            </w:r>
          </w:p>
        </w:tc>
        <w:tc>
          <w:tcPr/>
          <w:p>
            <w:pPr>
              <w:pStyle w:val="Compact"/>
              <w:jc w:val="left"/>
            </w:pPr>
            <w:r>
              <w:t xml:space="preserve">Continuous (Integer)</w:t>
            </w:r>
          </w:p>
        </w:tc>
        <w:tc>
          <w:tcPr/>
          <w:p>
            <w:pPr>
              <w:pStyle w:val="Compact"/>
              <w:jc w:val="left"/>
            </w:pPr>
            <w:r>
              <w:t xml:space="preserve">Number of residents (rounded to nearest 10)</w:t>
            </w:r>
          </w:p>
        </w:tc>
      </w:tr>
      <w:tr>
        <w:tc>
          <w:tcPr/>
          <w:p>
            <w:pPr>
              <w:pStyle w:val="Compact"/>
              <w:jc w:val="left"/>
            </w:pPr>
            <w:r>
              <w:rPr>
                <w:rStyle w:val="VerbatimChar"/>
              </w:rPr>
              <w:t xml:space="preserve">Time</w:t>
            </w:r>
          </w:p>
        </w:tc>
        <w:tc>
          <w:tcPr/>
          <w:p>
            <w:pPr>
              <w:pStyle w:val="Compact"/>
              <w:jc w:val="left"/>
            </w:pPr>
            <w:r>
              <w:t xml:space="preserve">Identifier / Constant</w:t>
            </w:r>
          </w:p>
        </w:tc>
        <w:tc>
          <w:tcPr/>
          <w:p>
            <w:pPr>
              <w:pStyle w:val="Compact"/>
              <w:jc w:val="left"/>
            </w:pPr>
            <w:r>
              <w:t xml:space="preserve">Time period (always 2024 in this dataset)</w:t>
            </w:r>
          </w:p>
        </w:tc>
      </w:tr>
    </w:tbl>
    <w:bookmarkEnd w:id="40"/>
    <w:bookmarkStart w:id="48" w:name="wrangling-cleaning-transformation"/>
    <w:p>
      <w:pPr>
        <w:pStyle w:val="Heading3"/>
      </w:pPr>
      <w:r>
        <w:rPr>
          <w:b/>
          <w:bCs/>
        </w:rPr>
        <w:t xml:space="preserve">2.3</w:t>
      </w:r>
      <w:r>
        <w:t xml:space="preserve"> </w:t>
      </w:r>
      <w:r>
        <w:rPr>
          <w:b/>
          <w:bCs/>
        </w:rPr>
        <w:t xml:space="preserve">Wrangling, Cleaning &amp; Transformation 🧹</w:t>
      </w:r>
    </w:p>
    <w:p>
      <w:pPr>
        <w:pStyle w:val="FirstParagraph"/>
      </w:pPr>
      <w:r>
        <w:t xml:space="preserve">To ensure the data is ready for exploratory visualization and demographic analysis, a series of wrangling and transformation steps are applied. These steps are logically grouped and reusable across multiple visualization tasks.</w:t>
      </w:r>
    </w:p>
    <w:bookmarkStart w:id="41" w:name="convert-age-to-integer"/>
    <w:p>
      <w:pPr>
        <w:pStyle w:val="Heading4"/>
      </w:pPr>
      <w:r>
        <w:t xml:space="preserve">✅ Convert</w:t>
      </w:r>
      <w:r>
        <w:t xml:space="preserve"> </w:t>
      </w:r>
      <w:r>
        <w:rPr>
          <w:rStyle w:val="VerbatimChar"/>
          <w:b/>
          <w:bCs/>
        </w:rPr>
        <w:t xml:space="preserve">Age</w:t>
      </w:r>
      <w:r>
        <w:t xml:space="preserve"> </w:t>
      </w:r>
      <w:r>
        <w:t xml:space="preserve">to Integer</w:t>
      </w:r>
    </w:p>
    <w:p>
      <w:pPr>
        <w:pStyle w:val="FirstParagraph"/>
      </w:pPr>
      <w:r>
        <w:t xml:space="preserve">The</w:t>
      </w:r>
      <w:r>
        <w:t xml:space="preserve"> </w:t>
      </w:r>
      <w:r>
        <w:rPr>
          <w:rStyle w:val="VerbatimChar"/>
        </w:rPr>
        <w:t xml:space="preserve">Age</w:t>
      </w:r>
      <w:r>
        <w:t xml:space="preserve"> </w:t>
      </w:r>
      <w:r>
        <w:t xml:space="preserve">column is stored as a character string (e.g.,</w:t>
      </w:r>
      <w:r>
        <w:t xml:space="preserve"> </w:t>
      </w:r>
      <w:r>
        <w:rPr>
          <w:rStyle w:val="VerbatimChar"/>
        </w:rPr>
        <w:t xml:space="preserve">"100+"</w:t>
      </w:r>
      <w:r>
        <w:t xml:space="preserve">), which can prevent proper sorting, numeric comparisons, and calculations. I converted it to an integer, coercing</w:t>
      </w:r>
      <w:r>
        <w:t xml:space="preserve"> </w:t>
      </w:r>
      <w:r>
        <w:rPr>
          <w:rStyle w:val="VerbatimChar"/>
        </w:rPr>
        <w:t xml:space="preserve">"100+"</w:t>
      </w:r>
      <w:r>
        <w:t xml:space="preserve"> </w:t>
      </w:r>
      <w:r>
        <w:t xml:space="preserve">to</w:t>
      </w:r>
      <w:r>
        <w:t xml:space="preserve"> </w:t>
      </w:r>
      <w:r>
        <w:rPr>
          <w:rStyle w:val="VerbatimChar"/>
        </w:rPr>
        <w:t xml:space="preserve">100</w:t>
      </w:r>
      <w:r>
        <w:t xml:space="preserve">, and remove any missing or malformed entries.</w:t>
      </w:r>
    </w:p>
    <w:p>
      <w:pPr>
        <w:pStyle w:val="BodyText"/>
      </w:pPr>
      <w:r>
        <w:t xml:space="preserve">This step ensures that age values are usable in:</w:t>
      </w:r>
    </w:p>
    <w:p>
      <w:pPr>
        <w:pStyle w:val="Compact"/>
        <w:numPr>
          <w:ilvl w:val="0"/>
          <w:numId w:val="1002"/>
        </w:numPr>
      </w:pPr>
      <w:r>
        <w:t xml:space="preserve">Population pyramids</w:t>
      </w:r>
    </w:p>
    <w:p>
      <w:pPr>
        <w:pStyle w:val="Compact"/>
        <w:numPr>
          <w:ilvl w:val="0"/>
          <w:numId w:val="1002"/>
        </w:numPr>
      </w:pPr>
      <w:r>
        <w:t xml:space="preserve">Median age calculations</w:t>
      </w:r>
    </w:p>
    <w:p>
      <w:pPr>
        <w:pStyle w:val="Compact"/>
        <w:numPr>
          <w:ilvl w:val="0"/>
          <w:numId w:val="1002"/>
        </w:numPr>
      </w:pPr>
      <w:r>
        <w:t xml:space="preserve">Age band groupings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(Age)) </w:t>
      </w:r>
      <w:r>
        <w:rPr>
          <w:rStyle w:val="SpecialCharTok"/>
        </w:rPr>
        <w:t xml:space="preserve">%&gt;%</w:t>
      </w:r>
      <w:r>
        <w:rPr>
          <w:rStyle w:val="NormalTok"/>
        </w:rPr>
        <w:t xml:space="preserve">  </w:t>
      </w:r>
      <w:r>
        <w:rPr>
          <w:rStyle w:val="CommentTok"/>
        </w:rPr>
        <w:t xml:space="preserve"># Convert to numeric (100+ becomes NA)</w:t>
      </w:r>
      <w:r>
        <w:br/>
      </w:r>
      <w:r>
        <w:rPr>
          <w:rStyle w:val="NormalTok"/>
        </w:rPr>
        <w:t xml:space="preserve">  </w:t>
      </w:r>
      <w:r>
        <w:rPr>
          <w:rStyle w:val="FunctionTok"/>
        </w:rPr>
        <w:t xml:space="preserve">drop_na</w:t>
      </w:r>
      <w:r>
        <w:rPr>
          <w:rStyle w:val="NormalTok"/>
        </w:rPr>
        <w:t xml:space="preserve">(Age)                       </w:t>
      </w:r>
      <w:r>
        <w:rPr>
          <w:rStyle w:val="CommentTok"/>
        </w:rPr>
        <w:t xml:space="preserve"># Remove missing values caused by conversion</w:t>
      </w:r>
    </w:p>
    <w:bookmarkEnd w:id="41"/>
    <w:bookmarkStart w:id="42" w:name="create-ageband-for-grouped-analysis"/>
    <w:p>
      <w:pPr>
        <w:pStyle w:val="Heading4"/>
      </w:pPr>
      <w:r>
        <w:t xml:space="preserve">✅ Create</w:t>
      </w:r>
      <w:r>
        <w:t xml:space="preserve"> </w:t>
      </w:r>
      <w:r>
        <w:rPr>
          <w:rStyle w:val="VerbatimChar"/>
        </w:rPr>
        <w:t xml:space="preserve">AgeBand</w:t>
      </w:r>
      <w:r>
        <w:t xml:space="preserve"> </w:t>
      </w:r>
      <w:r>
        <w:t xml:space="preserve">for Grouped Analysis</w:t>
      </w:r>
    </w:p>
    <w:p>
      <w:pPr>
        <w:pStyle w:val="FirstParagraph"/>
      </w:pPr>
      <w:r>
        <w:t xml:space="preserve">Working with 101 separate age values (0–100) may clutter visualizations and dilute insight. Therefore, I bin the ages into meaningful age bands for easier demographic comparison and comparative visualization. These age bands are especially helpful for:</w:t>
      </w:r>
    </w:p>
    <w:p>
      <w:pPr>
        <w:pStyle w:val="Compact"/>
        <w:numPr>
          <w:ilvl w:val="0"/>
          <w:numId w:val="1003"/>
        </w:numPr>
      </w:pPr>
      <w:r>
        <w:t xml:space="preserve">Grouped bar charts</w:t>
      </w:r>
    </w:p>
    <w:p>
      <w:pPr>
        <w:pStyle w:val="Compact"/>
        <w:numPr>
          <w:ilvl w:val="0"/>
          <w:numId w:val="1003"/>
        </w:numPr>
      </w:pPr>
      <w:r>
        <w:t xml:space="preserve">Age structure comparisons across planning areas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AgeBand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rPr>
          <w:rStyle w:val="StringTok"/>
        </w:rPr>
        <w:t xml:space="preserve">"25-29"</w:t>
      </w:r>
      <w:r>
        <w:rPr>
          <w:rStyle w:val="NormalTok"/>
        </w:rPr>
        <w:t xml:space="preserve">,</w:t>
      </w:r>
      <w:r>
        <w:br/>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rPr>
          <w:rStyle w:val="StringTok"/>
        </w:rPr>
        <w:t xml:space="preserve">"50-54"</w:t>
      </w:r>
      <w:r>
        <w:rPr>
          <w:rStyle w:val="NormalTok"/>
        </w:rPr>
        <w:t xml:space="preserve">,</w:t>
      </w:r>
      <w:r>
        <w:br/>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rPr>
          <w:rStyle w:val="StringTok"/>
        </w:rPr>
        <w:t xml:space="preserve">"75-79"</w:t>
      </w:r>
      <w:r>
        <w:rPr>
          <w:rStyle w:val="NormalTok"/>
        </w:rPr>
        <w:t xml:space="preserve">,</w:t>
      </w:r>
      <w:r>
        <w:br/>
      </w:r>
      <w:r>
        <w:rPr>
          <w:rStyle w:val="NormalTok"/>
        </w:rPr>
        <w:t xml:space="preserve">               </w:t>
      </w:r>
      <w:r>
        <w:rPr>
          <w:rStyle w:val="StringTok"/>
        </w:rPr>
        <w:t xml:space="preserve">"80-84"</w:t>
      </w:r>
      <w:r>
        <w:rPr>
          <w:rStyle w:val="NormalTok"/>
        </w:rPr>
        <w:t xml:space="preserve">, </w:t>
      </w:r>
      <w:r>
        <w:rPr>
          <w:rStyle w:val="StringTok"/>
        </w:rPr>
        <w:t xml:space="preserve">"85-89"</w:t>
      </w:r>
      <w:r>
        <w:rPr>
          <w:rStyle w:val="NormalTok"/>
        </w:rPr>
        <w:t xml:space="preserve">, </w:t>
      </w:r>
      <w:r>
        <w:rPr>
          <w:rStyle w:val="StringTok"/>
        </w:rPr>
        <w:t xml:space="preserve">"90-94"</w:t>
      </w:r>
      <w:r>
        <w:rPr>
          <w:rStyle w:val="NormalTok"/>
        </w:rPr>
        <w:t xml:space="preserve">, </w:t>
      </w:r>
      <w:r>
        <w:rPr>
          <w:rStyle w:val="StringTok"/>
        </w:rPr>
        <w:t xml:space="preserve">"95-99"</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p>
    <w:bookmarkEnd w:id="42"/>
    <w:bookmarkStart w:id="43" w:name="X162cdaddf7971afe6e3d880d800b204f402cdab"/>
    <w:p>
      <w:pPr>
        <w:pStyle w:val="Heading4"/>
      </w:pPr>
      <w:r>
        <w:t xml:space="preserve">✅ Aggregate for Exploratory Plots &amp; Key Insights</w:t>
      </w:r>
    </w:p>
    <w:p>
      <w:pPr>
        <w:pStyle w:val="FirstParagraph"/>
      </w:pPr>
      <w:r>
        <w:t xml:space="preserve">The data was group by Planning Area, Sex, and Age Band to prepare for visual comparisons across demographic segments. Using the code below, we can compute the</w:t>
      </w:r>
      <w:r>
        <w:t xml:space="preserve"> </w:t>
      </w:r>
      <w:r>
        <w:rPr>
          <w:b/>
          <w:bCs/>
        </w:rPr>
        <w:t xml:space="preserve">aggregated population totals</w:t>
      </w:r>
      <w:r>
        <w:t xml:space="preserve"> </w:t>
      </w:r>
      <w:r>
        <w:t xml:space="preserve">across:</w:t>
      </w:r>
    </w:p>
    <w:p>
      <w:pPr>
        <w:pStyle w:val="Compact"/>
        <w:numPr>
          <w:ilvl w:val="0"/>
          <w:numId w:val="1004"/>
        </w:numPr>
      </w:pPr>
      <w:r>
        <w:rPr>
          <w:b/>
          <w:bCs/>
        </w:rPr>
        <w:t xml:space="preserve">Age × Sex</w:t>
      </w:r>
      <w:r>
        <w:t xml:space="preserve">: for national pyramids</w:t>
      </w:r>
    </w:p>
    <w:p>
      <w:pPr>
        <w:pStyle w:val="Compact"/>
        <w:numPr>
          <w:ilvl w:val="0"/>
          <w:numId w:val="1004"/>
        </w:numPr>
      </w:pPr>
      <w:r>
        <w:rPr>
          <w:b/>
          <w:bCs/>
        </w:rPr>
        <w:t xml:space="preserve">Planning Area</w:t>
      </w:r>
      <w:r>
        <w:t xml:space="preserve">: for ranking and spatial comparisons</w:t>
      </w:r>
    </w:p>
    <w:p>
      <w:pPr>
        <w:pStyle w:val="SourceCode"/>
      </w:pPr>
      <w:r>
        <w:rPr>
          <w:rStyle w:val="CommentTok"/>
        </w:rPr>
        <w:t xml:space="preserve"># For population pyramid (Age-Sex)</w:t>
      </w:r>
      <w:r>
        <w:br/>
      </w:r>
      <w:r>
        <w:rPr>
          <w:rStyle w:val="NormalTok"/>
        </w:rPr>
        <w:t xml:space="preserve">pyramid_data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For top 5 planning areas</w:t>
      </w:r>
      <w:r>
        <w:br/>
      </w:r>
      <w:r>
        <w:rPr>
          <w:rStyle w:val="NormalTok"/>
        </w:rPr>
        <w:t xml:space="preserve">top5_pa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Pop, </w:t>
      </w:r>
      <w:r>
        <w:rPr>
          <w:rStyle w:val="AttributeTok"/>
        </w:rPr>
        <w:t xml:space="preserve">n =</w:t>
      </w:r>
      <w:r>
        <w:rPr>
          <w:rStyle w:val="NormalTok"/>
        </w:rPr>
        <w:t xml:space="preserve"> </w:t>
      </w:r>
      <w:r>
        <w:rPr>
          <w:rStyle w:val="DecValTok"/>
        </w:rPr>
        <w:t xml:space="preserve">5</w:t>
      </w:r>
      <w:r>
        <w:rPr>
          <w:rStyle w:val="NormalTok"/>
        </w:rPr>
        <w:t xml:space="preserve">)</w:t>
      </w:r>
    </w:p>
    <w:bookmarkEnd w:id="43"/>
    <w:bookmarkStart w:id="44" w:name="Xc012f86bb49b942cb8e49d1eed76d1b7b24f834"/>
    <w:p>
      <w:pPr>
        <w:pStyle w:val="Heading4"/>
      </w:pPr>
      <w:r>
        <w:t xml:space="preserve">✅ Add Region Classification Based on Planning Area</w:t>
      </w:r>
    </w:p>
    <w:p>
      <w:pPr>
        <w:pStyle w:val="FirstParagraph"/>
      </w:pPr>
      <w:r>
        <w:t xml:space="preserve">To enhance geographical analysis, we classify each Planning Area (</w:t>
      </w:r>
      <w:r>
        <w:rPr>
          <w:rStyle w:val="VerbatimChar"/>
        </w:rPr>
        <w:t xml:space="preserve">PA</w:t>
      </w:r>
      <w:r>
        <w:t xml:space="preserve">) into one of Singapore’s five official regions (1) Central, (2) East, (3) North, (4) North-East, and (5) West. This grouping follows Singapore’s</w:t>
      </w:r>
      <w:r>
        <w:t xml:space="preserve"> </w:t>
      </w:r>
      <w:r>
        <w:rPr>
          <w:b/>
          <w:bCs/>
        </w:rPr>
        <w:t xml:space="preserve">Urban Redevelopment Authority (URA) Master Plan</w:t>
      </w:r>
      <w:r>
        <w:t xml:space="preserve"> </w:t>
      </w:r>
      <w:r>
        <w:t xml:space="preserve">and allows for cleaner regional comparisons, faceted plots, and high-level demographic summaries.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str_trim</w:t>
      </w:r>
      <w:r>
        <w:rPr>
          <w:rStyle w:val="NormalTok"/>
        </w:rPr>
        <w:t xml:space="preserve">(</w:t>
      </w:r>
      <w:r>
        <w:rPr>
          <w:rStyle w:val="FunctionTok"/>
        </w:rPr>
        <w:t xml:space="preserve">str_to_upper</w:t>
      </w:r>
      <w:r>
        <w:rPr>
          <w:rStyle w:val="NormalTok"/>
        </w:rPr>
        <w:t xml:space="preserve">(PA)),</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"BUKIT TIMAH"</w:t>
      </w:r>
      <w:r>
        <w:rPr>
          <w:rStyle w:val="NormalTok"/>
        </w:rPr>
        <w:t xml:space="preserve">, </w:t>
      </w:r>
      <w:r>
        <w:rPr>
          <w:rStyle w:val="StringTok"/>
        </w:rPr>
        <w:t xml:space="preserve">"CENTRAL AREA"</w:t>
      </w:r>
      <w:r>
        <w:rPr>
          <w:rStyle w:val="NormalTok"/>
        </w:rPr>
        <w:t xml:space="preserve">, </w:t>
      </w:r>
      <w:r>
        <w:rPr>
          <w:rStyle w:val="StringTok"/>
        </w:rPr>
        <w:t xml:space="preserve">"DOWNTOWN CORE"</w:t>
      </w:r>
      <w:r>
        <w:rPr>
          <w:rStyle w:val="NormalTok"/>
        </w:rPr>
        <w:t xml:space="preserve">,</w:t>
      </w:r>
      <w:r>
        <w:br/>
      </w:r>
      <w:r>
        <w:rPr>
          <w:rStyle w:val="NormalTok"/>
        </w:rPr>
        <w:t xml:space="preserve">                </w:t>
      </w:r>
      <w:r>
        <w:rPr>
          <w:rStyle w:val="StringTok"/>
        </w:rPr>
        <w:t xml:space="preserve">"GEYLANG"</w:t>
      </w:r>
      <w:r>
        <w:rPr>
          <w:rStyle w:val="NormalTok"/>
        </w:rPr>
        <w:t xml:space="preserve">, </w:t>
      </w:r>
      <w:r>
        <w:rPr>
          <w:rStyle w:val="StringTok"/>
        </w:rPr>
        <w:t xml:space="preserve">"KALLANG"</w:t>
      </w:r>
      <w:r>
        <w:rPr>
          <w:rStyle w:val="NormalTok"/>
        </w:rPr>
        <w:t xml:space="preserve">, </w:t>
      </w:r>
      <w:r>
        <w:rPr>
          <w:rStyle w:val="StringTok"/>
        </w:rPr>
        <w:t xml:space="preserve">"MARINA EAST"</w:t>
      </w:r>
      <w:r>
        <w:rPr>
          <w:rStyle w:val="NormalTok"/>
        </w:rPr>
        <w:t xml:space="preserve">, </w:t>
      </w:r>
      <w:r>
        <w:rPr>
          <w:rStyle w:val="StringTok"/>
        </w:rPr>
        <w:t xml:space="preserve">"MARINA SOUTH"</w:t>
      </w:r>
      <w:r>
        <w:rPr>
          <w:rStyle w:val="NormalTok"/>
        </w:rPr>
        <w:t xml:space="preserve">, </w:t>
      </w:r>
      <w:r>
        <w:rPr>
          <w:rStyle w:val="StringTok"/>
        </w:rPr>
        <w:t xml:space="preserve">"MUSEUM"</w:t>
      </w:r>
      <w:r>
        <w:rPr>
          <w:rStyle w:val="NormalTok"/>
        </w:rPr>
        <w:t xml:space="preserve">, </w:t>
      </w:r>
      <w:r>
        <w:rPr>
          <w:rStyle w:val="StringTok"/>
        </w:rPr>
        <w:t xml:space="preserve">"NEWTON"</w:t>
      </w:r>
      <w:r>
        <w:rPr>
          <w:rStyle w:val="NormalTok"/>
        </w:rPr>
        <w:t xml:space="preserve">,</w:t>
      </w:r>
      <w:r>
        <w:br/>
      </w:r>
      <w:r>
        <w:rPr>
          <w:rStyle w:val="NormalTok"/>
        </w:rPr>
        <w:t xml:space="preserve">                </w:t>
      </w:r>
      <w:r>
        <w:rPr>
          <w:rStyle w:val="StringTok"/>
        </w:rPr>
        <w:t xml:space="preserve">"NOVENA"</w:t>
      </w:r>
      <w:r>
        <w:rPr>
          <w:rStyle w:val="NormalTok"/>
        </w:rPr>
        <w:t xml:space="preserve">, </w:t>
      </w:r>
      <w:r>
        <w:rPr>
          <w:rStyle w:val="StringTok"/>
        </w:rPr>
        <w:t xml:space="preserve">"ORCHARD"</w:t>
      </w:r>
      <w:r>
        <w:rPr>
          <w:rStyle w:val="NormalTok"/>
        </w:rPr>
        <w:t xml:space="preserve">, </w:t>
      </w:r>
      <w:r>
        <w:rPr>
          <w:rStyle w:val="StringTok"/>
        </w:rPr>
        <w:t xml:space="preserve">"OUTRAM"</w:t>
      </w:r>
      <w:r>
        <w:rPr>
          <w:rStyle w:val="NormalTok"/>
        </w:rPr>
        <w:t xml:space="preserve">, </w:t>
      </w:r>
      <w:r>
        <w:rPr>
          <w:rStyle w:val="StringTok"/>
        </w:rPr>
        <w:t xml:space="preserve">"PAYA LEBAR"</w:t>
      </w:r>
      <w:r>
        <w:rPr>
          <w:rStyle w:val="NormalTok"/>
        </w:rPr>
        <w:t xml:space="preserve">, </w:t>
      </w:r>
      <w:r>
        <w:rPr>
          <w:rStyle w:val="StringTok"/>
        </w:rPr>
        <w:t xml:space="preserve">"QUEENSTOWN"</w:t>
      </w:r>
      <w:r>
        <w:rPr>
          <w:rStyle w:val="NormalTok"/>
        </w:rPr>
        <w:t xml:space="preserve">, </w:t>
      </w:r>
      <w:r>
        <w:rPr>
          <w:rStyle w:val="StringTok"/>
        </w:rPr>
        <w:t xml:space="preserve">"RIVER VALLEY"</w:t>
      </w:r>
      <w:r>
        <w:rPr>
          <w:rStyle w:val="NormalTok"/>
        </w:rPr>
        <w:t xml:space="preserve">,</w:t>
      </w:r>
      <w:r>
        <w:br/>
      </w:r>
      <w:r>
        <w:rPr>
          <w:rStyle w:val="NormalTok"/>
        </w:rPr>
        <w:t xml:space="preserve">                </w:t>
      </w:r>
      <w:r>
        <w:rPr>
          <w:rStyle w:val="StringTok"/>
        </w:rPr>
        <w:t xml:space="preserve">"ROCHOR"</w:t>
      </w:r>
      <w:r>
        <w:rPr>
          <w:rStyle w:val="NormalTok"/>
        </w:rPr>
        <w:t xml:space="preserve">, </w:t>
      </w:r>
      <w:r>
        <w:rPr>
          <w:rStyle w:val="StringTok"/>
        </w:rPr>
        <w:t xml:space="preserve">"SINGAPORE RIVER"</w:t>
      </w:r>
      <w:r>
        <w:rPr>
          <w:rStyle w:val="NormalTok"/>
        </w:rPr>
        <w:t xml:space="preserve">, </w:t>
      </w:r>
      <w:r>
        <w:rPr>
          <w:rStyle w:val="StringTok"/>
        </w:rPr>
        <w:t xml:space="preserve">"SOUTHERN ISLANDS"</w:t>
      </w:r>
      <w:r>
        <w:rPr>
          <w:rStyle w:val="NormalTok"/>
        </w:rPr>
        <w:t xml:space="preserve">, </w:t>
      </w:r>
      <w:r>
        <w:rPr>
          <w:rStyle w:val="StringTok"/>
        </w:rPr>
        <w:t xml:space="preserve">"STRAITS VIEW"</w:t>
      </w:r>
      <w:r>
        <w:rPr>
          <w:rStyle w:val="NormalTok"/>
        </w:rPr>
        <w:t xml:space="preserve">, </w:t>
      </w:r>
      <w:r>
        <w:rPr>
          <w:rStyle w:val="StringTok"/>
        </w:rPr>
        <w:t xml:space="preserve">"TANGLIN"</w:t>
      </w:r>
      <w:r>
        <w:rPr>
          <w:rStyle w:val="NormalTok"/>
        </w:rPr>
        <w:t xml:space="preserve">,</w:t>
      </w:r>
      <w:r>
        <w:br/>
      </w:r>
      <w:r>
        <w:rPr>
          <w:rStyle w:val="NormalTok"/>
        </w:rPr>
        <w:t xml:space="preserve">                </w:t>
      </w:r>
      <w:r>
        <w:rPr>
          <w:rStyle w:val="StringTok"/>
        </w:rPr>
        <w:t xml:space="preserve">"TOA PAYOH"</w:t>
      </w:r>
      <w:r>
        <w:rPr>
          <w:rStyle w:val="NormalTok"/>
        </w:rPr>
        <w:t xml:space="preserve">, </w:t>
      </w:r>
      <w:r>
        <w:rPr>
          <w:rStyle w:val="StringTok"/>
        </w:rPr>
        <w:t xml:space="preserve">"MARINE PARADE"</w:t>
      </w:r>
      <w:r>
        <w:rPr>
          <w:rStyle w:val="NormalTok"/>
        </w:rPr>
        <w:t xml:space="preserve">) </w:t>
      </w:r>
      <w:r>
        <w:rPr>
          <w:rStyle w:val="SpecialCharTok"/>
        </w:rPr>
        <w:t xml:space="preserve">~</w:t>
      </w:r>
      <w:r>
        <w:rPr>
          <w:rStyle w:val="NormalTok"/>
        </w:rPr>
        <w:t xml:space="preserve"> </w:t>
      </w:r>
      <w:r>
        <w:rPr>
          <w:rStyle w:val="StringTok"/>
        </w:rPr>
        <w:t xml:space="preserve">"Central"</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rPr>
          <w:rStyle w:val="StringTok"/>
        </w:rPr>
        <w:t xml:space="preserve">"PASIR RIS"</w:t>
      </w:r>
      <w:r>
        <w:rPr>
          <w:rStyle w:val="NormalTok"/>
        </w:rPr>
        <w:t xml:space="preserve">, </w:t>
      </w:r>
      <w:r>
        <w:rPr>
          <w:rStyle w:val="StringTok"/>
        </w:rPr>
        <w:t xml:space="preserve">"TAMPINES"</w:t>
      </w:r>
      <w:r>
        <w:rPr>
          <w:rStyle w:val="NormalTok"/>
        </w:rPr>
        <w:t xml:space="preserve">) </w:t>
      </w:r>
      <w:r>
        <w:rPr>
          <w:rStyle w:val="SpecialCharTok"/>
        </w:rPr>
        <w:t xml:space="preserve">~</w:t>
      </w:r>
      <w:r>
        <w:rPr>
          <w:rStyle w:val="NormalTok"/>
        </w:rPr>
        <w:t xml:space="preserve"> </w:t>
      </w:r>
      <w:r>
        <w:rPr>
          <w:rStyle w:val="StringTok"/>
        </w:rPr>
        <w:t xml:space="preserve">"East"</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"CENTRAL WATER CATCHMENT"</w:t>
      </w:r>
      <w:r>
        <w:rPr>
          <w:rStyle w:val="NormalTok"/>
        </w:rPr>
        <w:t xml:space="preserve">, </w:t>
      </w:r>
      <w:r>
        <w:rPr>
          <w:rStyle w:val="StringTok"/>
        </w:rPr>
        <w:t xml:space="preserve">"MANDAI"</w:t>
      </w:r>
      <w:r>
        <w:rPr>
          <w:rStyle w:val="NormalTok"/>
        </w:rPr>
        <w:t xml:space="preserve">, </w:t>
      </w:r>
      <w:r>
        <w:rPr>
          <w:rStyle w:val="StringTok"/>
        </w:rPr>
        <w:t xml:space="preserve">"SEMBABWANG"</w:t>
      </w:r>
      <w:r>
        <w:rPr>
          <w:rStyle w:val="NormalTok"/>
        </w:rPr>
        <w:t xml:space="preserve">, </w:t>
      </w:r>
      <w:r>
        <w:rPr>
          <w:rStyle w:val="StringTok"/>
        </w:rPr>
        <w:t xml:space="preserve">"SIMPANG"</w:t>
      </w:r>
      <w:r>
        <w:rPr>
          <w:rStyle w:val="NormalTok"/>
        </w:rPr>
        <w:t xml:space="preserve">,</w:t>
      </w:r>
      <w:r>
        <w:br/>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rPr>
          <w:rStyle w:val="NormalTok"/>
        </w:rPr>
        <w:t xml:space="preserve">, </w:t>
      </w:r>
      <w:r>
        <w:rPr>
          <w:rStyle w:val="StringTok"/>
        </w:rPr>
        <w:t xml:space="preserve">"SEMBAWANG"</w:t>
      </w:r>
      <w:r>
        <w:rPr>
          <w:rStyle w:val="NormalTok"/>
        </w:rPr>
        <w:t xml:space="preserve">) </w:t>
      </w:r>
      <w:r>
        <w:rPr>
          <w:rStyle w:val="SpecialCharTok"/>
        </w:rPr>
        <w:t xml:space="preserve">~</w:t>
      </w:r>
      <w:r>
        <w:rPr>
          <w:rStyle w:val="NormalTok"/>
        </w:rPr>
        <w:t xml:space="preserve"> </w:t>
      </w:r>
      <w:r>
        <w:rPr>
          <w:rStyle w:val="StringTok"/>
        </w:rPr>
        <w:t xml:space="preserve">"North"</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"NORTH-EASTERN ISLANDS"</w:t>
      </w:r>
      <w:r>
        <w:rPr>
          <w:rStyle w:val="NormalTok"/>
        </w:rPr>
        <w:t xml:space="preserve">, </w:t>
      </w:r>
      <w:r>
        <w:rPr>
          <w:rStyle w:val="StringTok"/>
        </w:rPr>
        <w:t xml:space="preserve">"PUNGGOL"</w:t>
      </w:r>
      <w:r>
        <w:rPr>
          <w:rStyle w:val="NormalTok"/>
        </w:rPr>
        <w:t xml:space="preserve">,</w:t>
      </w:r>
      <w:r>
        <w:br/>
      </w:r>
      <w:r>
        <w:rPr>
          <w:rStyle w:val="NormalTok"/>
        </w:rPr>
        <w:t xml:space="preserve">                </w:t>
      </w:r>
      <w:r>
        <w:rPr>
          <w:rStyle w:val="StringTok"/>
        </w:rPr>
        <w:t xml:space="preserve">"SELETAR"</w:t>
      </w:r>
      <w:r>
        <w:rPr>
          <w:rStyle w:val="NormalTok"/>
        </w:rPr>
        <w:t xml:space="preserve">, </w:t>
      </w:r>
      <w:r>
        <w:rPr>
          <w:rStyle w:val="StringTok"/>
        </w:rPr>
        <w:t xml:space="preserve">"SENGKANG"</w:t>
      </w:r>
      <w:r>
        <w:rPr>
          <w:rStyle w:val="NormalTok"/>
        </w:rPr>
        <w:t xml:space="preserve">, </w:t>
      </w:r>
      <w:r>
        <w:rPr>
          <w:rStyle w:val="StringTok"/>
        </w:rPr>
        <w:t xml:space="preserve">"SERANGOON"</w:t>
      </w:r>
      <w:r>
        <w:rPr>
          <w:rStyle w:val="NormalTok"/>
        </w:rPr>
        <w:t xml:space="preserve">)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"BOON LAY"</w:t>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"CHOA CHU KANG"</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 </w:t>
      </w:r>
      <w:r>
        <w:rPr>
          <w:rStyle w:val="StringTok"/>
        </w:rPr>
        <w:t xml:space="preserve">"JURONG WEST"</w:t>
      </w:r>
      <w:r>
        <w:rPr>
          <w:rStyle w:val="NormalTok"/>
        </w:rPr>
        <w:t xml:space="preserve">, </w:t>
      </w:r>
      <w:r>
        <w:rPr>
          <w:rStyle w:val="StringTok"/>
        </w:rPr>
        <w:t xml:space="preserve">"LIM CHU KANG"</w:t>
      </w:r>
      <w:r>
        <w:rPr>
          <w:rStyle w:val="NormalTok"/>
        </w:rPr>
        <w:t xml:space="preserve">,</w:t>
      </w:r>
      <w:r>
        <w:br/>
      </w:r>
      <w:r>
        <w:rPr>
          <w:rStyle w:val="NormalTok"/>
        </w:rPr>
        <w:t xml:space="preserve">                </w:t>
      </w:r>
      <w:r>
        <w:rPr>
          <w:rStyle w:val="StringTok"/>
        </w:rPr>
        <w:t xml:space="preserve">"PIONEER"</w:t>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 </w:t>
      </w:r>
      <w:r>
        <w:rPr>
          <w:rStyle w:val="StringTok"/>
        </w:rPr>
        <w:t xml:space="preserve">"WESTERN ISLANDS"</w:t>
      </w:r>
      <w:r>
        <w:rPr>
          <w:rStyle w:val="NormalTok"/>
        </w:rPr>
        <w:t xml:space="preserve">,</w:t>
      </w:r>
      <w:r>
        <w:br/>
      </w:r>
      <w:r>
        <w:rPr>
          <w:rStyle w:val="NormalTok"/>
        </w:rPr>
        <w:t xml:space="preserve">                </w:t>
      </w:r>
      <w:r>
        <w:rPr>
          <w:rStyle w:val="StringTok"/>
        </w:rPr>
        <w:t xml:space="preserve">"WESTERN WATER CATCHMENT"</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bookmarkEnd w:id="44"/>
    <w:bookmarkStart w:id="45" w:name="compute-the-weighted-median-age"/>
    <w:p>
      <w:pPr>
        <w:pStyle w:val="Heading4"/>
      </w:pPr>
      <w:r>
        <w:t xml:space="preserve">✅ Compute the Weighted Median Age</w:t>
      </w:r>
    </w:p>
    <w:p>
      <w:pPr>
        <w:pStyle w:val="FirstParagraph"/>
      </w:pPr>
      <w:r>
        <w:t xml:space="preserve">As the simple median of the</w:t>
      </w:r>
      <w:r>
        <w:t xml:space="preserve"> </w:t>
      </w:r>
      <w:r>
        <w:rPr>
          <w:rStyle w:val="VerbatimChar"/>
        </w:rPr>
        <w:t xml:space="preserve">Age</w:t>
      </w:r>
      <w:r>
        <w:t xml:space="preserve"> </w:t>
      </w:r>
      <w:r>
        <w:t xml:space="preserve">column would be misleading, as it treats each age as equally populated. Instead, we calculate a</w:t>
      </w:r>
      <w:r>
        <w:t xml:space="preserve"> </w:t>
      </w:r>
      <w:r>
        <w:rPr>
          <w:b/>
          <w:bCs/>
        </w:rPr>
        <w:t xml:space="preserve">weighted median</w:t>
      </w:r>
      <w:r>
        <w:t xml:space="preserve"> </w:t>
      </w:r>
      <w:r>
        <w:t xml:space="preserve">that reflects</w:t>
      </w:r>
      <w:r>
        <w:t xml:space="preserve"> </w:t>
      </w:r>
      <w:r>
        <w:rPr>
          <w:b/>
          <w:bCs/>
        </w:rPr>
        <w:t xml:space="preserve">actual population counts</w:t>
      </w:r>
      <w:r>
        <w:t xml:space="preserve"> </w:t>
      </w:r>
      <w:r>
        <w:t xml:space="preserve">per age to give a statistically more accurate median age for the</w:t>
      </w:r>
      <w:r>
        <w:t xml:space="preserve"> </w:t>
      </w:r>
      <w:r>
        <w:rPr>
          <w:b/>
          <w:bCs/>
        </w:rPr>
        <w:t xml:space="preserve">entire Singapore resident population</w:t>
      </w:r>
      <w:r>
        <w:t xml:space="preserve">..</w:t>
      </w:r>
    </w:p>
    <w:p>
      <w:pPr>
        <w:pStyle w:val="SourceCode"/>
      </w:pPr>
      <w:r>
        <w:rPr>
          <w:rStyle w:val="NormalTok"/>
        </w:rPr>
        <w:t xml:space="preserve">df_median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cum_pop =</w:t>
      </w:r>
      <w:r>
        <w:rPr>
          <w:rStyle w:val="NormalTok"/>
        </w:rPr>
        <w:t xml:space="preserve"> </w:t>
      </w:r>
      <w:r>
        <w:rPr>
          <w:rStyle w:val="FunctionTok"/>
        </w:rPr>
        <w:t xml:space="preserve">cumsum</w:t>
      </w:r>
      <w:r>
        <w:rPr>
          <w:rStyle w:val="NormalTok"/>
        </w:rPr>
        <w:t xml:space="preserve">(Pop),</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(cum_pop </w:t>
      </w:r>
      <w:r>
        <w:rPr>
          <w:rStyle w:val="SpecialCharTok"/>
        </w:rPr>
        <w:t xml:space="preserve">&gt;=</w:t>
      </w:r>
      <w:r>
        <w:rPr>
          <w:rStyle w:val="NormalTok"/>
        </w:rPr>
        <w:t xml:space="preserve"> total_pop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median_age </w:t>
      </w:r>
      <w:r>
        <w:rPr>
          <w:rStyle w:val="OtherTok"/>
        </w:rPr>
        <w:t xml:space="preserve">&lt;-</w:t>
      </w:r>
      <w:r>
        <w:rPr>
          <w:rStyle w:val="NormalTok"/>
        </w:rPr>
        <w:t xml:space="preserve"> df_median</w:t>
      </w:r>
      <w:r>
        <w:rPr>
          <w:rStyle w:val="SpecialCharTok"/>
        </w:rPr>
        <w:t xml:space="preserve">$</w:t>
      </w:r>
      <w:r>
        <w:rPr>
          <w:rStyle w:val="NormalTok"/>
        </w:rPr>
        <w:t xml:space="preserve">Age</w:t>
      </w:r>
    </w:p>
    <w:bookmarkEnd w:id="45"/>
    <w:bookmarkStart w:id="46" w:name="generation-band-mapping"/>
    <w:p>
      <w:pPr>
        <w:pStyle w:val="Heading4"/>
      </w:pPr>
      <w:r>
        <w:t xml:space="preserve">✅ Generation Band Mapping</w:t>
      </w:r>
    </w:p>
    <w:p>
      <w:pPr>
        <w:pStyle w:val="FirstParagraph"/>
      </w:pPr>
      <w:r>
        <w:t xml:space="preserve">Create Generation bands based on categories.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GenerationBand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"Alpha &amp; Gen Z (0–24)"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"Young Adults (25–34)"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"Working Adults (35–54)"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"Silver Generation (55–64)"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"Merdeka Generation (65–74)"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"Pioneer Generation (75+)"</w:t>
      </w:r>
      <w:r>
        <w:br/>
      </w:r>
      <w:r>
        <w:rPr>
          <w:rStyle w:val="NormalTok"/>
        </w:rPr>
        <w:t xml:space="preserve">    ),</w:t>
      </w:r>
      <w:r>
        <w:br/>
      </w:r>
      <w:r>
        <w:rPr>
          <w:rStyle w:val="NormalTok"/>
        </w:rPr>
        <w:t xml:space="preserve">    </w:t>
      </w:r>
      <w:r>
        <w:rPr>
          <w:rStyle w:val="AttributeTok"/>
        </w:rPr>
        <w:t xml:space="preserve">GenerationBand =</w:t>
      </w:r>
      <w:r>
        <w:rPr>
          <w:rStyle w:val="NormalTok"/>
        </w:rPr>
        <w:t xml:space="preserve"> </w:t>
      </w:r>
      <w:r>
        <w:rPr>
          <w:rStyle w:val="FunctionTok"/>
        </w:rPr>
        <w:t xml:space="preserve">factor</w:t>
      </w:r>
      <w:r>
        <w:rPr>
          <w:rStyle w:val="NormalTok"/>
        </w:rPr>
        <w:t xml:space="preserve">(GenerationBand,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"Alpha &amp; Gen Z (0–24)"</w:t>
      </w:r>
      <w:r>
        <w:rPr>
          <w:rStyle w:val="NormalTok"/>
        </w:rPr>
        <w:t xml:space="preserve">, </w:t>
      </w:r>
      <w:r>
        <w:rPr>
          <w:rStyle w:val="StringTok"/>
        </w:rPr>
        <w:t xml:space="preserve">"Young Adults (25–34)"</w:t>
      </w:r>
      <w:r>
        <w:rPr>
          <w:rStyle w:val="NormalTok"/>
        </w:rPr>
        <w:t xml:space="preserve">, </w:t>
      </w:r>
      <w:r>
        <w:rPr>
          <w:rStyle w:val="StringTok"/>
        </w:rPr>
        <w:t xml:space="preserve">"Working Adults (35–54)"</w:t>
      </w:r>
      <w:r>
        <w:rPr>
          <w:rStyle w:val="NormalTok"/>
        </w:rPr>
        <w:t xml:space="preserve">,</w:t>
      </w:r>
      <w:r>
        <w:br/>
      </w:r>
      <w:r>
        <w:rPr>
          <w:rStyle w:val="NormalTok"/>
        </w:rPr>
        <w:t xml:space="preserve">      </w:t>
      </w:r>
      <w:r>
        <w:rPr>
          <w:rStyle w:val="StringTok"/>
        </w:rPr>
        <w:t xml:space="preserve">"Silver Generation (55–64)"</w:t>
      </w:r>
      <w:r>
        <w:rPr>
          <w:rStyle w:val="NormalTok"/>
        </w:rPr>
        <w:t xml:space="preserve">, </w:t>
      </w:r>
      <w:r>
        <w:rPr>
          <w:rStyle w:val="StringTok"/>
        </w:rPr>
        <w:t xml:space="preserve">"Merdeka Generation (65–74)"</w:t>
      </w:r>
      <w:r>
        <w:rPr>
          <w:rStyle w:val="NormalTok"/>
        </w:rPr>
        <w:t xml:space="preserve">, </w:t>
      </w:r>
      <w:r>
        <w:rPr>
          <w:rStyle w:val="StringTok"/>
        </w:rPr>
        <w:t xml:space="preserve">"Pioneer Generation (75+)"</w:t>
      </w:r>
      <w:r>
        <w:br/>
      </w:r>
      <w:r>
        <w:rPr>
          <w:rStyle w:val="NormalTok"/>
        </w:rPr>
        <w:t xml:space="preserve">    ))</w:t>
      </w:r>
      <w:r>
        <w:br/>
      </w:r>
      <w:r>
        <w:rPr>
          <w:rStyle w:val="NormalTok"/>
        </w:rPr>
        <w:t xml:space="preserve">  )</w:t>
      </w:r>
    </w:p>
    <w:bookmarkEnd w:id="46"/>
    <w:bookmarkStart w:id="47" w:name="create-aggregated-summary-table"/>
    <w:p>
      <w:pPr>
        <w:pStyle w:val="Heading4"/>
      </w:pPr>
      <w:r>
        <w:t xml:space="preserve">✅ Create Aggregated Summary Table</w:t>
      </w:r>
    </w:p>
    <w:p>
      <w:pPr>
        <w:pStyle w:val="SourceCode"/>
      </w:pPr>
      <w:r>
        <w:rPr>
          <w:rStyle w:val="NormalTok"/>
        </w:rPr>
        <w:t xml:space="preserve">df_summary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(Region, PA, AgeBand,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47"/>
    <w:bookmarkEnd w:id="48"/>
    <w:bookmarkEnd w:id="49"/>
    <w:bookmarkStart w:id="66" w:name="exploratory-data-analysis-eda"/>
    <w:p>
      <w:pPr>
        <w:pStyle w:val="Heading1"/>
      </w:pPr>
      <w:r>
        <w:t xml:space="preserve">3. Exploratory Data Analysis (EDA) 📊</w:t>
      </w:r>
    </w:p>
    <w:bookmarkStart w:id="50" w:name="Xbb0275e947d471bfbfe75f6a2a405dafbf58fef"/>
    <w:p>
      <w:pPr>
        <w:pStyle w:val="Heading3"/>
      </w:pPr>
      <w:r>
        <w:t xml:space="preserve">🔍</w:t>
      </w:r>
      <w:r>
        <w:t xml:space="preserve"> </w:t>
      </w:r>
      <w:r>
        <w:rPr>
          <w:b/>
          <w:bCs/>
        </w:rPr>
        <w:t xml:space="preserve">3.2 How are age groups distributed across the five regions?</w:t>
      </w:r>
    </w:p>
    <w:p>
      <w:pPr>
        <w:pStyle w:val="FirstParagraph"/>
      </w:pPr>
      <w:r>
        <w:rPr>
          <w:b/>
          <w:bCs/>
        </w:rPr>
        <w:t xml:space="preserve">Goal</w:t>
      </w:r>
      <w:r>
        <w:t xml:space="preserve">: To explore the demographic composition across Singapore’s five regions using meaningful generational groupings, this visualisation compares the proportion of residents by age cohort. It addresses how youth, workforce, and senior populations differ geographically.</w:t>
      </w:r>
    </w:p>
    <w:p>
      <w:pPr>
        <w:pStyle w:val="BodyText"/>
      </w:pPr>
      <w:r>
        <w:rPr>
          <w:b/>
          <w:bCs/>
        </w:rPr>
        <w:t xml:space="preserve">Method</w:t>
      </w:r>
      <w:r>
        <w:t xml:space="preserve">: Using the 2024 DOS dataset, residents are grouped by region and classified into six age bands based on Singapore’s social-policy generations:</w:t>
      </w:r>
      <w:r>
        <w:t xml:space="preserve"> </w:t>
      </w:r>
      <w:r>
        <w:rPr>
          <w:i/>
          <w:iCs/>
        </w:rPr>
        <w:t xml:space="preserve">Alpha &amp; Gen Z (0–24yo), Young Adults (25–34yo), Working Adults (35–54yo), Silver Generation (55–64yo), Merdeka Generation (65–74yo), and Pioneer Generation (&gt;75yo)</w:t>
      </w:r>
      <w:r>
        <w:t xml:space="preserve">. Percentages are calculated within each region and plotted using a colour-safe, perceptually consistent palette to enhance visual clarity and accessibility.</w:t>
      </w:r>
    </w:p>
    <w:bookmarkEnd w:id="50"/>
    <w:p>
      <w:pPr>
        <w:pStyle w:val="Heading2"/>
      </w:pPr>
      <w:r>
        <w:t xml:space="preserve">The Combined Plot</w:t>
      </w:r>
    </w:p>
    <w:p>
      <w:pPr>
        <w:pStyle w:val="FirstParagraph"/>
      </w:pPr>
      <w:r>
        <w:drawing>
          <wp:inline>
            <wp:extent cx="5334000" cy="3556000"/>
            <wp:effectExtent b="0" l="0" r="0" t="0"/>
            <wp:docPr descr="" title="" id="52" name="Picture"/>
            <a:graphic>
              <a:graphicData uri="http://schemas.openxmlformats.org/drawingml/2006/picture">
                <pic:pic>
                  <pic:nvPicPr>
                    <pic:cNvPr descr="TakeHome_Ex01B_files/figure-docx/unnamed-chunk-11-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55" name="Picture"/>
            <a:graphic>
              <a:graphicData uri="http://schemas.openxmlformats.org/drawingml/2006/picture">
                <pic:pic>
                  <pic:nvPicPr>
                    <pic:cNvPr descr="TakeHome_Ex01B_files/figure-docx/unnamed-chunk-12-1.png" id="56"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t>
      </w:r>
      <w:r>
        <w:rPr>
          <w:i/>
          <w:iCs/>
        </w:rPr>
        <w:t xml:space="preserve">For the visuals on the Age Distribution Across Regions, the plot’s background has been coloured to show the Generation Bands across age spectrum of the X-axis.</w:t>
      </w:r>
    </w:p>
    <w:p>
      <w:pPr>
        <w:pStyle w:val="BodyText"/>
      </w:pPr>
      <w:r>
        <w:t xml:space="preserve">&gt;&gt;&gt;</w:t>
      </w:r>
      <w:r>
        <w:t xml:space="preserve"> </w:t>
      </w:r>
      <w:r>
        <w:rPr>
          <w:i/>
          <w:iCs/>
        </w:rPr>
        <w:t xml:space="preserve">Toggle to the other tabs to view the clearer version of each plot.</w:t>
      </w:r>
    </w:p>
    <w:p>
      <w:pPr>
        <w:pStyle w:val="BodyText"/>
      </w:pPr>
      <w:r>
        <w:t xml:space="preserve">This visualisation examines the generational distribution of Singapore’s resident population across the five main planning regions, using both absolute population counts and proportional shares. The left panel highlights the total number of residents in each generation, while the right panel normalises these figures to show the internal demographic mix within each region.</w:t>
      </w:r>
    </w:p>
    <w:p>
      <w:pPr>
        <w:pStyle w:val="Heading2"/>
      </w:pPr>
      <w:r>
        <w:t xml:space="preserve">Population Count by Generation</w:t>
      </w:r>
    </w:p>
    <w:p>
      <w:pPr>
        <w:pStyle w:val="FirstParagraph"/>
      </w:pPr>
      <w:r>
        <w:drawing>
          <wp:inline>
            <wp:extent cx="5334000" cy="3556000"/>
            <wp:effectExtent b="0" l="0" r="0" t="0"/>
            <wp:docPr descr="" title="" id="58" name="Picture"/>
            <a:graphic>
              <a:graphicData uri="http://schemas.openxmlformats.org/drawingml/2006/picture">
                <pic:pic>
                  <pic:nvPicPr>
                    <pic:cNvPr descr="TakeHome_Ex01B_files/figure-docx/unnamed-chunk-13-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Population Percentage by Generation</w:t>
      </w:r>
    </w:p>
    <w:p>
      <w:pPr>
        <w:pStyle w:val="FirstParagraph"/>
      </w:pPr>
      <w:r>
        <w:drawing>
          <wp:inline>
            <wp:extent cx="5334000" cy="3556000"/>
            <wp:effectExtent b="0" l="0" r="0" t="0"/>
            <wp:docPr descr="" title="" id="61" name="Picture"/>
            <a:graphic>
              <a:graphicData uri="http://schemas.openxmlformats.org/drawingml/2006/picture">
                <pic:pic>
                  <pic:nvPicPr>
                    <pic:cNvPr descr="TakeHome_Ex01B_files/figure-docx/unnamed-chunk-14-1.png" id="62"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Bar Plot of Age Distribution across Regions</w:t>
      </w:r>
    </w:p>
    <w:p>
      <w:pPr>
        <w:pStyle w:val="FirstParagraph"/>
      </w:pPr>
      <w:r>
        <w:drawing>
          <wp:inline>
            <wp:extent cx="5334000" cy="3556000"/>
            <wp:effectExtent b="0" l="0" r="0" t="0"/>
            <wp:docPr descr="" title="" id="64" name="Picture"/>
            <a:graphic>
              <a:graphicData uri="http://schemas.openxmlformats.org/drawingml/2006/picture">
                <pic:pic>
                  <pic:nvPicPr>
                    <pic:cNvPr descr="TakeHome_Ex01B_files/figure-docx/unnamed-chunk-15-1.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The Code Chunk</w:t>
      </w:r>
    </w:p>
    <w:p>
      <w:pPr>
        <w:pStyle w:val="SourceCode"/>
      </w:pPr>
      <w:r>
        <w:rPr>
          <w:rStyle w:val="CommentTok"/>
        </w:rPr>
        <w:t xml:space="preserve"># Data prep with generation bands</w:t>
      </w:r>
      <w:r>
        <w:br/>
      </w:r>
      <w:r>
        <w:rPr>
          <w:rStyle w:val="NormalTok"/>
        </w:rPr>
        <w:t xml:space="preserve">df_generations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"Alpha &amp; Gen Z (0-24)"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"Young Adults (25-34)"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"Working Adults (35-54)"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"Silver Generation (55-64)"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"Merdeka Generation (65-74)"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"Pioneer Generation (&gt;75)"</w:t>
      </w:r>
      <w:r>
        <w:br/>
      </w:r>
      <w:r>
        <w:rPr>
          <w:rStyle w:val="NormalTok"/>
        </w:rPr>
        <w:t xml:space="preserve">    ),</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"Alpha &amp; Gen Z (0-24)"</w:t>
      </w:r>
      <w:r>
        <w:rPr>
          <w:rStyle w:val="NormalTok"/>
        </w:rPr>
        <w:t xml:space="preserve">,</w:t>
      </w:r>
      <w:r>
        <w:br/>
      </w:r>
      <w:r>
        <w:rPr>
          <w:rStyle w:val="NormalTok"/>
        </w:rPr>
        <w:t xml:space="preserve">      </w:t>
      </w:r>
      <w:r>
        <w:rPr>
          <w:rStyle w:val="StringTok"/>
        </w:rPr>
        <w:t xml:space="preserve">"Young Adults (25-34)"</w:t>
      </w:r>
      <w:r>
        <w:rPr>
          <w:rStyle w:val="NormalTok"/>
        </w:rPr>
        <w:t xml:space="preserve">,</w:t>
      </w:r>
      <w:r>
        <w:br/>
      </w:r>
      <w:r>
        <w:rPr>
          <w:rStyle w:val="NormalTok"/>
        </w:rPr>
        <w:t xml:space="preserve">      </w:t>
      </w:r>
      <w:r>
        <w:rPr>
          <w:rStyle w:val="StringTok"/>
        </w:rPr>
        <w:t xml:space="preserve">"Working Adults (35-54)"</w:t>
      </w:r>
      <w:r>
        <w:rPr>
          <w:rStyle w:val="NormalTok"/>
        </w:rPr>
        <w:t xml:space="preserve">,</w:t>
      </w:r>
      <w:r>
        <w:br/>
      </w:r>
      <w:r>
        <w:rPr>
          <w:rStyle w:val="NormalTok"/>
        </w:rPr>
        <w:t xml:space="preserve">      </w:t>
      </w:r>
      <w:r>
        <w:rPr>
          <w:rStyle w:val="StringTok"/>
        </w:rPr>
        <w:t xml:space="preserve">"Silver Generation (55-64)"</w:t>
      </w:r>
      <w:r>
        <w:rPr>
          <w:rStyle w:val="NormalTok"/>
        </w:rPr>
        <w:t xml:space="preserve">,</w:t>
      </w:r>
      <w:r>
        <w:br/>
      </w:r>
      <w:r>
        <w:rPr>
          <w:rStyle w:val="NormalTok"/>
        </w:rPr>
        <w:t xml:space="preserve">      </w:t>
      </w:r>
      <w:r>
        <w:rPr>
          <w:rStyle w:val="StringTok"/>
        </w:rPr>
        <w:t xml:space="preserve">"Merdeka Generation (65-74)"</w:t>
      </w:r>
      <w:r>
        <w:rPr>
          <w:rStyle w:val="NormalTok"/>
        </w:rPr>
        <w:t xml:space="preserve">,</w:t>
      </w:r>
      <w:r>
        <w:br/>
      </w:r>
      <w:r>
        <w:rPr>
          <w:rStyle w:val="NormalTok"/>
        </w:rPr>
        <w:t xml:space="preserve">      </w:t>
      </w:r>
      <w:r>
        <w:rPr>
          <w:rStyle w:val="StringTok"/>
        </w:rPr>
        <w:t xml:space="preserve">"Pioneer Generation (&gt;75)"</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(Region,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 Plot A: Count-based ---</w:t>
      </w:r>
      <w:r>
        <w:br/>
      </w:r>
      <w:r>
        <w:rPr>
          <w:rStyle w:val="NormalTok"/>
        </w:rPr>
        <w:t xml:space="preserve">plot_counts </w:t>
      </w:r>
      <w:r>
        <w:rPr>
          <w:rStyle w:val="OtherTok"/>
        </w:rPr>
        <w:t xml:space="preserve">&lt;-</w:t>
      </w:r>
      <w:r>
        <w:rPr>
          <w:rStyle w:val="NormalTok"/>
        </w:rPr>
        <w:t xml:space="preserve"> </w:t>
      </w:r>
      <w:r>
        <w:rPr>
          <w:rStyle w:val="FunctionTok"/>
        </w:rPr>
        <w:t xml:space="preserve">ggplot</w:t>
      </w:r>
      <w:r>
        <w:rPr>
          <w:rStyle w:val="NormalTok"/>
        </w:rPr>
        <w:t xml:space="preserve">(df_generations,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Pop,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Remove y-axis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Count by Generation"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residents of each generation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br/>
      </w:r>
      <w:r>
        <w:rPr>
          <w:rStyle w:val="CommentTok"/>
        </w:rPr>
        <w:t xml:space="preserve"># --- Plot B: Percentage-based ---</w:t>
      </w:r>
      <w:r>
        <w:br/>
      </w:r>
      <w:r>
        <w:rPr>
          <w:rStyle w:val="NormalTok"/>
        </w:rPr>
        <w:t xml:space="preserve">plot_perc </w:t>
      </w:r>
      <w:r>
        <w:rPr>
          <w:rStyle w:val="OtherTok"/>
        </w:rPr>
        <w:t xml:space="preserve">&lt;-</w:t>
      </w:r>
      <w:r>
        <w:rPr>
          <w:rStyle w:val="NormalTok"/>
        </w:rPr>
        <w:t xml:space="preserve"> </w:t>
      </w:r>
      <w:r>
        <w:rPr>
          <w:rStyle w:val="FunctionTok"/>
        </w:rPr>
        <w:t xml:space="preserve">ggplot</w:t>
      </w:r>
      <w:r>
        <w:rPr>
          <w:rStyle w:val="NormalTok"/>
        </w:rPr>
        <w:t xml:space="preserve">(df_generations,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FloatTok"/>
        </w:rPr>
        <w:t xml:space="preserve">2.2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Remove y-axis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Share by Generation"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"Proportion of each generation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0.7</w:t>
      </w:r>
      <w:r>
        <w:rPr>
          <w:rStyle w:val="NormalTok"/>
        </w:rPr>
        <w:t xml:space="preserve">))  </w:t>
      </w:r>
      <w:r>
        <w:rPr>
          <w:rStyle w:val="CommentTok"/>
        </w:rPr>
        <w:t xml:space="preserve"># 30% smaller</w:t>
      </w:r>
      <w:r>
        <w:br/>
      </w:r>
      <w:r>
        <w:rPr>
          <w:rStyle w:val="NormalTok"/>
        </w:rPr>
        <w:t xml:space="preserve">  )</w:t>
      </w:r>
      <w:r>
        <w:br/>
      </w:r>
      <w:r>
        <w:br/>
      </w:r>
      <w:r>
        <w:rPr>
          <w:rStyle w:val="CommentTok"/>
        </w:rPr>
        <w:t xml:space="preserve"># Combine plots</w:t>
      </w:r>
      <w:r>
        <w:br/>
      </w:r>
      <w:r>
        <w:rPr>
          <w:rStyle w:val="NormalTok"/>
        </w:rPr>
        <w:t xml:space="preserve">plot_counts </w:t>
      </w:r>
      <w:r>
        <w:rPr>
          <w:rStyle w:val="SpecialCharTok"/>
        </w:rPr>
        <w:t xml:space="preserve">+</w:t>
      </w:r>
      <w:r>
        <w:rPr>
          <w:rStyle w:val="NormalTok"/>
        </w:rPr>
        <w:t xml:space="preserve"> plot_perc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0.7</w:t>
      </w:r>
      <w:r>
        <w:rPr>
          <w:rStyle w:val="NormalTok"/>
        </w:rPr>
        <w:t xml:space="preserve">)))</w:t>
      </w:r>
    </w:p>
    <w:p>
      <w:pPr>
        <w:pStyle w:val="FirstParagraph"/>
      </w:pPr>
      <w:r>
        <w:t xml:space="preserve"> </w:t>
      </w:r>
      <w:r>
        <w:t xml:space="preserve">Insights gleamed from these plots in section 3.2</w:t>
      </w:r>
    </w:p>
    <w:p>
      <w:pPr>
        <w:pStyle w:val="BodyText"/>
      </w:pPr>
      <w:r>
        <w:t xml:space="preserve">These visualisations compares Singapore’s resident population by generation across the five main planning regions, using both absolute ounts (left panel) and proportional shares (right panel).</w:t>
      </w:r>
      <w:r>
        <w:t xml:space="preserve"> </w:t>
      </w:r>
      <w:r>
        <w:rPr>
          <w:b/>
          <w:bCs/>
        </w:rPr>
        <w:t xml:space="preserve">Working adults (ages 35–54)</w:t>
      </w:r>
      <w:r>
        <w:t xml:space="preserve"> </w:t>
      </w:r>
      <w:r>
        <w:t xml:space="preserve">form the largest demographic in all regions, especially in the</w:t>
      </w:r>
      <w:r>
        <w:t xml:space="preserve"> </w:t>
      </w:r>
      <w:r>
        <w:rPr>
          <w:b/>
          <w:bCs/>
        </w:rPr>
        <w:t xml:space="preserve">East and North</w:t>
      </w:r>
      <w:r>
        <w:t xml:space="preserve">. However, the</w:t>
      </w:r>
      <w:r>
        <w:t xml:space="preserve"> </w:t>
      </w:r>
      <w:r>
        <w:rPr>
          <w:b/>
          <w:bCs/>
        </w:rPr>
        <w:t xml:space="preserve">Central region</w:t>
      </w:r>
      <w:r>
        <w:t xml:space="preserve"> </w:t>
      </w:r>
      <w:r>
        <w:t xml:space="preserve">stands out for its</w:t>
      </w:r>
      <w:r>
        <w:t xml:space="preserve"> </w:t>
      </w:r>
      <w:r>
        <w:rPr>
          <w:b/>
          <w:bCs/>
        </w:rPr>
        <w:t xml:space="preserve">higher concentration of older residents</w:t>
      </w:r>
      <w:r>
        <w:t xml:space="preserve">, particularly from the</w:t>
      </w:r>
      <w:r>
        <w:t xml:space="preserve"> </w:t>
      </w:r>
      <w:r>
        <w:rPr>
          <w:b/>
          <w:bCs/>
        </w:rPr>
        <w:t xml:space="preserve">Merdeka and Pioneer generations</w:t>
      </w:r>
      <w:r>
        <w:t xml:space="preserve">, both in absolute numbers and as a proportion of its population.</w:t>
      </w:r>
    </w:p>
    <w:p>
      <w:pPr>
        <w:pStyle w:val="BodyText"/>
      </w:pPr>
      <w:r>
        <w:t xml:space="preserve">Conversely, the</w:t>
      </w:r>
      <w:r>
        <w:t xml:space="preserve"> </w:t>
      </w:r>
      <w:r>
        <w:rPr>
          <w:b/>
          <w:bCs/>
        </w:rPr>
        <w:t xml:space="preserve">North-East and West</w:t>
      </w:r>
      <w:r>
        <w:t xml:space="preserve"> </w:t>
      </w:r>
      <w:r>
        <w:t xml:space="preserve">regions show a higher share of</w:t>
      </w:r>
      <w:r>
        <w:t xml:space="preserve"> </w:t>
      </w:r>
      <w:r>
        <w:rPr>
          <w:b/>
          <w:bCs/>
        </w:rPr>
        <w:t xml:space="preserve">younger residents under 35</w:t>
      </w:r>
      <w:r>
        <w:t xml:space="preserve">, reflecting newer housing developments and growing family clusters. While younger generations are more evenly spread in these regions, older cohorts are disproportionately concentrated in the</w:t>
      </w:r>
      <w:r>
        <w:t xml:space="preserve"> </w:t>
      </w:r>
      <w:r>
        <w:rPr>
          <w:b/>
          <w:bCs/>
        </w:rPr>
        <w:t xml:space="preserve">Central, East, and West</w:t>
      </w:r>
      <w:r>
        <w:t xml:space="preserve">.</w:t>
      </w:r>
    </w:p>
    <w:p>
      <w:pPr>
        <w:pStyle w:val="BodyText"/>
      </w:pPr>
      <w:r>
        <w:t xml:space="preserve">Supporting this, the</w:t>
      </w:r>
      <w:r>
        <w:t xml:space="preserve"> </w:t>
      </w:r>
      <w:r>
        <w:rPr>
          <w:b/>
          <w:bCs/>
        </w:rPr>
        <w:t xml:space="preserve">boxplots and age summaries</w:t>
      </w:r>
      <w:r>
        <w:t xml:space="preserve"> </w:t>
      </w:r>
      <w:r>
        <w:t xml:space="preserve">reveal</w:t>
      </w:r>
      <w:r>
        <w:t xml:space="preserve"> </w:t>
      </w:r>
      <w:r>
        <w:rPr>
          <w:b/>
          <w:bCs/>
        </w:rPr>
        <w:t xml:space="preserve">higher median ages</w:t>
      </w:r>
      <w:r>
        <w:t xml:space="preserve"> </w:t>
      </w:r>
      <w:r>
        <w:t xml:space="preserve">and</w:t>
      </w:r>
      <w:r>
        <w:t xml:space="preserve"> </w:t>
      </w:r>
      <w:r>
        <w:rPr>
          <w:b/>
          <w:bCs/>
        </w:rPr>
        <w:t xml:space="preserve">tighter interquartile ranges</w:t>
      </w:r>
      <w:r>
        <w:t xml:space="preserve"> </w:t>
      </w:r>
      <w:r>
        <w:t xml:space="preserve">in these ageing regions—highlighting a more mature demographic profile that warrants targeted</w:t>
      </w:r>
      <w:r>
        <w:t xml:space="preserve"> </w:t>
      </w:r>
      <w:r>
        <w:rPr>
          <w:b/>
          <w:bCs/>
        </w:rPr>
        <w:t xml:space="preserve">urban planning, healthcare, and ageing-in-place strategies</w:t>
      </w:r>
      <w:r>
        <w:t xml:space="preserve">.</w:t>
      </w:r>
    </w:p>
    <w:bookmarkEnd w:id="66"/>
    <w:bookmarkStart w:id="73" w:name="comments-by-liu-chih-yuan"/>
    <w:p>
      <w:pPr>
        <w:pStyle w:val="Heading1"/>
      </w:pPr>
      <w:r>
        <w:t xml:space="preserve">4. Comments by Liu Chih Yuan</w:t>
      </w:r>
    </w:p>
    <w:bookmarkStart w:id="67" w:name="good-points"/>
    <w:p>
      <w:pPr>
        <w:pStyle w:val="Heading2"/>
      </w:pPr>
      <w:r>
        <w:t xml:space="preserve">Good points</w:t>
      </w:r>
    </w:p>
    <w:p>
      <w:pPr>
        <w:pStyle w:val="Compact"/>
        <w:numPr>
          <w:ilvl w:val="0"/>
          <w:numId w:val="1005"/>
        </w:numPr>
      </w:pPr>
      <w:r>
        <w:t xml:space="preserve">Clear Breakdown by Generation</w:t>
      </w:r>
    </w:p>
    <w:p>
      <w:pPr>
        <w:pStyle w:val="Compact"/>
        <w:numPr>
          <w:ilvl w:val="1"/>
          <w:numId w:val="1006"/>
        </w:numPr>
      </w:pPr>
      <w:r>
        <w:t xml:space="preserve">The stacked bar plots clearly distinguished generations using multiple colors and labels, making it easy to digest</w:t>
      </w:r>
    </w:p>
    <w:p>
      <w:pPr>
        <w:pStyle w:val="Compact"/>
        <w:numPr>
          <w:ilvl w:val="0"/>
          <w:numId w:val="1005"/>
        </w:numPr>
      </w:pPr>
      <w:r>
        <w:t xml:space="preserve">Good Use of Facets (Counts vs Percentage)</w:t>
      </w:r>
    </w:p>
    <w:p>
      <w:pPr>
        <w:pStyle w:val="Compact"/>
        <w:numPr>
          <w:ilvl w:val="1"/>
          <w:numId w:val="1007"/>
        </w:numPr>
      </w:pPr>
      <w:r>
        <w:t xml:space="preserve">Shows both raw counts and percentages side by side for good comparison</w:t>
      </w:r>
    </w:p>
    <w:p>
      <w:pPr>
        <w:pStyle w:val="Compact"/>
        <w:numPr>
          <w:ilvl w:val="0"/>
          <w:numId w:val="1005"/>
        </w:numPr>
      </w:pPr>
      <w:r>
        <w:t xml:space="preserve">Boxplot with Annotated Summary Stats</w:t>
      </w:r>
    </w:p>
    <w:p>
      <w:pPr>
        <w:pStyle w:val="Compact"/>
        <w:numPr>
          <w:ilvl w:val="1"/>
          <w:numId w:val="1008"/>
        </w:numPr>
      </w:pPr>
      <w:r>
        <w:t xml:space="preserve">Labels on age distribution boxplot aids for easier interpretation</w:t>
      </w:r>
    </w:p>
    <w:bookmarkEnd w:id="67"/>
    <w:bookmarkStart w:id="68" w:name="improvements"/>
    <w:p>
      <w:pPr>
        <w:pStyle w:val="Heading2"/>
      </w:pPr>
      <w:r>
        <w:t xml:space="preserve">Improvements</w:t>
      </w:r>
    </w:p>
    <w:p>
      <w:pPr>
        <w:pStyle w:val="Compact"/>
        <w:numPr>
          <w:ilvl w:val="0"/>
          <w:numId w:val="1009"/>
        </w:numPr>
      </w:pPr>
      <w:r>
        <w:t xml:space="preserve">Font Size Too Small for Lables</w:t>
      </w:r>
    </w:p>
    <w:p>
      <w:pPr>
        <w:numPr>
          <w:ilvl w:val="1"/>
          <w:numId w:val="1010"/>
        </w:numPr>
      </w:pPr>
      <w:r>
        <w:rPr>
          <w:i/>
          <w:iCs/>
        </w:rPr>
        <w:t xml:space="preserve">Issue:</w:t>
      </w:r>
      <w:r>
        <w:t xml:space="preserve"> </w:t>
      </w:r>
      <w:r>
        <w:t xml:space="preserve">text is hard to read</w:t>
      </w:r>
    </w:p>
    <w:p>
      <w:pPr>
        <w:numPr>
          <w:ilvl w:val="1"/>
          <w:numId w:val="1010"/>
        </w:numPr>
      </w:pPr>
      <w:r>
        <w:rPr>
          <w:b/>
          <w:bCs/>
        </w:rPr>
        <w:t xml:space="preserve">Fix:</w:t>
      </w:r>
      <w:r>
        <w:t xml:space="preserve"> </w:t>
      </w:r>
      <w:r>
        <w:t xml:space="preserve">increase font size to improve readability</w:t>
      </w:r>
    </w:p>
    <w:p>
      <w:pPr>
        <w:pStyle w:val="Compact"/>
        <w:numPr>
          <w:ilvl w:val="0"/>
          <w:numId w:val="1009"/>
        </w:numPr>
      </w:pPr>
      <w:r>
        <w:t xml:space="preserve">Color Palette Not Very Readable</w:t>
      </w:r>
    </w:p>
    <w:p>
      <w:pPr>
        <w:numPr>
          <w:ilvl w:val="1"/>
          <w:numId w:val="1011"/>
        </w:numPr>
      </w:pPr>
      <w:r>
        <w:rPr>
          <w:i/>
          <w:iCs/>
        </w:rPr>
        <w:t xml:space="preserve">Issue:</w:t>
      </w:r>
      <w:r>
        <w:t xml:space="preserve"> </w:t>
      </w:r>
      <w:r>
        <w:t xml:space="preserve">hard to read and not colorblind friendly</w:t>
      </w:r>
    </w:p>
    <w:p>
      <w:pPr>
        <w:numPr>
          <w:ilvl w:val="1"/>
          <w:numId w:val="1011"/>
        </w:numPr>
      </w:pPr>
      <w:r>
        <w:rPr>
          <w:b/>
          <w:bCs/>
        </w:rPr>
        <w:t xml:space="preserve">Fix:</w:t>
      </w:r>
      <w:r>
        <w:t xml:space="preserve"> </w:t>
      </w:r>
      <w:r>
        <w:t xml:space="preserve">use color palette such as</w:t>
      </w:r>
      <w:r>
        <w:t xml:space="preserve"> </w:t>
      </w:r>
      <w:r>
        <w:rPr>
          <w:rStyle w:val="VerbatimChar"/>
        </w:rPr>
        <w:t xml:space="preserve">viridis</w:t>
      </w:r>
      <w:r>
        <w:t xml:space="preserve"> </w:t>
      </w:r>
      <w:r>
        <w:t xml:space="preserve">or</w:t>
      </w:r>
      <w:r>
        <w:t xml:space="preserve"> </w:t>
      </w:r>
      <w:r>
        <w:rPr>
          <w:rStyle w:val="VerbatimChar"/>
        </w:rPr>
        <w:t xml:space="preserve">OkabeIto</w:t>
      </w:r>
    </w:p>
    <w:p>
      <w:pPr>
        <w:pStyle w:val="Compact"/>
        <w:numPr>
          <w:ilvl w:val="0"/>
          <w:numId w:val="1009"/>
        </w:numPr>
      </w:pPr>
      <w:r>
        <w:t xml:space="preserve">Overcrowded Text in Stacked Bars</w:t>
      </w:r>
    </w:p>
    <w:p>
      <w:pPr>
        <w:numPr>
          <w:ilvl w:val="1"/>
          <w:numId w:val="1012"/>
        </w:numPr>
      </w:pPr>
      <w:r>
        <w:rPr>
          <w:i/>
          <w:iCs/>
        </w:rPr>
        <w:t xml:space="preserve">Issue:</w:t>
      </w:r>
      <w:r>
        <w:t xml:space="preserve"> </w:t>
      </w:r>
      <w:r>
        <w:t xml:space="preserve">readability of text inside stacked bars are not good</w:t>
      </w:r>
    </w:p>
    <w:p>
      <w:pPr>
        <w:numPr>
          <w:ilvl w:val="1"/>
          <w:numId w:val="1012"/>
        </w:numPr>
      </w:pPr>
      <w:r>
        <w:rPr>
          <w:b/>
          <w:bCs/>
        </w:rPr>
        <w:t xml:space="preserve">Fix:</w:t>
      </w:r>
      <w:r>
        <w:t xml:space="preserve"> </w:t>
      </w:r>
      <w:r>
        <w:t xml:space="preserve">display labels for only larger segments</w:t>
      </w:r>
    </w:p>
    <w:bookmarkEnd w:id="68"/>
    <w:bookmarkStart w:id="72" w:name="revised-version-of-eda-3.2"/>
    <w:p>
      <w:pPr>
        <w:pStyle w:val="Heading2"/>
      </w:pPr>
      <w:r>
        <w:t xml:space="preserve">Revised Version of EDA 3.2</w:t>
      </w:r>
    </w:p>
    <w:p>
      <w:pPr>
        <w:pStyle w:val="FirstParagraph"/>
      </w:pPr>
      <w:r>
        <w:drawing>
          <wp:inline>
            <wp:extent cx="5334000" cy="6667500"/>
            <wp:effectExtent b="0" l="0" r="0" t="0"/>
            <wp:docPr descr="" title="" id="70" name="Picture"/>
            <a:graphic>
              <a:graphicData uri="http://schemas.openxmlformats.org/drawingml/2006/picture">
                <pic:pic>
                  <pic:nvPicPr>
                    <pic:cNvPr descr="TakeHome_Ex01B_files/figure-docx/unnamed-chunk-17-1.png" id="71" name="Picture"/>
                    <pic:cNvPicPr>
                      <a:picLocks noChangeArrowheads="1" noChangeAspect="1"/>
                    </pic:cNvPicPr>
                  </pic:nvPicPr>
                  <pic:blipFill>
                    <a:blip r:embed="rId69"/>
                    <a:stretch>
                      <a:fillRect/>
                    </a:stretch>
                  </pic:blipFill>
                  <pic:spPr bwMode="auto">
                    <a:xfrm>
                      <a:off x="0" y="0"/>
                      <a:ext cx="5334000" cy="6667500"/>
                    </a:xfrm>
                    <a:prstGeom prst="rect">
                      <a:avLst/>
                    </a:prstGeom>
                    <a:noFill/>
                    <a:ln w="9525">
                      <a:noFill/>
                      <a:headEnd/>
                      <a:tailEnd/>
                    </a:ln>
                  </pic:spPr>
                </pic:pic>
              </a:graphicData>
            </a:graphic>
          </wp:inline>
        </w:drawing>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hyperlink" Id="rId33" Target="https://cran.r-project.org/web/packages/ggridges/vignettes/introduction.html" TargetMode="External" /><Relationship Type="http://schemas.openxmlformats.org/officeDocument/2006/relationships/hyperlink" Id="rId37" Target="https://eliocamp.github.io/ggnewscale/" TargetMode="External" /><Relationship Type="http://schemas.openxmlformats.org/officeDocument/2006/relationships/hyperlink" Id="rId35" Target="https://github.com/daattali/ggExtra" TargetMode="External" /><Relationship Type="http://schemas.openxmlformats.org/officeDocument/2006/relationships/hyperlink" Id="rId34" Target="https://github.com/kassambara/ggpubr" TargetMode="External" /><Relationship Type="http://schemas.openxmlformats.org/officeDocument/2006/relationships/hyperlink" Id="rId36" Target="https://github.com/wilkelab/cowplot" TargetMode="External" /><Relationship Type="http://schemas.openxmlformats.org/officeDocument/2006/relationships/hyperlink" Id="rId28" Target="https://patchwork.data-imaginist.com/" TargetMode="External" /><Relationship Type="http://schemas.openxmlformats.org/officeDocument/2006/relationships/hyperlink" Id="rId30" Target="https://scales.r-lib.org/" TargetMode="External" /><Relationship Type="http://schemas.openxmlformats.org/officeDocument/2006/relationships/hyperlink" Id="rId31" Target="https://wilkelab.org/ggtext/" TargetMode="External" /><Relationship Type="http://schemas.openxmlformats.org/officeDocument/2006/relationships/hyperlink" Id="rId39" Target="https://www.singstat.gov.sg/" TargetMode="External" /><Relationship Type="http://schemas.openxmlformats.org/officeDocument/2006/relationships/hyperlink" Id="rId26" Target="https://www.tidyverse.org/" TargetMode="External" /><Relationship Type="http://schemas.openxmlformats.org/officeDocument/2006/relationships/hyperlink" Id="rId27" Target="https://yihui.org/knitr/" TargetMode="External" /><Relationship Type="http://schemas.openxmlformats.org/officeDocument/2006/relationships/hyperlink" Id="rId32" Target="https://yonicd.github.io/ggalt/" TargetMode="External" /><Relationship Type="http://schemas.openxmlformats.org/officeDocument/2006/relationships/hyperlink" Id="rId29" Target="https://yutannihilation.github.io/allYourFigureAreBelongToUs/ggthemes/"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web/packages/ggridges/vignettes/introduction.html" TargetMode="External" /><Relationship Type="http://schemas.openxmlformats.org/officeDocument/2006/relationships/hyperlink" Id="rId37" Target="https://eliocamp.github.io/ggnewscale/" TargetMode="External" /><Relationship Type="http://schemas.openxmlformats.org/officeDocument/2006/relationships/hyperlink" Id="rId35" Target="https://github.com/daattali/ggExtra" TargetMode="External" /><Relationship Type="http://schemas.openxmlformats.org/officeDocument/2006/relationships/hyperlink" Id="rId34" Target="https://github.com/kassambara/ggpubr" TargetMode="External" /><Relationship Type="http://schemas.openxmlformats.org/officeDocument/2006/relationships/hyperlink" Id="rId36" Target="https://github.com/wilkelab/cowplot" TargetMode="External" /><Relationship Type="http://schemas.openxmlformats.org/officeDocument/2006/relationships/hyperlink" Id="rId28" Target="https://patchwork.data-imaginist.com/" TargetMode="External" /><Relationship Type="http://schemas.openxmlformats.org/officeDocument/2006/relationships/hyperlink" Id="rId30" Target="https://scales.r-lib.org/" TargetMode="External" /><Relationship Type="http://schemas.openxmlformats.org/officeDocument/2006/relationships/hyperlink" Id="rId31" Target="https://wilkelab.org/ggtext/" TargetMode="External" /><Relationship Type="http://schemas.openxmlformats.org/officeDocument/2006/relationships/hyperlink" Id="rId39" Target="https://www.singstat.gov.sg/" TargetMode="External" /><Relationship Type="http://schemas.openxmlformats.org/officeDocument/2006/relationships/hyperlink" Id="rId26" Target="https://www.tidyverse.org/" TargetMode="External" /><Relationship Type="http://schemas.openxmlformats.org/officeDocument/2006/relationships/hyperlink" Id="rId27" Target="https://yihui.org/knitr/" TargetMode="External" /><Relationship Type="http://schemas.openxmlformats.org/officeDocument/2006/relationships/hyperlink" Id="rId32" Target="https://yonicd.github.io/ggalt/" TargetMode="External" /><Relationship Type="http://schemas.openxmlformats.org/officeDocument/2006/relationships/hyperlink" Id="rId29" Target="https://yutannihilation.github.io/allYourFigureAreBelongToUs/ggthe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David Chiam &amp; Liu Chih Yuan</dc:creator>
  <dc:description/>
  <cp:keywords/>
  <dcterms:created xsi:type="dcterms:W3CDTF">2025-05-10T04:35:14Z</dcterms:created>
  <dcterms:modified xsi:type="dcterms:W3CDTF">2025-05-10T04:35:14Z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2025-05-10</vt:lpwstr>
  </property>
  <property fmtid="{D5CDD505-2E9C-101B-9397-08002B2CF9AE}" pid="6" name="date-modified">
    <vt:lpwstr>2025-05-10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