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PMingLiU" w:eastAsia="PMingLiU" w:hAnsi="PMingLiU"/>
          <w:b/>
          <w:bCs/>
          <w:sz w:val="40"/>
          <w:szCs w:val="40"/>
        </w:rPr>
        <w:t xml:space="preserve">趨勢分群虧損分析報告（2026-05-08 之後）</w:t>
      </w:r>
    </w:p>
    <w:p>
      <w:pPr>
        <w:spacing w:after="60" w:before="60"/>
        <w:rPr>
          <w:b/>
          <w:bCs/>
        </w:rPr>
      </w:pPr>
      <w:r>
        <w:rPr>
          <w:rFonts w:ascii="PMingLiU" w:eastAsia="PMingLiU" w:hAnsi="PMingLiU"/>
          <w:b/>
          <w:bCs/>
          <w:sz w:val="22"/>
          <w:szCs w:val="22"/>
        </w:rPr>
        <w:t xml:space="preserve">日期：2026-05-17</w:t>
      </w:r>
    </w:p>
    <w:p>
      <w:pPr>
        <w:spacing w:after="60" w:before="60"/>
      </w:pPr>
      <w:r>
        <w:rPr>
          <w:rFonts w:ascii="PMingLiU" w:eastAsia="PMingLiU" w:hAnsi="PMingLiU"/>
          <w:sz w:val="22"/>
          <w:szCs w:val="22"/>
        </w:rPr>
        <w:t xml:space="preserve">樣本範圍：entry_ts &gt;= 2026-05-08（涵蓋策略調整後資料）</w:t>
      </w:r>
    </w:p>
    <w:p>
      <w:pPr>
        <w:spacing w:after="60" w:before="60"/>
      </w:pPr>
      <w:r>
        <w:rPr>
          <w:rFonts w:ascii="PMingLiU" w:eastAsia="PMingLiU" w:hAnsi="PMingLiU"/>
          <w:sz w:val="22"/>
          <w:szCs w:val="22"/>
        </w:rPr>
        <w:t xml:space="preserve">樣本：87 筆已平倉交易（41 勝 / 46 敗，勝率 47.1%）</w:t>
      </w:r>
    </w:p>
    <w:p>
      <w:pPr>
        <w:spacing w:after="60" w:before="60"/>
      </w:pPr>
      <w:r>
        <w:rPr>
          <w:rFonts w:ascii="PMingLiU" w:eastAsia="PMingLiU" w:hAnsi="PMingLiU"/>
          <w:sz w:val="22"/>
          <w:szCs w:val="22"/>
        </w:rPr>
        <w:t xml:space="preserve">標的：MXF（TAIEX 小型台指期）</w:t>
      </w:r>
    </w:p>
    <w:p>
      <w:pPr>
        <w:spacing w:after="60" w:before="60"/>
      </w:pPr>
      <w:r>
        <w:rPr>
          <w:rFonts w:ascii="PMingLiU" w:eastAsia="PMingLiU" w:hAnsi="PMingLiU"/>
          <w:sz w:val="22"/>
          <w:szCs w:val="22"/>
        </w:rPr>
        <w:t xml:space="preserve">趨勢分群依據：每筆交易進場時刻的 15 分鐘趨勢標籤，由 20 指數均線、50 指數均線、正向趨向指標、負向趨向指標、平均趨向指標 計算分類。</w:t>
      </w:r>
    </w:p>
    <w:p>
      <w:pPr>
        <w:pStyle w:val="Heading1"/>
        <w:spacing w:after="200" w:before="360"/>
      </w:pPr>
      <w:r>
        <w:rPr>
          <w:rFonts w:ascii="PMingLiU" w:eastAsia="PMingLiU" w:hAnsi="PMingLiU"/>
          <w:b/>
          <w:bCs/>
          <w:sz w:val="32"/>
          <w:szCs w:val="32"/>
        </w:rPr>
        <w:t xml:space="preserve">一、趨勢分群勝負分布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700"/>
        <w:gridCol w:w="800"/>
        <w:gridCol w:w="900"/>
        <w:gridCol w:w="1500"/>
        <w:gridCol w:w="13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趨勢標籤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勝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敗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勝率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平均勝利損益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平均虧損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強勢上升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溫和上升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42.9%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+43.1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−39.5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盤整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57.9%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+45.7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−31.8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溫和下降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40.9%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+43.4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−26.2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強勢下降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+54.4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−30.6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總計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47.1%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24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trend_wins_losses" descr="各趨勢桶勝負分布" title="趨勢勝負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  <w:rPr>
          <w:i/>
          <w:iCs/>
          <w:sz w:val="18"/>
          <w:szCs w:val="18"/>
        </w:rPr>
      </w:pPr>
      <w:r>
        <w:rPr>
          <w:rFonts w:ascii="PMingLiU" w:eastAsia="PMingLiU" w:hAnsi="PMingLiU"/>
          <w:i/>
          <w:iCs/>
          <w:sz w:val="18"/>
          <w:szCs w:val="18"/>
        </w:rPr>
        <w:t xml:space="preserve">圖：各趨勢桶的勝負交易筆數與勝率（綠：勝、紅：敗、藍線：勝率）</w:t>
      </w:r>
    </w:p>
    <w:p>
      <w:pPr>
        <w:pStyle w:val="Heading1"/>
        <w:spacing w:after="200" w:before="360"/>
      </w:pPr>
      <w:r>
        <w:rPr>
          <w:rFonts w:ascii="PMingLiU" w:eastAsia="PMingLiU" w:hAnsi="PMingLiU"/>
          <w:b/>
          <w:bCs/>
          <w:sz w:val="32"/>
          <w:szCs w:val="32"/>
        </w:rPr>
        <w:t xml:space="preserve">二、與全期 (109 筆) 對比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趨勢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全期勝率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05-08 後勝率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變化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強勢上升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20.0% (1/5)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— (0/0)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完全沒進場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溫和上升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37.1%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42.9%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+5.8 pp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盤整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57.9%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+7.9 pp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溫和下降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38.5%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40.9%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+2.4 pp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強勢下降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52.6%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−2.6 pp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整體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42.2%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47.1%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+4.9 pp</w:t>
            </w:r>
          </w:p>
        </w:tc>
      </w:tr>
    </w:tbl>
    <w:p>
      <w:pPr>
        <w:spacing w:after="60" w:before="60"/>
        <w:rPr>
          <w:b/>
          <w:bCs/>
        </w:rPr>
      </w:pPr>
      <w:r>
        <w:rPr>
          <w:rFonts w:ascii="PMingLiU" w:eastAsia="PMingLiU" w:hAnsi="PMingLiU"/>
          <w:b/>
          <w:bCs/>
          <w:sz w:val="22"/>
          <w:szCs w:val="22"/>
        </w:rPr>
        <w:t xml:space="preserve">整體勝率提升約 5 個百分點，調整方向正面。盤整桶改善最多。</w:t>
      </w:r>
    </w:p>
    <w:p>
      <w:pPr>
        <w:pStyle w:val="Heading1"/>
        <w:spacing w:after="200" w:before="360"/>
      </w:pPr>
      <w:r>
        <w:rPr>
          <w:rFonts w:ascii="PMingLiU" w:eastAsia="PMingLiU" w:hAnsi="PMingLiU"/>
          <w:b/>
          <w:bCs/>
          <w:sz w:val="32"/>
          <w:szCs w:val="32"/>
        </w:rPr>
        <w:t xml:space="preserve">三、關鍵發現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3.1 強勢上升完全消失（疑問）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全期 5 筆中 4 敗（平均虧 −55.8 點），是先前最糟的桶。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05-08 後 0 筆。可能性：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(A) 新規則明確過濾掉「強勢上升 + 高 平均趨向指標」的進場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(B) 該時段市場沒進入此狀態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需確認是哪一種；若為 (A)，記入「已驗證有效」清單。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3.2 強勢下降仍為最強桶之一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9 勝 9 敗（50%），平均獲利 +54.4 點（樣本中最高），9 筆勝利全部停利出場。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進場價深度乖離（距 50 指數均線 −0.98%），平均趨向指標 39.7（強）。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模式：超賣反彈。市場急殺後抓到反彈點。</w:t>
      </w:r>
    </w:p>
    <w:p>
      <w:pPr>
        <w:spacing w:after="60" w:before="60"/>
        <w:rPr>
          <w:b/>
          <w:bCs/>
        </w:rPr>
      </w:pPr>
      <w:r>
        <w:rPr>
          <w:rFonts w:ascii="PMingLiU" w:eastAsia="PMingLiU" w:hAnsi="PMingLiU"/>
          <w:b/>
          <w:bCs/>
          <w:sz w:val="22"/>
          <w:szCs w:val="22"/>
        </w:rPr>
        <w:t xml:space="preserve">結論：不要過濾此桶，是最賺的場景。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3.3 溫和上升仍是最大失血桶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28 筆中 16 敗（57%），敗筆樣本仍最多。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勝敗指標差異微小（平均趨向指標 26 vs 27、進場價偏離 20 指數均線 0.15% vs 0.21%），表示進場時機本身難分辨好壞。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出場原因：16 敗中 14 筆為「移動停損」、1 筆停損、1 筆其他。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勝敗在場時間：勝 17 分鐘、敗 27 分鐘 → 敗單拖得久後才被移動停損掃出。</w:t>
      </w:r>
    </w:p>
    <w:p>
      <w:pPr>
        <w:spacing w:after="60" w:before="60"/>
        <w:rPr>
          <w:b/>
          <w:bCs/>
        </w:rPr>
      </w:pPr>
      <w:r>
        <w:rPr>
          <w:rFonts w:ascii="PMingLiU" w:eastAsia="PMingLiU" w:hAnsi="PMingLiU"/>
          <w:b/>
          <w:bCs/>
          <w:sz w:val="22"/>
          <w:szCs w:val="22"/>
        </w:rPr>
        <w:t xml:space="preserve">結論：問題不在進場，在「移動停損」太緊。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3.4 盤整桶大幅改善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全期 50% → 05-08 後 57.9%。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11 勝中 10 筆停利出場；8 敗全部移動停損。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改善可能來自進場或出場其中一項，但 8 敗全為移動停損仍指向同一問題。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3.5 溫和下降表現持平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40.9% 勝率，9 勝全部停利（平均 +43.4 點），13 敗 100% 為「移動停損」（平均 −26.2 點）。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平均虧損是所有桶中最小（−26.2 點）。</w:t>
      </w:r>
    </w:p>
    <w:p>
      <w:pPr>
        <w:spacing w:after="60" w:before="60"/>
        <w:rPr>
          <w:b/>
          <w:bCs/>
        </w:rPr>
      </w:pPr>
      <w:r>
        <w:rPr>
          <w:rFonts w:ascii="PMingLiU" w:eastAsia="PMingLiU" w:hAnsi="PMingLiU"/>
          <w:b/>
          <w:bCs/>
          <w:sz w:val="22"/>
          <w:szCs w:val="22"/>
        </w:rPr>
        <w:t xml:space="preserve">若移動停損放寬，此桶可能轉正。</w:t>
      </w:r>
    </w:p>
    <w:p>
      <w:pPr>
        <w:pStyle w:val="Heading1"/>
        <w:spacing w:after="200" w:before="360"/>
      </w:pPr>
      <w:r>
        <w:rPr>
          <w:rFonts w:ascii="PMingLiU" w:eastAsia="PMingLiU" w:hAnsi="PMingLiU"/>
          <w:b/>
          <w:bCs/>
          <w:sz w:val="32"/>
          <w:szCs w:val="32"/>
        </w:rPr>
        <w:t xml:space="preserve">四、真正的兇手：移動停損 出場邏輯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4.1 出場原因主導性（05-08 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趨勢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敗單數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移動停損 佔比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溫和上升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14 / 16 = 88%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盤整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8 / 8 = 100%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溫和下降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13 / 13 = 100%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強勢下降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7 / 9 = 78%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總計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42 / 46 = 91%</w:t>
            </w:r>
          </w:p>
        </w:tc>
      </w:tr>
    </w:tbl>
    <w:p>
      <w:pPr>
        <w:spacing w:after="60" w:before="60"/>
        <w:rPr>
          <w:b/>
          <w:bCs/>
        </w:rPr>
      </w:pPr>
      <w:r>
        <w:rPr>
          <w:rFonts w:ascii="PMingLiU" w:eastAsia="PMingLiU" w:hAnsi="PMingLiU"/>
          <w:b/>
          <w:bCs/>
          <w:sz w:val="22"/>
          <w:szCs w:val="22"/>
        </w:rPr>
        <w:t xml:space="preserve">勝單幾乎全是停利出場；91% 敗單是移動停損出場。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4.2 移動停損 公式</w:t>
      </w:r>
    </w:p>
    <w:p>
      <w:pPr>
        <w:spacing w:after="60" w:before="60"/>
      </w:pPr>
      <w:r>
        <w:rPr>
          <w:rFonts w:ascii="PMingLiU" w:eastAsia="PMingLiU" w:hAnsi="PMingLiU"/>
          <w:sz w:val="22"/>
          <w:szCs w:val="22"/>
        </w:rPr>
        <w:t xml:space="preserve">檔案：backend/app/strategies/examples/strat_1k.py 第 430 行</w:t>
      </w:r>
    </w:p>
    <w:p>
      <w:pPr>
        <w:shd w:fill="F4F4F4" w:val="clear"/>
        <w:spacing w:after="20" w:before="20"/>
      </w:pPr>
      <w:r>
        <w:rPr>
          <w:rFonts w:ascii="Consolas" w:eastAsia="PMingLiU"/>
          <w:sz w:val="18"/>
          <w:szCs w:val="18"/>
        </w:rPr>
        <w:t xml:space="preserve">if pnl &lt;= pos.peak_pnl - trail:    # trail = 40 點，全時段一致</w:t>
      </w:r>
    </w:p>
    <w:p>
      <w:pPr>
        <w:shd w:fill="F4F4F4" w:val="clear"/>
        <w:spacing w:after="20" w:before="20"/>
      </w:pPr>
      <w:r>
        <w:rPr>
          <w:rFonts w:ascii="Consolas" w:eastAsia="PMingLiU"/>
          <w:sz w:val="18"/>
          <w:szCs w:val="18"/>
        </w:rPr>
        <w:t xml:space="preserve">    return self._close_position(..., "TRAIL", ...)</w:t>
      </w:r>
    </w:p>
    <w:p>
      <w:pPr>
        <w:shd w:fill="F4F4F4" w:val="clear"/>
        <w:spacing w:after="20" w:before="20"/>
      </w:pPr>
      <w:r>
        <w:rPr>
          <w:rFonts w:ascii="Consolas" w:eastAsia="PMingLiU"/>
          <w:sz w:val="18"/>
          <w:szCs w:val="18"/>
        </w:rPr>
        <w:t xml:space="preserve">pos.peak_pnl = max(pos.peak_pnl, pnl)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「最高損益」(peak_pnl) 從 0 起算 → 進場後若 損益 ≤ −40 即觸發 移動停損，等同進場即放一支 −40 點硬停損。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停利目標 為 30 / 40 / 50 點（依台北時段）。移動停損帶寬 (40) ≥ 停利目標 (30~50) 的情形下：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例 1：停利 30，行情衝到 +25（差 5 點達標）後回吐 → peak=25，觸發點 25−40 = −15 → 在 −15 點被掃出。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例 2：停利 50，行情衝到 +30 後盤整 → peak=30，觸發 −10 → 出場負值。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結果：正報酬區間被吃掉，敗單常落在 −10 到 −45 之間，與停利區間幾乎對稱。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4.3 為什麼這對「溫和上升」最致命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緩漲行情盤中容易出現 +20 ~ +30 的小高、隨後 −15 ~ −25 的回測。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停利 50（早盤）或停利 40（中段）不易打到；移動停損 40 卻很容易觸發。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經典「對的方向、錯的出場」：方向判斷無誤，但被自家停利系統掃出。</w:t>
      </w:r>
    </w:p>
    <w:p>
      <w:pPr>
        <w:pStyle w:val="Heading1"/>
        <w:spacing w:after="200" w:before="360"/>
      </w:pPr>
      <w:r>
        <w:rPr>
          <w:rFonts w:ascii="PMingLiU" w:eastAsia="PMingLiU" w:hAnsi="PMingLiU"/>
          <w:b/>
          <w:bCs/>
          <w:sz w:val="32"/>
          <w:szCs w:val="32"/>
        </w:rPr>
        <w:t xml:space="preserve">五、建議修正（優先序）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5.1 高優先：重構「移動停損」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延後啟動「移動停損」：在 損益 ≥ +15 ~ +20 之前不啟用移動停損，改用獨立硬停損（如 −30 / −35）。避免進場即被 −40 框死。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縮窄「移動停損」帶寬：將 40 改為 20 ~ 25，或依時段同步調整，使「移動停損 &lt; 停利 × 0.6」。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加入「保本停損」：當「最高損益 ≥ 停利 / 2」時，停損上移到進場價。預估可顯著改善溫和上升 14 筆 移動停損 損失。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5.2 中優先：確認「強勢上升」過濾機制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全期 5 筆強勢上升只賺 1 賠 4。05-08 後完全沒進場——確認是規則所致或時機湊巧。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若非規則，建議加入：「若 趨勢標籤 = 強勢上升 且 平均趨向指標 &gt; 40：不進場」。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5.3 低優先：暫不過濾下跌桶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強勢下降是目前最強桶之一（平均勝 +54.4 點）；溫和下降只是 移動停損 太緊。</w:t>
      </w:r>
    </w:p>
    <w:p>
      <w:pPr>
        <w:spacing w:after="60" w:before="60"/>
        <w:rPr>
          <w:b/>
          <w:bCs/>
        </w:rPr>
      </w:pPr>
      <w:r>
        <w:rPr>
          <w:rFonts w:ascii="PMingLiU" w:eastAsia="PMingLiU" w:hAnsi="PMingLiU"/>
          <w:b/>
          <w:bCs/>
          <w:sz w:val="22"/>
          <w:szCs w:val="22"/>
        </w:rPr>
        <w:t xml:space="preserve">切勿一律封鎖下跌時段的多單——會把最賺的場景一起殺掉。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5.4 結構性建議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加入「空單」邏輯：目前 87 筆全為多單。下跌大段（強勢下降）的反彈雖然賺，但下跌主段系統完全沒參與。對稱化策略可擴大樣本。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趨勢標籤本身是「滯後確認指標」，不具預測力。建議於分數中加入均線斜率項，或更高時間框架（1 小時 / 4 小時）作為外層 趨勢狀態過濾，避免 15 分鐘對 5 分鐘 / 1 分鐘 主策略的延遲。</w:t>
      </w:r>
    </w:p>
    <w:p>
      <w:pPr>
        <w:pStyle w:val="Heading1"/>
        <w:spacing w:after="200" w:before="360"/>
      </w:pPr>
      <w:r>
        <w:rPr>
          <w:rFonts w:ascii="PMingLiU" w:eastAsia="PMingLiU" w:hAnsi="PMingLiU"/>
          <w:b/>
          <w:bCs/>
          <w:sz w:val="32"/>
          <w:szCs w:val="32"/>
        </w:rPr>
        <w:t xml:space="preserve">六、待驗證與後續</w:t>
      </w:r>
    </w:p>
    <w:p>
      <w:pPr>
        <w:spacing w:after="40" w:before="40"/>
        <w:ind w:left="360"/>
      </w:pPr>
      <w:r>
        <w:rPr>
          <w:rFonts w:ascii="PMingLiU" w:eastAsia="PMingLiU" w:hAnsi="PMingLiU"/>
          <w:sz w:val="22"/>
          <w:szCs w:val="22"/>
        </w:rPr>
        <w:t xml:space="preserve">☐ 確認 05-08 變更的具體內容（強勢上升 0 進場的原因）</w:t>
      </w:r>
    </w:p>
    <w:p>
      <w:pPr>
        <w:spacing w:after="40" w:before="40"/>
        <w:ind w:left="360"/>
      </w:pPr>
      <w:r>
        <w:rPr>
          <w:rFonts w:ascii="PMingLiU" w:eastAsia="PMingLiU" w:hAnsi="PMingLiU"/>
          <w:sz w:val="22"/>
          <w:szCs w:val="22"/>
        </w:rPr>
        <w:t xml:space="preserve">☐ 修改 _TRAIL_POINTS = 40.0 → 25.0，或加入啟動門檻 _TRAIL_ARM_PNL = 15.0</w:t>
      </w:r>
    </w:p>
    <w:p>
      <w:pPr>
        <w:spacing w:after="40" w:before="40"/>
        <w:ind w:left="360"/>
      </w:pPr>
      <w:r>
        <w:rPr>
          <w:rFonts w:ascii="PMingLiU" w:eastAsia="PMingLiU" w:hAnsi="PMingLiU"/>
          <w:sz w:val="22"/>
          <w:szCs w:val="22"/>
        </w:rPr>
        <w:t xml:space="preserve">☐ 在回測引擎重跑歷史區間，比對勝率、損益、最大回撤</w:t>
      </w:r>
    </w:p>
    <w:p>
      <w:pPr>
        <w:spacing w:after="40" w:before="40"/>
        <w:ind w:left="360"/>
      </w:pPr>
      <w:r>
        <w:rPr>
          <w:rFonts w:ascii="PMingLiU" w:eastAsia="PMingLiU" w:hAnsi="PMingLiU"/>
          <w:sz w:val="22"/>
          <w:szCs w:val="22"/>
        </w:rPr>
        <w:t xml:space="preserve">☐ 確認 peak_pnl 重置邏輯（每筆新單應為 0，跨時段不沿用）</w:t>
      </w:r>
    </w:p>
    <w:p>
      <w:pPr>
        <w:spacing w:after="40" w:before="40"/>
        <w:ind w:left="360"/>
      </w:pPr>
      <w:r>
        <w:rPr>
          <w:rFonts w:ascii="PMingLiU" w:eastAsia="PMingLiU" w:hAnsi="PMingLiU"/>
          <w:sz w:val="22"/>
          <w:szCs w:val="22"/>
        </w:rPr>
        <w:t xml:space="preserve">☐ 啟動 TrendService，並將趨勢標籤寫入交易 payload，供事後分群分析</w:t>
      </w:r>
    </w:p>
    <w:p>
      <w:pPr>
        <w:pStyle w:val="Heading1"/>
        <w:spacing w:after="200" w:before="360"/>
      </w:pPr>
      <w:r>
        <w:rPr>
          <w:rFonts w:ascii="PMingLiU" w:eastAsia="PMingLiU" w:hAnsi="PMingLiU"/>
          <w:b/>
          <w:bCs/>
          <w:sz w:val="32"/>
          <w:szCs w:val="32"/>
        </w:rPr>
        <w:t xml:space="preserve">七、附錄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7.1 分析腳本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backend/scripts/trend_for_losses.py：僅輸出敗單的趨勢分布（已加 05-08 過濾）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backend/scripts/trend_wins_losses.py：勝負分群 + 圖表（已加 05-08 過濾）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backend/scripts/trend_analysis.py：深度分析（已加 05-08 過濾）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7.2 各桶詳細指標（05-08 後）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"/>
        <w:gridCol w:w="600"/>
        <w:gridCol w:w="1000"/>
        <w:gridCol w:w="1100"/>
        <w:gridCol w:w="900"/>
        <w:gridCol w:w="900"/>
        <w:gridCol w:w="900"/>
        <w:gridCol w:w="900"/>
        <w:gridCol w:w="9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趨勢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勝負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筆數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平均損益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中位數損益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平均ADX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ADX上升%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距EMA20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距EMA50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EMA差%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在場分鐘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溫和上升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勝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+43.1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+46.0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25.8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+0.15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+0.30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+0.15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17.4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溫和上升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敗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−39.5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−40.0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26.6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+0.21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+0.38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+0.17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27.0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盤整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勝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+45.7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+50.0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24.3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−0.17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−0.20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−0.03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盤整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敗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−31.8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−28.0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23.2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+0.02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+0.05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+0.03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溫和下降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勝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+43.4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+40.0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27.6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56%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−0.37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−0.62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−0.26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溫和下降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敗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−26.2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−25.0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25.3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54%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−0.23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−0.38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−0.16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10.1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強勢下降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勝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+54.4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+55.0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39.7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56%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−0.44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−0.98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−0.54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強勢下降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敗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−30.6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−36.0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39.1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67%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−0.38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−0.83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−0.45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15.9</w:t>
            </w:r>
          </w:p>
        </w:tc>
      </w:tr>
    </w:tbl>
    <w:p>
      <w:pPr>
        <w:spacing w:after="60" w:before="60"/>
      </w:pPr>
      <w:r>
        <w:rPr>
          <w:rFonts w:ascii="PMingLiU" w:eastAsia="PMingLiU" w:hAnsi="PMingLiU"/>
          <w:sz w:val="22"/>
          <w:szCs w:val="22"/>
        </w:rPr>
        <w:t xml:space="preserve">欄位說明：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距EMA20 / 距EMA50：進場價相對 20 / 50 指數均線 的百分比偏離（正值＝高於均線）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EMA差%：(20 指數均線 − 50 指數均線) / 進場價，反映短期趨勢強度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在場分鐘：交易進場到出場的分鐘數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MingLiU" w:eastAsia="PMingLiU" w:hAnsi="PMingLiU"/>
          <w:sz w:val="22"/>
          <w:szCs w:val="22"/>
        </w:rPr>
        <w:t xml:space="preserve">ADX上升%：本桶內 平均趨向指標 比 3 根前更高的比例</w:t>
      </w:r>
    </w:p>
    <w:p>
      <w:pPr>
        <w:pStyle w:val="Heading2"/>
        <w:spacing w:after="140" w:before="280"/>
      </w:pPr>
      <w:r>
        <w:rPr>
          <w:rFonts w:ascii="PMingLiU" w:eastAsia="PMingLiU" w:hAnsi="PMingLiU"/>
          <w:b/>
          <w:bCs/>
          <w:sz w:val="28"/>
          <w:szCs w:val="28"/>
        </w:rPr>
        <w:t xml:space="preserve">7.3 名詞對照（中英）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報告用詞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程式碼識別字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停利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TP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達到目標點數出場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停損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SL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達到固定虧損點數出場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移動停損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TRAIL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從最高損益回撤達門檻出場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多單 / 空單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LONG / SHORT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買進 / 賣出方向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進場 / 出場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entry / exit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開倉 / 平倉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平均趨向指標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ADX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趨勢強度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正向趨向指標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+DI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上漲動能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負向趨向指標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−DI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下跌動能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20 指數均線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EMA20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20 期指數移動平均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50 指數均線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EMA50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50 期指數移動平均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損益點數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PnL / pnl_points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浮動損益（點數計）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最高損益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peak_pnl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進場後曾達到的最大未實現獲利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移動停損帶寬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trail width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從最高損益回撤多少點觸發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趨勢標籤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trend label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五分類：強勢上升 / 溫和上升 / 盤整 / 溫和下降 / 強勢下降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趨向跳變(1分)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DI_JUMP_1M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 分鐘 平均趨向指標 突跳出場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趨向翻轉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DI_FLIP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多空力道交叉出場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趨向翻轉(10分)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DI_FLIP_10M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10 分鐘趨向翻轉出場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趨勢狀態過濾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regime gate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高層次行情狀態過濾器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保本停損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break-even stop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損益達門檻後將停損上移到進場價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MingLiU" w:eastAsia="PMingLiU" w:hAnsi="PMingLiU"/>
                <w:b/>
                <w:bCs/>
                <w:sz w:val="20"/>
                <w:szCs w:val="20"/>
              </w:rPr>
              <w:t xml:space="preserve">回測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backtest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MingLiU" w:eastAsia="PMingLiU" w:hAnsi="PMingLiU"/>
                <w:b w:val="false"/>
                <w:bCs w:val="false"/>
                <w:sz w:val="20"/>
                <w:szCs w:val="20"/>
              </w:rPr>
              <w:t xml:space="preserve">歷史資料模擬交易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MingLiU" w:cs="PMingLiU" w:eastAsia="PMingLiU" w:hAnsi="PMingLiU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MingLiU" w:cs="PMingLiU" w:eastAsia="PMingLiU" w:hAnsi="PMingLiU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MingLiU" w:cs="PMingLiU" w:eastAsia="PMingLiU" w:hAnsi="PMingLiU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PMingLiU" w:cs="PMingLiU" w:eastAsia="PMingLiU" w:hAnsi="PMingLiU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573a69a01d73cbeaa18fec342dfce45de252a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2026-05-17T13:51:14.319Z</dcterms:created>
  <dcterms:modified xsi:type="dcterms:W3CDTF">2026-05-17T13:51:14.320Z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