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年伊朗战争与霍尔木兹海峡通行中断对全球供应链的影响。数据以一手机构为准(美国能源信息署</w:t>
      </w:r>
      <w:r>
        <w:rPr>
          <w:i/>
          <w:iCs/>
        </w:rPr>
        <w:t xml:space="preserve"> </w:t>
      </w:r>
      <w:r>
        <w:rPr>
          <w:rFonts w:hint="eastAsia"/>
          <w:i/>
          <w:iCs/>
        </w:rPr>
        <w:t xml:space="preserve">EIA、国际能源署</w:t>
      </w:r>
      <w:r>
        <w:rPr>
          <w:i/>
          <w:iCs/>
        </w:rPr>
        <w:t xml:space="preserve"> </w:t>
      </w:r>
      <w:r>
        <w:rPr>
          <w:rFonts w:hint="eastAsia"/>
          <w:i/>
          <w:iCs/>
        </w:rPr>
        <w:t xml:space="preserve">IEA、牛津能源研究所</w:t>
      </w:r>
      <w:r>
        <w:rPr>
          <w:i/>
          <w:iCs/>
        </w:rPr>
        <w:t xml:space="preserve"> </w:t>
      </w:r>
      <w:r>
        <w:rPr>
          <w:rFonts w:hint="eastAsia"/>
          <w:i/>
          <w:iCs/>
        </w:rPr>
        <w:t xml:space="preserve">OIES、国际货币基金组织</w:t>
      </w:r>
      <w:r>
        <w:rPr>
          <w:i/>
          <w:iCs/>
        </w:rPr>
        <w:t xml:space="preserve"> </w:t>
      </w:r>
      <w:r>
        <w:rPr>
          <w:rFonts w:hint="eastAsia"/>
          <w:i/>
          <w:iCs/>
        </w:rPr>
        <w:t xml:space="preserve">IMF、世界银行、美国外交关系协会</w:t>
      </w:r>
      <w:r>
        <w:rPr>
          <w:i/>
          <w:iCs/>
        </w:rPr>
        <w:t xml:space="preserve"> CFR </w:t>
      </w:r>
      <w:r>
        <w:rPr>
          <w:rFonts w:hint="eastAsia"/>
          <w:i/>
          <w:iCs/>
        </w:rPr>
        <w:t xml:space="preserve">等),媒体仅作旁证。全文区分【已发生的事实】与【基于机制的推断】。</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这场危机最危险的尾部风险不在石油,而在半导体。</w:t>
      </w:r>
      <w:r>
        <w:t xml:space="preserve"> </w:t>
      </w:r>
      <w:r>
        <w:rPr>
          <w:rFonts w:hint="eastAsia"/>
        </w:rPr>
        <w:t xml:space="preserve">当卡塔尔的氦气、卡塔尔的液化天然气、以及由油价推高的航运保险</w:t>
      </w:r>
      <w:r>
        <w:rPr>
          <w:rFonts w:hint="eastAsia"/>
          <w:b/>
          <w:bCs/>
        </w:rPr>
        <w:t xml:space="preserve">同时</w:t>
      </w:r>
      <w:r>
        <w:rPr>
          <w:rFonts w:hint="eastAsia"/>
        </w:rPr>
        <w:t xml:space="preserve">冲击台积电(TSMC)这一个节点时,造成的连锁损害远超任何单一商品的中断。</w:t>
      </w:r>
    </w:p>
    <w:p>
      <w:r>
        <w:pict>
          <v:rect style="width:0;height:1.5pt" o:hralign="center" o:hrstd="t" o:hr="t"/>
        </w:pict>
      </w:r>
    </w:p>
    <w:bookmarkEnd w:id="9"/>
    <w:bookmarkStart w:id="10"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20–21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的液化天然气贸易(EIA,2024</w:t>
      </w:r>
      <w:r>
        <w:t xml:space="preserve"> </w:t>
      </w:r>
      <w:r>
        <w:rPr>
          <w:rFonts w:hint="eastAsia"/>
        </w:rPr>
        <w:t xml:space="preserve">年数据)。其中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百万桶/天,紧急情况下也只能提到</w:t>
      </w:r>
      <w:r>
        <w:t xml:space="preserve"> 3.5–5 </w:t>
      </w:r>
      <w:r>
        <w:rPr>
          <w:rFonts w:hint="eastAsia"/>
        </w:rPr>
        <w:t xml:space="preserve">百万桶/天;阿联酋的</w:t>
      </w:r>
      <w:r>
        <w:t xml:space="preserve"> Habshan–Fujairah </w:t>
      </w:r>
      <w:r>
        <w:rPr>
          <w:rFonts w:hint="eastAsia"/>
        </w:rPr>
        <w:t xml:space="preserve">管线实际可用约</w:t>
      </w:r>
      <w:r>
        <w:t xml:space="preserve"> 1.5 </w:t>
      </w:r>
      <w:r>
        <w:rPr>
          <w:rFonts w:hint="eastAsia"/>
        </w:rPr>
        <w:t xml:space="preserve">百万桶/天。两者相加,绕行能力不到海峡通行量的三分之一。</w:t>
      </w:r>
    </w:p>
    <w:p>
      <w:pPr>
        <w:pStyle w:val="BodyText"/>
      </w:pPr>
      <w:r>
        <w:rPr>
          <w:rFonts w:hint="eastAsia"/>
        </w:rPr>
        <w:t xml:space="preserve">牛津能源研究所(OIES)的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0"/>
    <w:bookmarkStart w:id="11"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1"/>
    <w:bookmarkStart w:id="12"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w:t>
      </w:r>
      <w:r>
        <w:t xml:space="preserve"> Mancur Olson </w:t>
      </w:r>
      <w:r>
        <w:rPr>
          <w:rFonts w:hint="eastAsia"/>
        </w:rPr>
        <w:t xml:space="preserve">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2"/>
    <w:bookmarkStart w:id="13"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w:t>
      </w:r>
      <w:r>
        <w:t xml:space="preserve"> 20.9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w:t>
      </w:r>
      <w:r>
        <w:t xml:space="preserve"> 37.7% </w:t>
      </w:r>
      <w:r>
        <w:rPr>
          <w:rFonts w:hint="eastAsia"/>
        </w:rPr>
        <w:t xml:space="preserve">的海峡原油运往中国——但它同时也是韧性最强的(详见第六节)。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后盾安排(《Insurance</w:t>
      </w:r>
      <w:r>
        <w:t xml:space="preserve"> Journal》2026-03-19)。</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的”爱国者”拦截弹(CSIS</w:t>
      </w:r>
      <w:r>
        <w:t xml:space="preserve"> </w:t>
      </w:r>
      <w:r>
        <w:rPr>
          <w:rFonts w:hint="eastAsia"/>
        </w:rPr>
        <w:t xml:space="preserve">的</w:t>
      </w:r>
      <w:r>
        <w:t xml:space="preserve"> Cancian </w:t>
      </w:r>
      <w:r>
        <w:rPr>
          <w:rFonts w:hint="eastAsia"/>
        </w:rPr>
        <w:t xml:space="preserve">与</w:t>
      </w:r>
      <w:r>
        <w:t xml:space="preserve"> Park《Last </w:t>
      </w:r>
      <w:r>
        <w:rPr>
          <w:rFonts w:hint="eastAsia"/>
        </w:rPr>
        <w:t xml:space="preserve">Rounds》报告)。伊朗一侧弹道导弹库存被打掉约一半、发射架损毁</w:t>
      </w:r>
      <w:r>
        <w:t xml:space="preserve"> </w:t>
      </w:r>
      <w:r>
        <w:rPr>
          <w:rFonts w:hint="eastAsia"/>
        </w:rPr>
        <w:t xml:space="preserve">70%、海军舰艇损毁</w:t>
      </w:r>
      <w:r>
        <w:t xml:space="preserve"> 92%(RAND </w:t>
      </w:r>
      <w:r>
        <w:rPr>
          <w:rFonts w:hint="eastAsia"/>
        </w:rPr>
        <w:t xml:space="preserve">的</w:t>
      </w:r>
      <w:r>
        <w:t xml:space="preserve"> Raphael </w:t>
      </w:r>
      <w:r>
        <w:rPr>
          <w:rFonts w:hint="eastAsia"/>
        </w:rPr>
        <w:t xml:space="preserve">Cohen,2026-04)。不过捍卫民主基金会(FDD)的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p>
    <w:p>
      <w:pPr>
        <w:pStyle w:val="BodyText"/>
      </w:pPr>
      <w:r>
        <w:rPr>
          <w:rFonts w:hint="eastAsia"/>
          <w:b/>
          <w:bCs/>
        </w:rPr>
        <w:t xml:space="preserve">半导体。</w:t>
      </w:r>
      <w:r>
        <w:t xml:space="preserve"> </w:t>
      </w:r>
      <w:r>
        <w:rPr>
          <w:rFonts w:hint="eastAsia"/>
        </w:rPr>
        <w:t xml:space="preserve">这是损害链条上最被低估、却最直接的一环,详见第五节。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月触发了对伊核协议下的”快速恢复制裁”(snapback)。伊朗与中国的双边结算约</w:t>
      </w:r>
      <w:r>
        <w:t xml:space="preserve"> 95% </w:t>
      </w:r>
      <w:r>
        <w:rPr>
          <w:rFonts w:hint="eastAsia"/>
        </w:rPr>
        <w:t xml:space="preserve">通过人民币跨境系统完成。但这是否动摇美元的根基,见第六节的讨论。</w:t>
      </w:r>
    </w:p>
    <w:p>
      <w:r>
        <w:pict>
          <v:rect style="width:0;height:1.5pt" o:hralign="center" o:hrstd="t" o:hr="t"/>
        </w:pict>
      </w:r>
    </w:p>
    <w:bookmarkEnd w:id="13"/>
    <w:bookmarkStart w:id="14" w:name="五最危险的尾部同时砸向半导体的三重冲击"/>
    <w:p>
      <w:pPr>
        <w:pStyle w:val="Heading2"/>
      </w:pPr>
      <w:r>
        <w:rPr>
          <w:rFonts w:hint="eastAsia"/>
        </w:rPr>
        <w:t xml:space="preserve">五、最危险的尾部:同时砸向半导体的三重冲击</w:t>
      </w:r>
    </w:p>
    <w:p>
      <w:pPr>
        <w:pStyle w:val="FirstParagraph"/>
      </w:pPr>
      <w:r>
        <w:rPr>
          <w:rFonts w:hint="eastAsia"/>
        </w:rPr>
        <w:t xml:space="preserve">如果把五条供应链分开看,会系统性地低估最坏情况。真正可怕的,是</w:t>
      </w:r>
      <w:r>
        <w:rPr>
          <w:rFonts w:hint="eastAsia"/>
          <w:b/>
          <w:bCs/>
        </w:rPr>
        <w:t xml:space="preserve">多条链同时冲击同一个节点</w:t>
      </w:r>
      <w:r>
        <w:t xml:space="preserve">。</w:t>
      </w:r>
    </w:p>
    <w:p>
      <w:pPr>
        <w:pStyle w:val="BodyText"/>
      </w:pPr>
      <w:r>
        <w:rPr>
          <w:rFonts w:hint="eastAsia"/>
        </w:rPr>
        <w:t xml:space="preserve">这个节点是台积电。三重冲击同时落下:</w:t>
      </w:r>
    </w:p>
    <w:p>
      <w:pPr>
        <w:pStyle w:val="Compact"/>
        <w:numPr>
          <w:ilvl w:val="0"/>
          <w:numId w:val="1002"/>
        </w:numPr>
      </w:pPr>
      <w:r>
        <w:rPr>
          <w:rFonts w:hint="eastAsia"/>
          <w:b/>
          <w:bCs/>
        </w:rPr>
        <w:t xml:space="preserve">氦气。</w:t>
      </w:r>
      <w:r>
        <w:t xml:space="preserve"> </w:t>
      </w:r>
      <w:r>
        <w:rPr>
          <w:rFonts w:hint="eastAsia"/>
        </w:rPr>
        <w:t xml:space="preserve">卡塔尔供应全球约</w:t>
      </w:r>
      <w:r>
        <w:t xml:space="preserve"> 33% </w:t>
      </w:r>
      <w:r>
        <w:rPr>
          <w:rFonts w:hint="eastAsia"/>
        </w:rPr>
        <w:t xml:space="preserve">的氦气,这次冲击移除了其中</w:t>
      </w:r>
      <w:r>
        <w:t xml:space="preserve"> </w:t>
      </w:r>
      <w:r>
        <w:rPr>
          <w:rFonts w:hint="eastAsia"/>
        </w:rPr>
        <w:t xml:space="preserve">30–33%。韩国工业用氦的</w:t>
      </w:r>
      <w:r>
        <w:t xml:space="preserve"> 64.7% </w:t>
      </w:r>
      <w:r>
        <w:rPr>
          <w:rFonts w:hint="eastAsia"/>
        </w:rPr>
        <w:t xml:space="preserve">来自卡塔尔,半导体工厂的氦气缓冲只有约六个月,而卡塔尔</w:t>
      </w:r>
      <w:r>
        <w:t xml:space="preserve"> Ras Laffan </w:t>
      </w:r>
      <w:r>
        <w:rPr>
          <w:rFonts w:hint="eastAsia"/>
        </w:rPr>
        <w:t xml:space="preserve">设施的修复可能长达五年(IEA、《Foreign</w:t>
      </w:r>
      <w:r>
        <w:t xml:space="preserve"> </w:t>
      </w:r>
      <w:r>
        <w:rPr>
          <w:rFonts w:hint="eastAsia"/>
        </w:rPr>
        <w:t xml:space="preserve">Policy》2026-04)。氦气在半导体制造中用于冷却和工艺环节,几乎无法替代,且和液化天然气一样,没有绕开海峡的替代航路。</w:t>
      </w:r>
    </w:p>
    <w:p>
      <w:pPr>
        <w:pStyle w:val="Compact"/>
        <w:numPr>
          <w:ilvl w:val="0"/>
          <w:numId w:val="1002"/>
        </w:numPr>
      </w:pPr>
      <w:r>
        <w:rPr>
          <w:rFonts w:hint="eastAsia"/>
          <w:b/>
          <w:bCs/>
        </w:rPr>
        <w:t xml:space="preserve">液化天然气。</w:t>
      </w:r>
      <w:r>
        <w:t xml:space="preserve"> </w:t>
      </w:r>
      <w:r>
        <w:rPr>
          <w:rFonts w:hint="eastAsia"/>
        </w:rPr>
        <w:t xml:space="preserve">半导体工厂的电力和工艺供气依赖天然气,卡塔尔的液化天然气没有替代航路。</w:t>
      </w:r>
    </w:p>
    <w:p>
      <w:pPr>
        <w:pStyle w:val="Compact"/>
        <w:numPr>
          <w:ilvl w:val="0"/>
          <w:numId w:val="1002"/>
        </w:numPr>
      </w:pPr>
      <w:r>
        <w:rPr>
          <w:rFonts w:hint="eastAsia"/>
          <w:b/>
          <w:bCs/>
        </w:rPr>
        <w:t xml:space="preserve">航运与保险。</w:t>
      </w:r>
      <w:r>
        <w:t xml:space="preserve"> </w:t>
      </w:r>
      <w:r>
        <w:rPr>
          <w:rFonts w:hint="eastAsia"/>
        </w:rPr>
        <w:t xml:space="preserve">由油价推高的运费和保险成本,叠加在上述两项之上。</w:t>
      </w:r>
    </w:p>
    <w:p>
      <w:pPr>
        <w:pStyle w:val="FirstParagraph"/>
      </w:pPr>
      <w:r>
        <w:rPr>
          <w:rFonts w:hint="eastAsia"/>
        </w:rPr>
        <w:t xml:space="preserve">能源成本冲击、工艺气体冲击、物流冲击,三者</w:t>
      </w:r>
      <w:r>
        <w:rPr>
          <w:rFonts w:hint="eastAsia"/>
          <w:b/>
          <w:bCs/>
        </w:rPr>
        <w:t xml:space="preserve">同时</w:t>
      </w:r>
      <w:r>
        <w:rPr>
          <w:rFonts w:hint="eastAsia"/>
        </w:rPr>
        <w:t xml:space="preserve">压在一个全球人工智能与算力经济都依赖的单一节点上。这种”同时性”造成的连锁损害,远超把三条链分别相加的结果。这是整场危机里最值得警惕、也最容易被忽略的风险。</w:t>
      </w:r>
    </w:p>
    <w:p>
      <w:r>
        <w:pict>
          <v:rect style="width:0;height:1.5pt" o:hralign="center" o:hrstd="t" o:hr="t"/>
        </w:pict>
      </w:r>
    </w:p>
    <w:bookmarkEnd w:id="14"/>
    <w:bookmarkStart w:id="15"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表面上各机构数字差异很大:世界银行给出</w:t>
      </w:r>
      <w:r>
        <w:t xml:space="preserve"> 2026 </w:t>
      </w:r>
      <w:r>
        <w:rPr>
          <w:rFonts w:hint="eastAsia"/>
        </w:rPr>
        <w:t xml:space="preserve">年全年均价</w:t>
      </w:r>
      <w:r>
        <w:t xml:space="preserve"> 95–115 </w:t>
      </w:r>
      <w:r>
        <w:rPr>
          <w:rFonts w:hint="eastAsia"/>
        </w:rPr>
        <w:t xml:space="preserve">美元的严重情景;IMF</w:t>
      </w:r>
      <w:r>
        <w:t xml:space="preserve"> </w:t>
      </w:r>
      <w:r>
        <w:rPr>
          <w:rFonts w:hint="eastAsia"/>
        </w:rPr>
        <w:t xml:space="preserve">给出对油价路径</w:t>
      </w:r>
      <w:r>
        <w:t xml:space="preserve"> +80% </w:t>
      </w:r>
      <w:r>
        <w:rPr>
          <w:rFonts w:hint="eastAsia"/>
        </w:rPr>
        <w:t xml:space="preserve">至</w:t>
      </w:r>
      <w:r>
        <w:t xml:space="preserve"> </w:t>
      </w:r>
      <w:r>
        <w:rPr>
          <w:rFonts w:hint="eastAsia"/>
        </w:rPr>
        <w:t xml:space="preserve">+100%(约合</w:t>
      </w:r>
      <w:r>
        <w:t xml:space="preserve"> 148–165 </w:t>
      </w:r>
      <w:r>
        <w:rPr>
          <w:rFonts w:hint="eastAsia"/>
        </w:rPr>
        <w:t xml:space="preserve">美元)的冲击;彭博经济研究的情景网格则给出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美元”尾部”。这些看似矛盾的数字,其实是在回答不同的问题——世界银行报的是被正常化的第四季度稀释后的</w:t>
      </w:r>
      <w:r>
        <w:rPr>
          <w:rFonts w:hint="eastAsia"/>
          <w:b/>
          <w:bCs/>
        </w:rPr>
        <w:t xml:space="preserve">全年均值</w:t>
      </w:r>
      <w:r>
        <w:t xml:space="preserve">,IMF </w:t>
      </w:r>
      <w:r>
        <w:rPr>
          <w:rFonts w:hint="eastAsia"/>
        </w:rPr>
        <w:t xml:space="preserve">报的是对路径的</w:t>
      </w:r>
      <w:r>
        <w:rPr>
          <w:rFonts w:hint="eastAsia"/>
          <w:b/>
          <w:bCs/>
        </w:rPr>
        <w:t xml:space="preserve">百分比冲击</w:t>
      </w:r>
      <w:r>
        <w:rPr>
          <w:rFonts w:hint="eastAsia"/>
        </w:rPr>
        <w:t xml:space="preserve">,彭博报的是</w:t>
      </w:r>
      <w:r>
        <w:rPr>
          <w:rFonts w:hint="eastAsia"/>
          <w:b/>
          <w:bCs/>
        </w:rPr>
        <w:t xml:space="preserve">瞬时价位</w:t>
      </w:r>
      <w:r>
        <w:rPr>
          <w:rFonts w:hint="eastAsia"/>
        </w:rPr>
        <w:t xml:space="preserve">。把它们对齐后是一致的:一次持续数月的全面关闭,会产生远超</w:t>
      </w:r>
      <w:r>
        <w:t xml:space="preserve"> 150 </w:t>
      </w:r>
      <w:r>
        <w:rPr>
          <w:rFonts w:hint="eastAsia"/>
        </w:rPr>
        <w:t xml:space="preserve">美元的瞬时尖峰,只有在第四季度得到化解时,全年均价才会回落到</w:t>
      </w:r>
      <w:r>
        <w:t xml:space="preserve"> 95–115 </w:t>
      </w:r>
      <w:r>
        <w:rPr>
          <w:rFonts w:hint="eastAsia"/>
        </w:rPr>
        <w:t xml:space="preserve">美元。其中</w:t>
      </w:r>
      <w:r>
        <w:t xml:space="preserve"> OIES </w:t>
      </w:r>
      <w:r>
        <w:rPr>
          <w:rFonts w:hint="eastAsia"/>
        </w:rPr>
        <w:t xml:space="preserve">的分析最为根本,因为它解释了价格上限为何这么高——平抑油价的闲置产能被地理困住了。</w:t>
      </w:r>
    </w:p>
    <w:p>
      <w:pPr>
        <w:pStyle w:val="BodyText"/>
      </w:pPr>
      <w:r>
        <w:rPr>
          <w:rFonts w:hint="eastAsia"/>
          <w:b/>
          <w:bCs/>
        </w:rPr>
        <w:t xml:space="preserve">人民币结算会动摇美元吗?</w:t>
      </w:r>
      <w:r>
        <w:t xml:space="preserve"> </w:t>
      </w:r>
      <w:r>
        <w:t xml:space="preserve">CFR </w:t>
      </w:r>
      <w:r>
        <w:rPr>
          <w:rFonts w:hint="eastAsia"/>
        </w:rPr>
        <w:t xml:space="preserve">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 </w:t>
      </w:r>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——它对发电可控,对石化原料、半导体工艺气和氦气则完全不可能,而后者恰恰是通往台积电的那条链。</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15"/>
    <w:bookmarkStart w:id="16"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这个说法流传很广,但需要谨慎对待。伊朗战争推高油价,确实给俄罗斯带来了一次性的月度收入跳升——2026</w:t>
      </w:r>
      <w:r>
        <w:t xml:space="preserve"> </w:t>
      </w:r>
      <w:r>
        <w:rPr>
          <w:rFonts w:hint="eastAsia"/>
        </w:rPr>
        <w:t xml:space="preserve">年</w:t>
      </w:r>
      <w:r>
        <w:t xml:space="preserve"> 3 </w:t>
      </w:r>
      <w:r>
        <w:rPr>
          <w:rFonts w:hint="eastAsia"/>
        </w:rPr>
        <w:t xml:space="preserve">月俄罗斯石油出口收入达</w:t>
      </w:r>
      <w:r>
        <w:t xml:space="preserve"> 190 </w:t>
      </w:r>
      <w:r>
        <w:rPr>
          <w:rFonts w:hint="eastAsia"/>
        </w:rPr>
        <w:t xml:space="preserve">亿美元,而</w:t>
      </w:r>
      <w:r>
        <w:t xml:space="preserve"> 2 </w:t>
      </w:r>
      <w:r>
        <w:rPr>
          <w:rFonts w:hint="eastAsia"/>
        </w:rPr>
        <w:t xml:space="preserve">月仅为</w:t>
      </w:r>
      <w:r>
        <w:t xml:space="preserve"> 98 </w:t>
      </w:r>
      <w:r>
        <w:rPr>
          <w:rFonts w:hint="eastAsia"/>
        </w:rPr>
        <w:t xml:space="preserve">亿美元(基辅经济学院数据)。但与此同时,</w:t>
      </w:r>
      <w:r>
        <w:rPr>
          <w:rFonts w:hint="eastAsia"/>
          <w:b/>
          <w:bCs/>
        </w:rPr>
        <w:t xml:space="preserve">乌克兰对俄罗斯炼油设施的持续打击,已把俄罗斯的炼油能力压到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;4 </w:t>
      </w:r>
      <w:r>
        <w:rPr>
          <w:rFonts w:hint="eastAsia"/>
        </w:rPr>
        <w:t xml:space="preserve">月炼油产出同比下降</w:t>
      </w:r>
      <w:r>
        <w:t xml:space="preserve"> </w:t>
      </w:r>
      <w:r>
        <w:rPr>
          <w:rFonts w:hint="eastAsia"/>
        </w:rPr>
        <w:t xml:space="preserve">9.2%,俄罗斯被迫禁止航空煤油出口,乌方打击累计造成俄方逾</w:t>
      </w:r>
      <w:r>
        <w:t xml:space="preserve"> 70 </w:t>
      </w:r>
      <w:r>
        <w:rPr>
          <w:rFonts w:hint="eastAsia"/>
        </w:rPr>
        <w:t xml:space="preserve">亿美元损失。卡内基国际和平基金会的</w:t>
      </w:r>
      <w:r>
        <w:t xml:space="preserve"> Sergey Vakulenko </w:t>
      </w:r>
      <w:r>
        <w:rPr>
          <w:rFonts w:hint="eastAsia"/>
        </w:rPr>
        <w:t xml:space="preserve">直接比较了”乌克兰打击”与”涨价”两股力量,结论是二者大体相互抵消。更重要的是,这次涨价并不改变俄罗斯的结构性困境:它需要全年布伦特均价达到</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的干净说法是夸大的:价格红利是真实的,但短暂、有争议、且被乌克兰的炼厂战役大幅抵消,既不改变俄罗斯的财政挤压,也不改变其战场颓势。</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MSC、达飞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16"/>
    <w:bookmarkStart w:id="17"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3"/>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3"/>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3"/>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17"/>
    <w:bookmarkStart w:id="18"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4"/>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4"/>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4"/>
        </w:numPr>
      </w:pPr>
      <w:r>
        <w:rPr>
          <w:rFonts w:hint="eastAsia"/>
        </w:rPr>
        <w:t xml:space="preserve">牛津能源研究所的部分原始报告无法直接抓取,相关数字经多个落地页与检索文本交叉确认。</w:t>
      </w:r>
    </w:p>
    <w:p>
      <w:pPr>
        <w:pStyle w:val="Compact"/>
        <w:numPr>
          <w:ilvl w:val="0"/>
          <w:numId w:val="1004"/>
        </w:numPr>
      </w:pPr>
      <w:r>
        <w:rPr>
          <w:rFonts w:hint="eastAsia"/>
        </w:rPr>
        <w:t xml:space="preserve">几乎所有的伤亡与产量数字都有争议;本报告以方向性而非精确值作为论证支点。</w:t>
      </w:r>
    </w:p>
    <w:p>
      <w:r>
        <w:pict>
          <v:rect style="width:0;height:1.5pt" o:hralign="center" o:hrstd="t" o:hr="t"/>
        </w:pict>
      </w:r>
    </w:p>
    <w:bookmarkEnd w:id="18"/>
    <w:bookmarkStart w:id="19"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第三,这场危机最危险的尾部不在石油,而在氦气、液化天然气与航运保险同时冲击台积电这一节点。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则已经是过去式——这两点都提醒我们,市场的适应能力往往强于直觉预期。</w:t>
      </w:r>
    </w:p>
    <w:p>
      <w:r>
        <w:pict>
          <v:rect style="width:0;height:1.5pt" o:hralign="center" o:hrstd="t" o:hr="t"/>
        </w:pict>
      </w:r>
    </w:p>
    <w:bookmarkEnd w:id="19"/>
    <w:bookmarkStart w:id="20" w:name="主要信源与分析师"/>
    <w:p>
      <w:pPr>
        <w:pStyle w:val="Heading2"/>
      </w:pPr>
      <w:r>
        <w:rPr>
          <w:rFonts w:hint="eastAsia"/>
        </w:rPr>
        <w:t xml:space="preserve">主要信源与分析师</w:t>
      </w:r>
    </w:p>
    <w:p>
      <w:pPr>
        <w:pStyle w:val="FirstParagraph"/>
      </w:pPr>
      <w:r>
        <w:rPr>
          <w:rFonts w:hint="eastAsia"/>
        </w:rPr>
        <w:t xml:space="preserve">牛津能源研究所(Bassam</w:t>
      </w:r>
      <w:r>
        <w:t xml:space="preserve"> Fattouh、Andreas Economou、Michal Meidan)· </w:t>
      </w:r>
      <w:r>
        <w:rPr>
          <w:rFonts w:hint="eastAsia"/>
        </w:rPr>
        <w:t xml:space="preserve">美国外交关系协会(Brad</w:t>
      </w:r>
      <w:r>
        <w:t xml:space="preserve"> Setser)· </w:t>
      </w:r>
      <w:r>
        <w:rPr>
          <w:rFonts w:hint="eastAsia"/>
        </w:rPr>
        <w:t xml:space="preserve">哥伦比亚全球能源政策中心(Erica</w:t>
      </w:r>
      <w:r>
        <w:t xml:space="preserve"> Downs)· </w:t>
      </w:r>
      <w:r>
        <w:rPr>
          <w:rFonts w:hint="eastAsia"/>
        </w:rPr>
        <w:t xml:space="preserve">战略与国际研究中心(Mark</w:t>
      </w:r>
      <w:r>
        <w:t xml:space="preserve"> Cancian、Chris Park)· </w:t>
      </w:r>
      <w:r>
        <w:rPr>
          <w:rFonts w:hint="eastAsia"/>
        </w:rPr>
        <w:t xml:space="preserve">兰德公司(Raphael</w:t>
      </w:r>
      <w:r>
        <w:t xml:space="preserve"> Cohen)· </w:t>
      </w:r>
      <w:r>
        <w:rPr>
          <w:rFonts w:hint="eastAsia"/>
        </w:rPr>
        <w:t xml:space="preserve">捍卫民主基金会(Mark</w:t>
      </w:r>
      <w:r>
        <w:t xml:space="preserve"> Dubowitz)· </w:t>
      </w:r>
      <w:r>
        <w:rPr>
          <w:rFonts w:hint="eastAsia"/>
        </w:rPr>
        <w:t xml:space="preserve">劳合社市场协会及其首席执行官</w:t>
      </w:r>
      <w:r>
        <w:t xml:space="preserve"> John Neal · </w:t>
      </w:r>
      <w:r>
        <w:rPr>
          <w:rFonts w:hint="eastAsia"/>
        </w:rPr>
        <w:t xml:space="preserve">卡内基国际和平基金会(Sergey</w:t>
      </w:r>
      <w:r>
        <w:t xml:space="preserve"> Vakulenko)· </w:t>
      </w:r>
      <w:r>
        <w:rPr>
          <w:rFonts w:hint="eastAsia"/>
        </w:rPr>
        <w:t xml:space="preserve">世界银行《大宗商品市场展望》·</w:t>
      </w:r>
      <w:r>
        <w:t xml:space="preserve"> </w:t>
      </w:r>
      <w:r>
        <w:rPr>
          <w:rFonts w:hint="eastAsia"/>
        </w:rPr>
        <w:t xml:space="preserve">IMF《世界经济展望》·</w:t>
      </w:r>
      <w:r>
        <w:t xml:space="preserve"> </w:t>
      </w:r>
      <w:r>
        <w:rPr>
          <w:rFonts w:hint="eastAsia"/>
        </w:rPr>
        <w:t xml:space="preserve">国际能源署</w:t>
      </w:r>
      <w:r>
        <w:t xml:space="preserve"> · </w:t>
      </w:r>
      <w:r>
        <w:rPr>
          <w:rFonts w:hint="eastAsia"/>
        </w:rPr>
        <w:t xml:space="preserve">美国能源信息署</w:t>
      </w:r>
      <w:r>
        <w:t xml:space="preserve"> · Vortexa · </w:t>
      </w:r>
      <w:r>
        <w:rPr>
          <w:rFonts w:hint="eastAsia"/>
        </w:rPr>
        <w:t xml:space="preserve">基辅经济学院</w:t>
      </w:r>
      <w:r>
        <w:t xml:space="preserve"> · </w:t>
      </w:r>
      <w:r>
        <w:rPr>
          <w:rFonts w:hint="eastAsia"/>
        </w:rPr>
        <w:t xml:space="preserve">大西洋理事会地缘经济中心。</w:t>
      </w:r>
    </w:p>
    <w:p>
      <w:pPr>
        <w:pStyle w:val="BodyText"/>
      </w:pPr>
      <w:r>
        <w:rPr>
          <w:rFonts w:hint="eastAsia"/>
          <w:i/>
          <w:iCs/>
        </w:rPr>
        <w:t xml:space="preserve">本报告为概率与机制分析,非确定性预测。</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2026-06-02T10:32:38Z</dcterms:created>
  <dcterms:modified xsi:type="dcterms:W3CDTF">2026-06-02T10:32:38Z</dcterms:modified>
</cp:coreProperties>
</file>

<file path=docProps/custom.xml><?xml version="1.0" encoding="utf-8"?>
<Properties xmlns="http://schemas.openxmlformats.org/officeDocument/2006/custom-properties" xmlns:vt="http://schemas.openxmlformats.org/officeDocument/2006/docPropsVTypes"/>
</file>