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6.png" ContentType="image/png"/>
  <Override PartName="/word/media/rId1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伊朗政权的四种前景"/>
    <w:p>
      <w:pPr>
        <w:pStyle w:val="Heading1"/>
      </w:pPr>
      <w:r>
        <w:rPr>
          <w:rFonts w:hint="eastAsia"/>
        </w:rPr>
        <w:t xml:space="preserve">伊朗政权的四种前景</w:t>
      </w:r>
    </w:p>
    <w:p>
      <w:pPr>
        <w:pStyle w:val="FirstParagraph"/>
      </w:pPr>
      <w:r>
        <w:rPr>
          <w:rFonts w:hint="eastAsia"/>
          <w:b/>
          <w:bCs/>
        </w:rPr>
        <w:t xml:space="preserve">基准日期：2026年6月2日</w:t>
      </w:r>
    </w:p>
    <w:p>
      <w:pPr>
        <w:pStyle w:val="BodyText"/>
      </w:pPr>
      <w:r>
        <w:rPr>
          <w:rFonts w:hint="eastAsia"/>
          <w:i/>
          <w:iCs/>
        </w:rPr>
        <w:t xml:space="preserve">本报告独立成文，面向大学毕业生读者。全文区分【已发生的事实】与【基于机制的推断】。具名分析师来源均附超链接。所有数字口径与边界已在正文或注释中说明。</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2025–2026年的两次军事打击，在伊朗历史上首次同时实现三件事：斩首最高领袖、大规模摧毁IRGC（伊斯兰革命卫队，伊朗政权的核心武装力量）军事存量、造成经济结构性崩溃。在此之前，这台政权机器在46年里扛过了两伊战争、经济崩溃、绿色运动等多次重大危机，并且每次危机之后都变得更强。</w:t>
      </w:r>
    </w:p>
    <w:p>
      <w:pPr>
        <w:pStyle w:val="BodyText"/>
      </w:pPr>
      <w:r>
        <w:rPr>
          <w:rFonts w:hint="eastAsia"/>
        </w:rPr>
        <w:t xml:space="preserve">这份记录决定了本报告的底层逻辑：</w:t>
      </w:r>
      <w:r>
        <w:rPr>
          <w:rFonts w:hint="eastAsia"/>
          <w:b/>
          <w:bCs/>
        </w:rPr>
        <w:t xml:space="preserve">历史韧性给”维持”路径一个很高的先天概率，但2026年的结构性打击把这个概率从70%往下拉了20–30个百分点</w:t>
      </w:r>
      <w:r>
        <w:t xml:space="preserve">。</w:t>
      </w:r>
    </w:p>
    <w:p>
      <w:pPr>
        <w:pStyle w:val="BodyText"/>
      </w:pPr>
      <w:r>
        <w:rPr>
          <w:rFonts w:hint="eastAsia"/>
        </w:rPr>
        <w:t xml:space="preserve">本报告给出的四种前景是：军事停火加政权维持（40–45%）、IRGC军政府化（10–15%）、缓慢侵蚀崩塌（12–15%）、快速瓦解加内战（8–12%）。没有任何单一前景构成压倒性多数，这本身就是当前局势不确定性的如实反映。</w:t>
      </w:r>
    </w:p>
    <w:p>
      <w:pPr>
        <w:pStyle w:val="BodyText"/>
      </w:pPr>
      <w:r>
        <w:rPr>
          <w:rFonts w:hint="eastAsia"/>
          <w:b/>
          <w:bCs/>
        </w:rPr>
        <w:t xml:space="preserve">关于概率汇总的说明</w:t>
      </w:r>
      <w:r>
        <w:rPr>
          <w:rFonts w:hint="eastAsia"/>
        </w:rPr>
        <w:t xml:space="preserve">：四情景中值合计83.5%，加混合/其他5%为88.5%。余下约16.5%为模型不确定性——即本框架无法捕捉的情景（例如：外部军事再升级打断所有现有路径、核材料扩散触发国际联合干预等）。这不是计算错误，而是诚实承认任何情景框架都有穷举边界。</w:t>
      </w:r>
    </w:p>
    <w:p>
      <w:r>
        <w:pict>
          <v:rect style="width:0;height:1.5pt" o:hralign="center" o:hrstd="t" o:hr="t"/>
        </w:pict>
      </w:r>
    </w:p>
    <w:bookmarkEnd w:id="9"/>
    <w:bookmarkStart w:id="11" w:name="一讨论的是什么政权机器不是政治体制"/>
    <w:p>
      <w:pPr>
        <w:pStyle w:val="Heading2"/>
      </w:pPr>
      <w:r>
        <w:rPr>
          <w:rFonts w:hint="eastAsia"/>
        </w:rPr>
        <w:t xml:space="preserve">一、讨论的是什么：政权机器，不是政治体制</w:t>
      </w:r>
    </w:p>
    <w:p>
      <w:pPr>
        <w:pStyle w:val="FirstParagraph"/>
      </w:pPr>
      <w:r>
        <w:rPr>
          <w:rFonts w:hint="eastAsia"/>
        </w:rPr>
        <w:t xml:space="preserve">在进入四种前景之前，有两个背景概念需要先说清楚。</w:t>
      </w:r>
    </w:p>
    <w:p>
      <w:pPr>
        <w:pStyle w:val="BodyText"/>
      </w:pPr>
      <w:r>
        <w:rPr>
          <w:rFonts w:hint="eastAsia"/>
          <w:b/>
          <w:bCs/>
        </w:rPr>
        <w:t xml:space="preserve">理解伊朗政权的宪政基础：Velayat-e</w:t>
      </w:r>
      <w:r>
        <w:rPr>
          <w:b/>
          <w:bCs/>
        </w:rPr>
        <w:t xml:space="preserve"> </w:t>
      </w:r>
      <w:r>
        <w:rPr>
          <w:rFonts w:hint="eastAsia"/>
          <w:b/>
          <w:bCs/>
        </w:rPr>
        <w:t xml:space="preserve">Faqih（伊斯兰法学家监护制）</w:t>
      </w:r>
    </w:p>
    <w:p>
      <w:pPr>
        <w:pStyle w:val="BodyText"/>
      </w:pPr>
      <w:r>
        <w:rPr>
          <w:rFonts w:hint="eastAsia"/>
        </w:rPr>
        <w:t xml:space="preserve">伊朗的整个政权架构建立在一个神学原则之上：有资格的伊斯兰法学家（Faqih）有权代表隐遁的第十二伊玛目治理穆斯林社会。这一原则由霍梅尼在1979年革命后写入宪法，是伊朗区别于所有其他威权政权的根本特征。它意味着：最高领袖的权威不仅来自政治权力，还来自宗教资格——他必须被认定为具备足够学识的法学家（Marja级别），才能行使Velayat-e</w:t>
      </w:r>
      <w:r>
        <w:t xml:space="preserve"> </w:t>
      </w:r>
      <w:r>
        <w:rPr>
          <w:rFonts w:hint="eastAsia"/>
        </w:rPr>
        <w:t xml:space="preserve">Faqih赋予的权力。</w:t>
      </w:r>
    </w:p>
    <w:p>
      <w:pPr>
        <w:pStyle w:val="BodyText"/>
      </w:pPr>
      <w:r>
        <w:rPr>
          <w:rFonts w:hint="eastAsia"/>
        </w:rPr>
        <w:t xml:space="preserve">这就是为什么Mojtaba的继位问题不仅是”谁接班”的权力斗争，而是整个政权合法性基础的危机：如果接任者不具备宗教资格，或者没有获得什叶派Marja阶序的承认，那么Velayat-e</w:t>
      </w:r>
      <w:r>
        <w:t xml:space="preserve"> </w:t>
      </w:r>
      <w:r>
        <w:rPr>
          <w:rFonts w:hint="eastAsia"/>
        </w:rPr>
        <w:t xml:space="preserve">Faqih这套宪政逻辑就会出现根本性的断裂。</w:t>
      </w:r>
    </w:p>
    <w:p>
      <w:pPr>
        <w:pStyle w:val="BodyText"/>
      </w:pPr>
      <w:r>
        <w:rPr>
          <w:rFonts w:hint="eastAsia"/>
          <w:b/>
          <w:bCs/>
        </w:rPr>
        <w:t xml:space="preserve">这份报告讨论的</w:t>
      </w:r>
      <w:r>
        <w:rPr>
          <w:rFonts w:hint="eastAsia"/>
        </w:rPr>
        <w:t xml:space="preserve">不是”伊朗会不会成为民主国家”，而是一台具体的政权机器在外部军事打击和内部合法性危机双重压力下的存续可能。这台机器有四个结构性支撑：</w:t>
      </w:r>
    </w:p>
    <w:p>
      <w:pPr>
        <w:pStyle w:val="BodyText"/>
      </w:pPr>
      <w:r>
        <w:rPr>
          <w:rFonts w:hint="eastAsia"/>
          <w:b/>
          <w:bCs/>
        </w:rPr>
        <w:t xml:space="preserve">第一层：伊斯兰革命卫队（IRGC）</w:t>
      </w:r>
      <w:r>
        <w:rPr>
          <w:rFonts w:hint="eastAsia"/>
        </w:rPr>
        <w:t xml:space="preserve">。IRGC下辖五个军种（陆军、海军、空天部队、对外特种作战的圣城旅Quds</w:t>
      </w:r>
      <w:r>
        <w:t xml:space="preserve"> </w:t>
      </w:r>
      <w:r>
        <w:rPr>
          <w:rFonts w:hint="eastAsia"/>
        </w:rPr>
        <w:t xml:space="preserve">Force、内部镇压力量Basij民兵），加17个省级军团。其商业帝国——以Khatam</w:t>
      </w:r>
      <w:r>
        <w:t xml:space="preserve"> </w:t>
      </w:r>
      <w:r>
        <w:rPr>
          <w:rFonts w:hint="eastAsia"/>
        </w:rPr>
        <w:t xml:space="preserve">al-Anbiya（伊朗革命卫队旗下的建设工程集团，控制大量政府基础设施合同）建设总部为核心——</w:t>
      </w:r>
      <w:hyperlink r:id="rId10">
        <w:r>
          <w:rPr>
            <w:rStyle w:val="Hyperlink"/>
          </w:rPr>
          <w:t xml:space="preserve">FPRI Golkar 2025-10</w:t>
        </w:r>
      </w:hyperlink>
      <w:r>
        <w:rPr>
          <w:rFonts w:hint="eastAsia"/>
        </w:rPr>
        <w:t xml:space="preserve">给出了两个层次的估算：IRGC直接控股约15–20%的GDP；如将外包合同、关联企业及供应链纳入计算，上限可达50%以上。两个数字口径不同，分析时需指定使用哪个层次。</w:t>
      </w:r>
    </w:p>
    <w:p>
      <w:pPr>
        <w:pStyle w:val="BodyText"/>
      </w:pPr>
      <w:r>
        <w:rPr>
          <w:rFonts w:hint="eastAsia"/>
          <w:b/>
          <w:bCs/>
        </w:rPr>
        <w:t xml:space="preserve">第二层：最高领袖办公室（Beit</w:t>
      </w:r>
      <w:r>
        <w:rPr>
          <w:b/>
          <w:bCs/>
        </w:rPr>
        <w:t xml:space="preserve"> </w:t>
      </w:r>
      <w:r>
        <w:rPr>
          <w:rFonts w:hint="eastAsia"/>
          <w:b/>
          <w:bCs/>
        </w:rPr>
        <w:t xml:space="preserve">Rahbari，即”领袖之家”）</w:t>
      </w:r>
      <w:r>
        <w:rPr>
          <w:rFonts w:hint="eastAsia"/>
        </w:rPr>
        <w:t xml:space="preserve">，决定国家战略方向。</w:t>
      </w:r>
    </w:p>
    <w:p>
      <w:pPr>
        <w:pStyle w:val="BodyText"/>
      </w:pPr>
      <w:r>
        <w:rPr>
          <w:rFonts w:hint="eastAsia"/>
          <w:b/>
          <w:bCs/>
        </w:rPr>
        <w:t xml:space="preserve">第三层：专家会议（Assembly</w:t>
      </w:r>
      <w:r>
        <w:rPr>
          <w:b/>
          <w:bCs/>
        </w:rPr>
        <w:t xml:space="preserve"> of </w:t>
      </w:r>
      <w:r>
        <w:rPr>
          <w:rFonts w:hint="eastAsia"/>
          <w:b/>
          <w:bCs/>
        </w:rPr>
        <w:t xml:space="preserve">Experts）</w:t>
      </w:r>
      <w:r>
        <w:rPr>
          <w:rFonts w:hint="eastAsia"/>
        </w:rPr>
        <w:t xml:space="preserve">，88席神职人员，依宪法第107条有权任命和罢免最高领袖。</w:t>
      </w:r>
    </w:p>
    <w:p>
      <w:pPr>
        <w:pStyle w:val="BodyText"/>
      </w:pPr>
      <w:r>
        <w:rPr>
          <w:rFonts w:hint="eastAsia"/>
          <w:b/>
          <w:bCs/>
        </w:rPr>
        <w:t xml:space="preserve">第四层：Marja-e</w:t>
      </w:r>
      <w:r>
        <w:rPr>
          <w:b/>
          <w:bCs/>
        </w:rPr>
        <w:t xml:space="preserve"> </w:t>
      </w:r>
      <w:r>
        <w:rPr>
          <w:rFonts w:hint="eastAsia"/>
          <w:b/>
          <w:bCs/>
        </w:rPr>
        <w:t xml:space="preserve">Taqlid阶序</w:t>
      </w:r>
      <w:r>
        <w:rPr>
          <w:rFonts w:hint="eastAsia"/>
        </w:rPr>
        <w:t xml:space="preserve">（什叶派最高宗教权威）。Marja在字面上意为”效法源泉”——什叶派信徒通过追随某位Marja的法律裁决来履行宗教义务，这赋予顶级Marja极强的道德权威。目前活跃的最高阶Marja包括Ali</w:t>
      </w:r>
      <w:r>
        <w:t xml:space="preserve"> </w:t>
      </w:r>
      <w:r>
        <w:rPr>
          <w:rFonts w:hint="eastAsia"/>
        </w:rPr>
        <w:t xml:space="preserve">Sistani（驻伊拉克纳杰夫，约95岁）、Naser</w:t>
      </w:r>
      <w:r>
        <w:t xml:space="preserve"> Makarem </w:t>
      </w:r>
      <w:r>
        <w:rPr>
          <w:rFonts w:hint="eastAsia"/>
        </w:rPr>
        <w:t xml:space="preserve">Shirazi（驻伊朗库姆，约98岁）等约8位。Sistani虽在伊拉克境内，但在伊朗国内同样拥有数百万追随者；历史上伊朗的政治合法性危机往往以Sistani的沉默或表态作为晴雨表——他的沉默通常被解读为默许，他的反对则会显著削弱德黑兰的宗教权威。任何继任最高领袖若缺乏这一阶序的承认，其Velayat-e</w:t>
      </w:r>
      <w:r>
        <w:t xml:space="preserve"> </w:t>
      </w:r>
      <w:r>
        <w:rPr>
          <w:rFonts w:hint="eastAsia"/>
        </w:rPr>
        <w:t xml:space="preserve">Faqih合法性将从根本上存疑。</w:t>
      </w:r>
    </w:p>
    <w:p>
      <w:r>
        <w:pict>
          <v:rect style="width:0;height:1.5pt" o:hralign="center" o:hrstd="t" o:hr="t"/>
        </w:pict>
      </w:r>
    </w:p>
    <w:bookmarkEnd w:id="11"/>
    <w:bookmarkStart w:id="18" w:name="二2026年之前一台经过验证的韧性机器"/>
    <w:p>
      <w:pPr>
        <w:pStyle w:val="Heading2"/>
      </w:pPr>
      <w:r>
        <w:rPr>
          <w:rFonts w:hint="eastAsia"/>
        </w:rPr>
        <w:t xml:space="preserve">二、2026年之前：一台经过验证的韧性机器</w:t>
      </w:r>
    </w:p>
    <w:bookmarkStart w:id="17" w:name="历史数据"/>
    <w:p>
      <w:pPr>
        <w:pStyle w:val="Heading3"/>
      </w:pPr>
      <w:r>
        <w:rPr>
          <w:rFonts w:hint="eastAsia"/>
        </w:rPr>
        <w:t xml:space="preserve">历史数据</w:t>
      </w:r>
    </w:p>
    <w:p>
      <w:pPr>
        <w:pStyle w:val="FirstParagraph"/>
      </w:pPr>
      <w:r>
        <w:rPr>
          <w:rFonts w:hint="eastAsia"/>
          <w:b/>
          <w:bCs/>
        </w:rPr>
        <w:t xml:space="preserve">【事实】</w:t>
      </w:r>
      <w:r>
        <w:t xml:space="preserve"> </w:t>
      </w:r>
      <w:r>
        <w:rPr>
          <w:rFonts w:hint="eastAsia"/>
        </w:rPr>
        <w:t xml:space="preserve">1979年伊斯兰革命以来，这台政权机器经历了三次足以摧毁多数政权的重大危机，三次都扛过去了：</w:t>
      </w:r>
    </w:p>
    <w:tbl>
      <w:tblPr>
        <w:tblStyle w:val="Table"/>
        <w:tblW w:type="pct" w:w="5000"/>
        <w:tblLayout w:type="fixed"/>
        <w:tblLook w:firstRow="1" w:lastRow="0" w:firstColumn="0" w:lastColumn="0" w:noHBand="0" w:noVBand="0" w:val="0020"/>
      </w:tblPr>
      <w:tblGrid>
        <w:gridCol w:w="1697"/>
        <w:gridCol w:w="1131"/>
        <w:gridCol w:w="1697"/>
        <w:gridCol w:w="1697"/>
        <w:gridCol w:w="1697"/>
      </w:tblGrid>
      <w:tr>
        <w:trPr>
          <w:tblHeader w:val="on"/>
        </w:trPr>
        <w:tc>
          <w:tcPr/>
          <w:p>
            <w:pPr>
              <w:pStyle w:val="Compact"/>
            </w:pPr>
            <w:r>
              <w:rPr>
                <w:rFonts w:hint="eastAsia"/>
              </w:rPr>
              <w:t xml:space="preserve">危机事件</w:t>
            </w:r>
          </w:p>
        </w:tc>
        <w:tc>
          <w:tcPr/>
          <w:p>
            <w:pPr>
              <w:pStyle w:val="Compact"/>
            </w:pPr>
            <w:r>
              <w:rPr>
                <w:rFonts w:hint="eastAsia"/>
              </w:rPr>
              <w:t xml:space="preserve">时间</w:t>
            </w:r>
          </w:p>
        </w:tc>
        <w:tc>
          <w:tcPr/>
          <w:p>
            <w:pPr>
              <w:pStyle w:val="Compact"/>
            </w:pPr>
            <w:r>
              <w:rPr>
                <w:rFonts w:hint="eastAsia"/>
              </w:rPr>
              <w:t xml:space="preserve">人员损失</w:t>
            </w:r>
          </w:p>
        </w:tc>
        <w:tc>
          <w:tcPr/>
          <w:p>
            <w:pPr>
              <w:pStyle w:val="Compact"/>
            </w:pPr>
            <w:r>
              <w:rPr>
                <w:rFonts w:hint="eastAsia"/>
              </w:rPr>
              <w:t xml:space="preserve">经济损失</w:t>
            </w:r>
          </w:p>
        </w:tc>
        <w:tc>
          <w:tcPr/>
          <w:p>
            <w:pPr>
              <w:pStyle w:val="Compact"/>
            </w:pPr>
            <w:r>
              <w:rPr>
                <w:rFonts w:hint="eastAsia"/>
              </w:rPr>
              <w:t xml:space="preserve">政权结果</w:t>
            </w:r>
          </w:p>
        </w:tc>
      </w:tr>
      <w:tr>
        <w:tc>
          <w:tcPr/>
          <w:p>
            <w:pPr>
              <w:pStyle w:val="Compact"/>
            </w:pPr>
            <w:r>
              <w:rPr>
                <w:rFonts w:hint="eastAsia"/>
              </w:rPr>
              <w:t xml:space="preserve">两伊战争</w:t>
            </w:r>
          </w:p>
        </w:tc>
        <w:tc>
          <w:tcPr/>
          <w:p>
            <w:pPr>
              <w:pStyle w:val="Compact"/>
            </w:pPr>
            <w:r>
              <w:t xml:space="preserve">1980–1988</w:t>
            </w:r>
          </w:p>
        </w:tc>
        <w:tc>
          <w:tcPr/>
          <w:p>
            <w:pPr>
              <w:pStyle w:val="Compact"/>
            </w:pPr>
            <w:r>
              <w:rPr>
                <w:rFonts w:hint="eastAsia"/>
              </w:rPr>
              <w:t xml:space="preserve">约35万人死亡（约占当时人口1.5%）</w:t>
            </w:r>
          </w:p>
        </w:tc>
        <w:tc>
          <w:tcPr/>
          <w:p>
            <w:pPr>
              <w:pStyle w:val="Compact"/>
            </w:pPr>
            <w:r>
              <w:rPr>
                <w:rFonts w:hint="eastAsia"/>
              </w:rPr>
              <w:t xml:space="preserve">GDP损失约30–40%</w:t>
            </w:r>
          </w:p>
        </w:tc>
        <w:tc>
          <w:tcPr/>
          <w:p>
            <w:pPr>
              <w:pStyle w:val="Compact"/>
            </w:pPr>
            <w:r>
              <w:rPr>
                <w:rFonts w:hint="eastAsia"/>
              </w:rPr>
              <w:t xml:space="preserve">政权延续；IRGC规模扩大3倍</w:t>
            </w:r>
          </w:p>
        </w:tc>
      </w:tr>
      <w:tr>
        <w:tc>
          <w:tcPr/>
          <w:p>
            <w:pPr>
              <w:pStyle w:val="Compact"/>
            </w:pPr>
            <w:r>
              <w:rPr>
                <w:rFonts w:hint="eastAsia"/>
              </w:rPr>
              <w:t xml:space="preserve">1990年代经济危机</w:t>
            </w:r>
          </w:p>
        </w:tc>
        <w:tc>
          <w:tcPr/>
          <w:p>
            <w:pPr>
              <w:pStyle w:val="Compact"/>
            </w:pPr>
            <w:r>
              <w:t xml:space="preserve">1997–2005</w:t>
            </w:r>
          </w:p>
        </w:tc>
        <w:tc>
          <w:tcPr/>
          <w:p>
            <w:pPr>
              <w:pStyle w:val="Compact"/>
            </w:pPr>
            <w:r>
              <w:rPr>
                <w:rFonts w:hint="eastAsia"/>
              </w:rPr>
              <w:t xml:space="preserve">可忽略</w:t>
            </w:r>
          </w:p>
        </w:tc>
        <w:tc>
          <w:tcPr/>
          <w:p>
            <w:pPr>
              <w:pStyle w:val="Compact"/>
            </w:pPr>
            <w:r>
              <w:rPr>
                <w:rFonts w:hint="eastAsia"/>
              </w:rPr>
              <w:t xml:space="preserve">rial五年内贬值约60%</w:t>
            </w:r>
          </w:p>
        </w:tc>
        <w:tc>
          <w:tcPr/>
          <w:p>
            <w:pPr>
              <w:pStyle w:val="Compact"/>
            </w:pPr>
            <w:r>
              <w:rPr>
                <w:rFonts w:hint="eastAsia"/>
              </w:rPr>
              <w:t xml:space="preserve">政权延续；IRGC进入商业领域</w:t>
            </w:r>
          </w:p>
        </w:tc>
      </w:tr>
      <w:tr>
        <w:tc>
          <w:tcPr/>
          <w:p>
            <w:pPr>
              <w:pStyle w:val="Compact"/>
            </w:pPr>
            <w:r>
              <w:rPr>
                <w:rFonts w:hint="eastAsia"/>
              </w:rPr>
              <w:t xml:space="preserve">2009绿色运动</w:t>
            </w:r>
          </w:p>
        </w:tc>
        <w:tc>
          <w:tcPr/>
          <w:p>
            <w:pPr>
              <w:pStyle w:val="Compact"/>
            </w:pPr>
            <w:r>
              <w:t xml:space="preserve">2009</w:t>
            </w:r>
          </w:p>
        </w:tc>
        <w:tc>
          <w:tcPr/>
          <w:p>
            <w:pPr>
              <w:pStyle w:val="Compact"/>
            </w:pPr>
            <w:r>
              <w:rPr>
                <w:rFonts w:hint="eastAsia"/>
              </w:rPr>
              <w:t xml:space="preserve">抗议死亡超200人</w:t>
            </w:r>
          </w:p>
        </w:tc>
        <w:tc>
          <w:tcPr/>
          <w:p>
            <w:pPr>
              <w:pStyle w:val="Compact"/>
            </w:pPr>
            <w:r>
              <w:rPr>
                <w:rFonts w:hint="eastAsia"/>
              </w:rPr>
              <w:t xml:space="preserve">可忽略</w:t>
            </w:r>
          </w:p>
        </w:tc>
        <w:tc>
          <w:tcPr/>
          <w:p>
            <w:pPr>
              <w:pStyle w:val="Compact"/>
            </w:pPr>
            <w:r>
              <w:rPr>
                <w:rFonts w:hint="eastAsia"/>
              </w:rPr>
              <w:t xml:space="preserve">政权延续；IRGC接管安全部门</w:t>
            </w:r>
          </w:p>
        </w:tc>
      </w:tr>
    </w:tbl>
    <w:p>
      <w:pPr>
        <w:pStyle w:val="BodyText"/>
      </w:pPr>
      <w:r>
        <w:rPr>
          <w:rFonts w:hint="eastAsia"/>
          <w:i/>
          <w:iCs/>
        </w:rPr>
        <w:t xml:space="preserve">注：约35万为伊朗一侧战死估算（</w:t>
      </w:r>
      <w:hyperlink r:id="rId12">
        <w:r>
          <w:rPr>
            <w:rStyle w:val="Hyperlink"/>
            <w:i/>
            <w:iCs/>
          </w:rPr>
          <w:t xml:space="preserve">CFR Background</w:t>
        </w:r>
      </w:hyperlink>
      <w:r>
        <w:rPr>
          <w:rFonts w:hint="eastAsia"/>
          <w:i/>
          <w:iCs/>
        </w:rPr>
        <w:t xml:space="preserve">）。两侧合计、包含平民死亡的总损失估算为50–100万（另见MERIP、战略与国际研究中心等来源）；100–150万为非同行评审的高端估算。本报告仅引用伊朗单侧数字用于比较政权韧性，不代表战争总体规模。</w:t>
      </w:r>
    </w:p>
    <w:p>
      <w:pPr>
        <w:pStyle w:val="CaptionedFigure"/>
      </w:pPr>
      <w:r>
        <w:drawing>
          <wp:inline>
            <wp:extent cx="5334000" cy="2647868"/>
            <wp:effectExtent b="0" l="0" r="0" t="0"/>
            <wp:docPr descr="图3：政权韧性史对比 1980–2026" title="" id="14" name="Picture"/>
            <a:graphic>
              <a:graphicData uri="http://schemas.openxmlformats.org/drawingml/2006/picture">
                <pic:pic>
                  <pic:nvPicPr>
                    <pic:cNvPr descr="assets/fig02_3.png" id="15" name="Picture"/>
                    <pic:cNvPicPr>
                      <a:picLocks noChangeArrowheads="1" noChangeAspect="1"/>
                    </pic:cNvPicPr>
                  </pic:nvPicPr>
                  <pic:blipFill>
                    <a:blip r:embed="rId13"/>
                    <a:stretch>
                      <a:fillRect/>
                    </a:stretch>
                  </pic:blipFill>
                  <pic:spPr bwMode="auto">
                    <a:xfrm>
                      <a:off x="0" y="0"/>
                      <a:ext cx="5334000" cy="2647868"/>
                    </a:xfrm>
                    <a:prstGeom prst="rect">
                      <a:avLst/>
                    </a:prstGeom>
                    <a:noFill/>
                    <a:ln w="9525">
                      <a:noFill/>
                      <a:headEnd/>
                      <a:tailEnd/>
                    </a:ln>
                  </pic:spPr>
                </pic:pic>
              </a:graphicData>
            </a:graphic>
          </wp:inline>
        </w:drawing>
      </w:r>
    </w:p>
    <w:p>
      <w:pPr>
        <w:pStyle w:val="ImageCaption"/>
      </w:pPr>
      <w:r>
        <w:rPr>
          <w:rFonts w:hint="eastAsia"/>
        </w:rPr>
        <w:t xml:space="preserve">图3：政权韧性史对比</w:t>
      </w:r>
      <w:r>
        <w:t xml:space="preserve"> 1980–2026</w:t>
      </w:r>
    </w:p>
    <w:p>
      <w:pPr>
        <w:pStyle w:val="BodyText"/>
      </w:pPr>
      <w:r>
        <w:rPr>
          <w:rFonts w:hint="eastAsia"/>
          <w:b/>
          <w:bCs/>
        </w:rPr>
        <w:t xml:space="preserve">【推断】</w:t>
      </w:r>
      <w:r>
        <w:t xml:space="preserve"> </w:t>
      </w:r>
      <w:r>
        <w:rPr>
          <w:rFonts w:hint="eastAsia"/>
        </w:rPr>
        <w:t xml:space="preserve">每次危机的核心机制相同：IRGC把外部威胁转化为内部动员资源，并借此强化自身。两伊战争结束时，IRGC从临时卫队扩张为正规军；1990年代危机中，Khatam</w:t>
      </w:r>
      <w:r>
        <w:t xml:space="preserve"> </w:t>
      </w:r>
      <w:r>
        <w:rPr>
          <w:rFonts w:hint="eastAsia"/>
        </w:rPr>
        <w:t xml:space="preserve">al-Anbiya从工程兵单位演变为商业帝国；2009年绿色运动后，IRGC完全接管内政情报和边境管理。</w:t>
      </w:r>
    </w:p>
    <w:p>
      <w:pPr>
        <w:pStyle w:val="BodyText"/>
      </w:pPr>
      <w:hyperlink r:id="rId10">
        <w:r>
          <w:rPr>
            <w:rStyle w:val="Hyperlink"/>
            <w:rFonts w:hint="eastAsia"/>
          </w:rPr>
          <w:t xml:space="preserve">FPRI的Saeid</w:t>
        </w:r>
        <w:r>
          <w:rPr>
            <w:rStyle w:val="Hyperlink"/>
          </w:rPr>
          <w:t xml:space="preserve"> </w:t>
        </w:r>
        <w:r>
          <w:rPr>
            <w:rStyle w:val="Hyperlink"/>
            <w:rFonts w:hint="eastAsia"/>
          </w:rPr>
          <w:t xml:space="preserve">Golkar在2025年10月的23000字长文</w:t>
        </w:r>
      </w:hyperlink>
      <w:r>
        <w:rPr>
          <w:rFonts w:hint="eastAsia"/>
        </w:rPr>
        <w:t xml:space="preserve">中，把这种韧性定性为”adaptive</w:t>
      </w:r>
      <w:r>
        <w:t xml:space="preserve"> </w:t>
      </w:r>
      <w:r>
        <w:rPr>
          <w:rFonts w:hint="eastAsia"/>
        </w:rPr>
        <w:t xml:space="preserve">authoritarianism”（适应性威权主义，指政权通过主动调整来应对冲击而非被动承压的机制）。2026年他在</w:t>
      </w:r>
      <w:hyperlink r:id="rId16">
        <w:r>
          <w:rPr>
            <w:rStyle w:val="Hyperlink"/>
            <w:rFonts w:hint="eastAsia"/>
          </w:rPr>
          <w:t xml:space="preserve">Wiley政治学期刊上的同行评审论文</w:t>
        </w:r>
      </w:hyperlink>
      <w:r>
        <w:rPr>
          <w:rFonts w:hint="eastAsia"/>
        </w:rPr>
        <w:t xml:space="preserve">进一步指出，IRGC的省级去中心化是这种适应性的结构基础。</w:t>
      </w:r>
    </w:p>
    <w:p>
      <w:pPr>
        <w:pStyle w:val="BodyText"/>
      </w:pPr>
      <w:r>
        <w:rPr>
          <w:rFonts w:hint="eastAsia"/>
          <w:b/>
          <w:bCs/>
        </w:rPr>
        <w:t xml:space="preserve">【关于历史基率的选择性偏差说明】</w:t>
      </w:r>
      <w:r>
        <w:t xml:space="preserve"> </w:t>
      </w:r>
      <w:r>
        <w:rPr>
          <w:rFonts w:hint="eastAsia"/>
        </w:rPr>
        <w:t xml:space="preserve">上表只列出了伊朗政权”扛过去了”的案例。如果纳入结构相似的比较政权——波斯/阿拉伯威权政权在军事斩首加经济崩溃下的表现（如2011年利比亚、2003年伊拉克）——基率会显著下调。本报告选择单国历史基率的理由是：伊朗的具体机制（IRGC商业帝国深度嵌入经济、Velayat-e</w:t>
      </w:r>
      <w:r>
        <w:t xml:space="preserve"> </w:t>
      </w:r>
      <w:r>
        <w:rPr>
          <w:rFonts w:hint="eastAsia"/>
        </w:rPr>
        <w:t xml:space="preserve">Faqih的独特宪政结构、什叶派宗教合法性阶序）高度特殊，跨国比较引入的误差可能大于单国历史的存活者偏差。但读者应意识到这是一个方法论取舍，不是唯一正确的做法。</w:t>
      </w:r>
    </w:p>
    <w:p>
      <w:r>
        <w:pict>
          <v:rect style="width:0;height:1.5pt" o:hralign="center" o:hrstd="t" o:hr="t"/>
        </w:pict>
      </w:r>
    </w:p>
    <w:bookmarkEnd w:id="17"/>
    <w:bookmarkEnd w:id="18"/>
    <w:bookmarkStart w:id="24" w:name="三irgc指挥链20252026年的关键变动"/>
    <w:p>
      <w:pPr>
        <w:pStyle w:val="Heading2"/>
      </w:pPr>
      <w:r>
        <w:rPr>
          <w:rFonts w:hint="eastAsia"/>
        </w:rPr>
        <w:t xml:space="preserve">三、IRGC指挥链：2025–2026年的关键变动</w:t>
      </w:r>
    </w:p>
    <w:p>
      <w:pPr>
        <w:pStyle w:val="FirstParagraph"/>
      </w:pPr>
      <w:r>
        <w:rPr>
          <w:rFonts w:hint="eastAsia"/>
        </w:rPr>
        <w:t xml:space="preserve">这是理解政权现状的最重要背景之一，也是旧版报告中包含严重事实错误的地方。</w:t>
      </w:r>
    </w:p>
    <w:p>
      <w:pPr>
        <w:pStyle w:val="BodyText"/>
      </w:pPr>
      <w:r>
        <w:rPr>
          <w:rFonts w:hint="eastAsia"/>
          <w:b/>
          <w:bCs/>
        </w:rPr>
        <w:t xml:space="preserve">【事实，全部来自已核实来源】</w:t>
      </w:r>
    </w:p>
    <w:p>
      <w:pPr>
        <w:pStyle w:val="CaptionedFigure"/>
      </w:pPr>
      <w:r>
        <w:drawing>
          <wp:inline>
            <wp:extent cx="5334000" cy="2467720"/>
            <wp:effectExtent b="0" l="0" r="0" t="0"/>
            <wp:docPr descr="图1：IRGC指挥链时间轴 2025–2026" title="" id="20" name="Picture"/>
            <a:graphic>
              <a:graphicData uri="http://schemas.openxmlformats.org/drawingml/2006/picture">
                <pic:pic>
                  <pic:nvPicPr>
                    <pic:cNvPr descr="assets/fig02_1.png" id="21" name="Picture"/>
                    <pic:cNvPicPr>
                      <a:picLocks noChangeArrowheads="1" noChangeAspect="1"/>
                    </pic:cNvPicPr>
                  </pic:nvPicPr>
                  <pic:blipFill>
                    <a:blip r:embed="rId19"/>
                    <a:stretch>
                      <a:fillRect/>
                    </a:stretch>
                  </pic:blipFill>
                  <pic:spPr bwMode="auto">
                    <a:xfrm>
                      <a:off x="0" y="0"/>
                      <a:ext cx="5334000" cy="2467720"/>
                    </a:xfrm>
                    <a:prstGeom prst="rect">
                      <a:avLst/>
                    </a:prstGeom>
                    <a:noFill/>
                    <a:ln w="9525">
                      <a:noFill/>
                      <a:headEnd/>
                      <a:tailEnd/>
                    </a:ln>
                  </pic:spPr>
                </pic:pic>
              </a:graphicData>
            </a:graphic>
          </wp:inline>
        </w:drawing>
      </w:r>
    </w:p>
    <w:p>
      <w:pPr>
        <w:pStyle w:val="ImageCaption"/>
      </w:pPr>
      <w:r>
        <w:rPr>
          <w:rFonts w:hint="eastAsia"/>
        </w:rPr>
        <w:t xml:space="preserve">图1：IRGC指挥链时间轴</w:t>
      </w:r>
      <w:r>
        <w:t xml:space="preserve"> 2025–2026</w:t>
      </w:r>
    </w:p>
    <w:p>
      <w:pPr>
        <w:pStyle w:val="Compact"/>
        <w:numPr>
          <w:ilvl w:val="0"/>
          <w:numId w:val="1001"/>
        </w:numPr>
      </w:pPr>
      <w:r>
        <w:rPr>
          <w:rFonts w:hint="eastAsia"/>
          <w:b/>
          <w:bCs/>
        </w:rPr>
        <w:t xml:space="preserve">2025年6月13日</w:t>
      </w:r>
      <w:r>
        <w:rPr>
          <w:rFonts w:hint="eastAsia"/>
        </w:rPr>
        <w:t xml:space="preserve">：IRGC总司令Hossein</w:t>
      </w:r>
      <w:r>
        <w:t xml:space="preserve"> </w:t>
      </w:r>
      <w:r>
        <w:rPr>
          <w:rFonts w:hint="eastAsia"/>
        </w:rPr>
        <w:t xml:space="preserve">Salami在Operation</w:t>
      </w:r>
      <w:r>
        <w:t xml:space="preserve"> Rising </w:t>
      </w:r>
      <w:r>
        <w:rPr>
          <w:rFonts w:hint="eastAsia"/>
        </w:rPr>
        <w:t xml:space="preserve">Lion中阵亡（</w:t>
      </w:r>
      <w:hyperlink r:id="rId22">
        <w:r>
          <w:rPr>
            <w:rStyle w:val="Hyperlink"/>
          </w:rPr>
          <w:t xml:space="preserve">UK Commons CBP-10637</w:t>
        </w:r>
      </w:hyperlink>
      <w:r>
        <w:rPr>
          <w:rFonts w:hint="eastAsia"/>
        </w:rPr>
        <w:t xml:space="preserve">）。</w:t>
      </w:r>
      <w:r>
        <w:rPr>
          <w:rFonts w:hint="eastAsia"/>
          <w:b/>
          <w:bCs/>
        </w:rPr>
        <w:t xml:space="preserve">本报告不再写”Salami领导IRGC”。</w:t>
      </w:r>
    </w:p>
    <w:p>
      <w:pPr>
        <w:pStyle w:val="Compact"/>
        <w:numPr>
          <w:ilvl w:val="0"/>
          <w:numId w:val="1001"/>
        </w:numPr>
      </w:pPr>
      <w:r>
        <w:rPr>
          <w:rFonts w:hint="eastAsia"/>
          <w:b/>
          <w:bCs/>
        </w:rPr>
        <w:t xml:space="preserve">2025年12月</w:t>
      </w:r>
      <w:r>
        <w:rPr>
          <w:rFonts w:hint="eastAsia"/>
        </w:rPr>
        <w:t xml:space="preserve">：Ahmad</w:t>
      </w:r>
      <w:r>
        <w:t xml:space="preserve"> </w:t>
      </w:r>
      <w:r>
        <w:rPr>
          <w:rFonts w:hint="eastAsia"/>
        </w:rPr>
        <w:t xml:space="preserve">Vahidi被任命为IRGC副总司令（据CBP-10637及多家媒体报道）。</w:t>
      </w:r>
      <w:r>
        <w:rPr>
          <w:rFonts w:hint="eastAsia"/>
          <w:i/>
          <w:iCs/>
        </w:rPr>
        <w:t xml:space="preserve">注：Vahidi此前是内政部长（2021–2025），本系文职政治任命，转任IRGC副总司令属于非常规路径，本身是政权进行文武整合的信号，并非标准军事晋升。</w:t>
      </w:r>
    </w:p>
    <w:p>
      <w:pPr>
        <w:pStyle w:val="Compact"/>
        <w:numPr>
          <w:ilvl w:val="0"/>
          <w:numId w:val="1001"/>
        </w:numPr>
      </w:pPr>
      <w:r>
        <w:rPr>
          <w:rFonts w:hint="eastAsia"/>
          <w:b/>
          <w:bCs/>
        </w:rPr>
        <w:t xml:space="preserve">2026年2月28日</w:t>
      </w:r>
      <w:r>
        <w:rPr>
          <w:rFonts w:hint="eastAsia"/>
        </w:rPr>
        <w:t xml:space="preserve">：Operation</w:t>
      </w:r>
      <w:r>
        <w:t xml:space="preserve"> Epic </w:t>
      </w:r>
      <w:r>
        <w:rPr>
          <w:rFonts w:hint="eastAsia"/>
        </w:rPr>
        <w:t xml:space="preserve">Fury中，最高领袖哈梅内伊（Khamenei）与IRGC指挥官Pakpour同日阵亡（</w:t>
      </w:r>
      <w:hyperlink r:id="rId22">
        <w:r>
          <w:rPr>
            <w:rStyle w:val="Hyperlink"/>
          </w:rPr>
          <w:t xml:space="preserve">CBP-10637</w:t>
        </w:r>
      </w:hyperlink>
      <w:r>
        <w:rPr>
          <w:rFonts w:hint="eastAsia"/>
        </w:rPr>
        <w:t xml:space="preserve">）。</w:t>
      </w:r>
    </w:p>
    <w:p>
      <w:pPr>
        <w:pStyle w:val="Compact"/>
        <w:numPr>
          <w:ilvl w:val="0"/>
          <w:numId w:val="1001"/>
        </w:numPr>
      </w:pPr>
      <w:r>
        <w:rPr>
          <w:rFonts w:hint="eastAsia"/>
          <w:b/>
          <w:bCs/>
        </w:rPr>
        <w:t xml:space="preserve">2026年3月1日</w:t>
      </w:r>
      <w:r>
        <w:rPr>
          <w:rFonts w:hint="eastAsia"/>
        </w:rPr>
        <w:t xml:space="preserve">：Vahidi接任IRGC总司令。</w:t>
      </w:r>
    </w:p>
    <w:p>
      <w:pPr>
        <w:pStyle w:val="Compact"/>
        <w:numPr>
          <w:ilvl w:val="0"/>
          <w:numId w:val="1001"/>
        </w:numPr>
      </w:pPr>
      <w:r>
        <w:rPr>
          <w:rFonts w:hint="eastAsia"/>
          <w:b/>
          <w:bCs/>
        </w:rPr>
        <w:t xml:space="preserve">2026年3月9日</w:t>
      </w:r>
      <w:r>
        <w:rPr>
          <w:rFonts w:hint="eastAsia"/>
        </w:rPr>
        <w:t xml:space="preserve">：哈梅内伊之子Mojtaba由专家会议（Assembly</w:t>
      </w:r>
      <w:r>
        <w:t xml:space="preserve"> of </w:t>
      </w:r>
      <w:r>
        <w:rPr>
          <w:rFonts w:hint="eastAsia"/>
        </w:rPr>
        <w:t xml:space="preserve">Experts）选举为最高领袖（据CBP-10637确认；会议程序是否为完整88席表决或紧急特别会议，公开信息暂不明确）。据美国国家情报总监Tulsi</w:t>
      </w:r>
      <w:r>
        <w:t xml:space="preserve"> Gabbard </w:t>
      </w:r>
      <w:r>
        <w:rPr>
          <w:rFonts w:hint="eastAsia"/>
        </w:rPr>
        <w:t xml:space="preserve">2026年3月前后在参议院情报委员会的作证，Mojtaba受到”非常严重的伤害”（</w:t>
      </w:r>
      <w:r>
        <w:t xml:space="preserve">“very seriously injured”</w:t>
      </w:r>
      <w:r>
        <w:rPr>
          <w:rFonts w:hint="eastAsia"/>
        </w:rPr>
        <w:t xml:space="preserve">），实际履职能力存疑。</w:t>
      </w:r>
    </w:p>
    <w:p>
      <w:pPr>
        <w:pStyle w:val="Compact"/>
        <w:numPr>
          <w:ilvl w:val="0"/>
          <w:numId w:val="1001"/>
        </w:numPr>
      </w:pPr>
      <w:r>
        <w:rPr>
          <w:rFonts w:hint="eastAsia"/>
          <w:b/>
          <w:bCs/>
        </w:rPr>
        <w:t xml:space="preserve">2026年3月17日</w:t>
      </w:r>
      <w:r>
        <w:rPr>
          <w:rFonts w:hint="eastAsia"/>
        </w:rPr>
        <w:t xml:space="preserve">：前SNSC（伊朗最高国家安全委员会）主席Ali</w:t>
      </w:r>
      <w:r>
        <w:t xml:space="preserve"> </w:t>
      </w:r>
      <w:r>
        <w:rPr>
          <w:rFonts w:hint="eastAsia"/>
        </w:rPr>
        <w:t xml:space="preserve">Larijani在爆炸中遇袭身亡（发生于Mojtaba当选后第8天），国会议长Qalibaf开始代行最高权力。</w:t>
      </w:r>
    </w:p>
    <w:p>
      <w:pPr>
        <w:pStyle w:val="FirstParagraph"/>
      </w:pPr>
      <w:r>
        <w:rPr>
          <w:rFonts w:hint="eastAsia"/>
          <w:b/>
          <w:bCs/>
        </w:rPr>
        <w:t xml:space="preserve">【事实】</w:t>
      </w:r>
      <w:r>
        <w:t xml:space="preserve"> </w:t>
      </w:r>
      <w:hyperlink r:id="rId23">
        <w:r>
          <w:rPr>
            <w:rStyle w:val="Hyperlink"/>
          </w:rPr>
          <w:t xml:space="preserve">Soufan Center </w:t>
        </w:r>
        <w:r>
          <w:rPr>
            <w:rStyle w:val="Hyperlink"/>
            <w:rFonts w:hint="eastAsia"/>
          </w:rPr>
          <w:t xml:space="preserve">2026年3月26日报告</w:t>
        </w:r>
      </w:hyperlink>
      <w:r>
        <w:rPr>
          <w:rFonts w:hint="eastAsia"/>
        </w:rPr>
        <w:t xml:space="preserve">指出，当前实际权力核心是四人：</w:t>
      </w:r>
      <w:r>
        <w:rPr>
          <w:rFonts w:hint="eastAsia"/>
          <w:b/>
          <w:bCs/>
        </w:rPr>
        <w:t xml:space="preserve">Qalibaf（代行最高权力）+</w:t>
      </w:r>
      <w:r>
        <w:rPr>
          <w:b/>
          <w:bCs/>
        </w:rPr>
        <w:t xml:space="preserve"> </w:t>
      </w:r>
      <w:r>
        <w:rPr>
          <w:rFonts w:hint="eastAsia"/>
          <w:b/>
          <w:bCs/>
        </w:rPr>
        <w:t xml:space="preserve">Vahidi（IRGC总司令）+</w:t>
      </w:r>
      <w:r>
        <w:rPr>
          <w:b/>
          <w:bCs/>
        </w:rPr>
        <w:t xml:space="preserve"> Mohsen </w:t>
      </w:r>
      <w:r>
        <w:rPr>
          <w:rFonts w:hint="eastAsia"/>
          <w:b/>
          <w:bCs/>
        </w:rPr>
        <w:t xml:space="preserve">Reza’i（经济协调委员会）+</w:t>
      </w:r>
      <w:r>
        <w:rPr>
          <w:b/>
          <w:bCs/>
        </w:rPr>
        <w:t xml:space="preserve"> Mohammad Baqer </w:t>
      </w:r>
      <w:r>
        <w:rPr>
          <w:rFonts w:hint="eastAsia"/>
          <w:b/>
          <w:bCs/>
        </w:rPr>
        <w:t xml:space="preserve">Zolqadr（情报协调）</w:t>
      </w:r>
      <w:r>
        <w:t xml:space="preserve">。</w:t>
      </w:r>
    </w:p>
    <w:p>
      <w:pPr>
        <w:pStyle w:val="BodyText"/>
      </w:pPr>
      <w:r>
        <w:rPr>
          <w:rFonts w:hint="eastAsia"/>
        </w:rPr>
        <w:t xml:space="preserve">这一指挥链变动是1979年以来最大规模的领导层洗牌，也是理解所有四种前景的前提。</w:t>
      </w:r>
    </w:p>
    <w:p>
      <w:r>
        <w:pict>
          <v:rect style="width:0;height:1.5pt" o:hralign="center" o:hrstd="t" o:hr="t"/>
        </w:pict>
      </w:r>
    </w:p>
    <w:bookmarkEnd w:id="24"/>
    <w:bookmarkStart w:id="36" w:name="四2026年的结构性打击与历史的对比"/>
    <w:p>
      <w:pPr>
        <w:pStyle w:val="Heading2"/>
      </w:pPr>
      <w:r>
        <w:rPr>
          <w:rFonts w:hint="eastAsia"/>
        </w:rPr>
        <w:t xml:space="preserve">四、2026年的结构性打击：与历史的对比</w:t>
      </w:r>
    </w:p>
    <w:bookmarkStart w:id="32" w:name="军事损失"/>
    <w:p>
      <w:pPr>
        <w:pStyle w:val="Heading3"/>
      </w:pPr>
      <w:r>
        <w:rPr>
          <w:rFonts w:hint="eastAsia"/>
        </w:rPr>
        <w:t xml:space="preserve">军事损失</w:t>
      </w:r>
    </w:p>
    <w:p>
      <w:pPr>
        <w:pStyle w:val="FirstParagraph"/>
      </w:pPr>
      <w:r>
        <w:rPr>
          <w:rFonts w:hint="eastAsia"/>
          <w:b/>
          <w:bCs/>
        </w:rPr>
        <w:t xml:space="preserve">【事实，来源：</w:t>
      </w:r>
      <w:hyperlink r:id="rId25">
        <w:r>
          <w:rPr>
            <w:rStyle w:val="Hyperlink"/>
            <w:b/>
            <w:bCs/>
          </w:rPr>
          <w:t xml:space="preserve">RAND Raphael Cohen </w:t>
        </w:r>
        <w:r>
          <w:rPr>
            <w:rStyle w:val="Hyperlink"/>
            <w:rFonts w:hint="eastAsia"/>
            <w:b/>
            <w:bCs/>
          </w:rPr>
          <w:t xml:space="preserve">2026年4月</w:t>
        </w:r>
      </w:hyperlink>
      <w:r>
        <w:rPr>
          <w:b/>
          <w:bCs/>
        </w:rPr>
        <w:t xml:space="preserve">】</w:t>
      </w:r>
    </w:p>
    <w:p>
      <w:pPr>
        <w:pStyle w:val="CaptionedFigure"/>
      </w:pPr>
      <w:r>
        <w:drawing>
          <wp:inline>
            <wp:extent cx="5334000" cy="2318907"/>
            <wp:effectExtent b="0" l="0" r="0" t="0"/>
            <wp:docPr descr="图2：2026军事消耗评估" title="" id="27" name="Picture"/>
            <a:graphic>
              <a:graphicData uri="http://schemas.openxmlformats.org/drawingml/2006/picture">
                <pic:pic>
                  <pic:nvPicPr>
                    <pic:cNvPr descr="assets/fig02_2.png" id="28" name="Picture"/>
                    <pic:cNvPicPr>
                      <a:picLocks noChangeArrowheads="1" noChangeAspect="1"/>
                    </pic:cNvPicPr>
                  </pic:nvPicPr>
                  <pic:blipFill>
                    <a:blip r:embed="rId26"/>
                    <a:stretch>
                      <a:fillRect/>
                    </a:stretch>
                  </pic:blipFill>
                  <pic:spPr bwMode="auto">
                    <a:xfrm>
                      <a:off x="0" y="0"/>
                      <a:ext cx="5334000" cy="2318907"/>
                    </a:xfrm>
                    <a:prstGeom prst="rect">
                      <a:avLst/>
                    </a:prstGeom>
                    <a:noFill/>
                    <a:ln w="9525">
                      <a:noFill/>
                      <a:headEnd/>
                      <a:tailEnd/>
                    </a:ln>
                  </pic:spPr>
                </pic:pic>
              </a:graphicData>
            </a:graphic>
          </wp:inline>
        </w:drawing>
      </w:r>
    </w:p>
    <w:p>
      <w:pPr>
        <w:pStyle w:val="ImageCaption"/>
      </w:pPr>
      <w:r>
        <w:rPr>
          <w:rFonts w:hint="eastAsia"/>
        </w:rPr>
        <w:t xml:space="preserve">图2：2026军事消耗评估</w:t>
      </w:r>
    </w:p>
    <w:p>
      <w:pPr>
        <w:pStyle w:val="Compact"/>
        <w:numPr>
          <w:ilvl w:val="0"/>
          <w:numId w:val="1002"/>
        </w:numPr>
      </w:pPr>
      <w:r>
        <w:rPr>
          <w:rFonts w:hint="eastAsia"/>
        </w:rPr>
        <w:t xml:space="preserve">战前伊朗导弹库存估算：2,500–6,000枚（区间）</w:t>
      </w:r>
    </w:p>
    <w:p>
      <w:pPr>
        <w:pStyle w:val="Compact"/>
        <w:numPr>
          <w:ilvl w:val="0"/>
          <w:numId w:val="1002"/>
        </w:numPr>
      </w:pPr>
      <w:r>
        <w:t xml:space="preserve">Operation Rising </w:t>
      </w:r>
      <w:r>
        <w:rPr>
          <w:rFonts w:hint="eastAsia"/>
        </w:rPr>
        <w:t xml:space="preserve">Lion开战首日发射：400枚以上</w:t>
      </w:r>
    </w:p>
    <w:p>
      <w:pPr>
        <w:pStyle w:val="Compact"/>
        <w:numPr>
          <w:ilvl w:val="0"/>
          <w:numId w:val="1002"/>
        </w:numPr>
      </w:pPr>
      <w:r>
        <w:rPr>
          <w:rFonts w:hint="eastAsia"/>
        </w:rPr>
        <w:t xml:space="preserve">一周后日发射量降至：20–40枚（-90%以上）</w:t>
      </w:r>
    </w:p>
    <w:p>
      <w:pPr>
        <w:pStyle w:val="Compact"/>
        <w:numPr>
          <w:ilvl w:val="0"/>
          <w:numId w:val="1002"/>
        </w:numPr>
      </w:pPr>
      <w:r>
        <w:rPr>
          <w:rFonts w:hint="eastAsia"/>
        </w:rPr>
        <w:t xml:space="preserve">导弹发射架损毁：</w:t>
      </w:r>
      <w:r>
        <w:rPr>
          <w:b/>
          <w:bCs/>
        </w:rPr>
        <w:t xml:space="preserve">70%</w:t>
      </w:r>
    </w:p>
    <w:p>
      <w:pPr>
        <w:pStyle w:val="Compact"/>
        <w:numPr>
          <w:ilvl w:val="0"/>
          <w:numId w:val="1002"/>
        </w:numPr>
      </w:pPr>
      <w:r>
        <w:rPr>
          <w:rFonts w:hint="eastAsia"/>
        </w:rPr>
        <w:t xml:space="preserve">海军舰艇损毁：</w:t>
      </w:r>
      <w:r>
        <w:rPr>
          <w:b/>
          <w:bCs/>
        </w:rPr>
        <w:t xml:space="preserve">92%</w:t>
      </w:r>
      <w:r>
        <w:rPr>
          <w:rFonts w:hint="eastAsia"/>
        </w:rPr>
        <w:t xml:space="preserve">，共13–17艘</w:t>
      </w:r>
    </w:p>
    <w:p>
      <w:pPr>
        <w:pStyle w:val="FirstParagraph"/>
      </w:pPr>
      <w:r>
        <w:rPr>
          <w:rFonts w:hint="eastAsia"/>
          <w:b/>
          <w:bCs/>
        </w:rPr>
        <w:t xml:space="preserve">【事实，来源：</w:t>
      </w:r>
      <w:hyperlink r:id="rId29">
        <w:r>
          <w:rPr>
            <w:rStyle w:val="Hyperlink"/>
            <w:b/>
            <w:bCs/>
          </w:rPr>
          <w:t xml:space="preserve">FPRI Plopsky 2026-03</w:t>
        </w:r>
      </w:hyperlink>
      <w:r>
        <w:rPr>
          <w:b/>
          <w:bCs/>
        </w:rPr>
        <w:t xml:space="preserve">】</w:t>
      </w:r>
      <w:r>
        <w:br/>
      </w:r>
      <w:r>
        <w:t xml:space="preserve">Operation Epic </w:t>
      </w:r>
      <w:r>
        <w:rPr>
          <w:rFonts w:hint="eastAsia"/>
        </w:rPr>
        <w:t xml:space="preserve">Fury共出动1,495次有人战斗机飞行架次，投放约4,300件武器，打击900个目标，包括Fordow、Natanz、Isfahan三处核设施的全部子设施。</w:t>
      </w:r>
    </w:p>
    <w:p>
      <w:pPr>
        <w:pStyle w:val="BodyText"/>
      </w:pPr>
      <w:r>
        <w:rPr>
          <w:rFonts w:hint="eastAsia"/>
          <w:b/>
          <w:bCs/>
        </w:rPr>
        <w:t xml:space="preserve">【事实，来源：</w:t>
      </w:r>
      <w:hyperlink r:id="rId30">
        <w:r>
          <w:rPr>
            <w:rStyle w:val="Hyperlink"/>
            <w:b/>
            <w:bCs/>
          </w:rPr>
          <w:t xml:space="preserve">CSIS Cancian &amp; Park《Last </w:t>
        </w:r>
        <w:r>
          <w:rPr>
            <w:rStyle w:val="Hyperlink"/>
            <w:rFonts w:hint="eastAsia"/>
            <w:b/>
            <w:bCs/>
          </w:rPr>
          <w:t xml:space="preserve">Rounds》报告</w:t>
        </w:r>
      </w:hyperlink>
      <w:r>
        <w:rPr>
          <w:b/>
          <w:bCs/>
        </w:rPr>
        <w:t xml:space="preserve">】</w:t>
      </w:r>
      <w:r>
        <w:br/>
      </w:r>
      <w:r>
        <w:rPr>
          <w:rFonts w:hint="eastAsia"/>
        </w:rPr>
        <w:t xml:space="preserve">美方同期消耗：约45%的PrSM精确打击导弹、约50%的THAAD和爱国者拦截弹。</w:t>
      </w:r>
    </w:p>
    <w:p>
      <w:pPr>
        <w:pStyle w:val="BodyText"/>
      </w:pPr>
      <w:r>
        <w:rPr>
          <w:rFonts w:hint="eastAsia"/>
          <w:b/>
          <w:bCs/>
        </w:rPr>
        <w:t xml:space="preserve">【推断，来源：</w:t>
      </w:r>
      <w:hyperlink r:id="rId31">
        <w:r>
          <w:rPr>
            <w:rStyle w:val="Hyperlink"/>
            <w:rFonts w:hint="eastAsia"/>
            <w:b/>
            <w:bCs/>
          </w:rPr>
          <w:t xml:space="preserve">FDD（捍卫民主基金会，美国右翼对伊强硬智库）Mark</w:t>
        </w:r>
        <w:r>
          <w:rPr>
            <w:rStyle w:val="Hyperlink"/>
            <w:b/>
            <w:bCs/>
          </w:rPr>
          <w:t xml:space="preserve"> Dubowitz 2025-12</w:t>
        </w:r>
      </w:hyperlink>
      <w:r>
        <w:rPr>
          <w:b/>
          <w:bCs/>
        </w:rPr>
        <w:t xml:space="preserve">】</w:t>
      </w:r>
      <w:r>
        <w:br/>
      </w:r>
      <w:r>
        <w:rPr>
          <w:rFonts w:hint="eastAsia"/>
        </w:rPr>
        <w:t xml:space="preserve">伊朗导弹产能可在六个月内恢复至每年2,000–3,000枚。但这是”恢复产能”，不是”恢复存量”——存量层面的损失需要3–5年才能填回。</w:t>
      </w:r>
    </w:p>
    <w:p>
      <w:pPr>
        <w:pStyle w:val="BodyText"/>
      </w:pPr>
      <w:r>
        <w:rPr>
          <w:rFonts w:hint="eastAsia"/>
          <w:b/>
          <w:bCs/>
        </w:rPr>
        <w:t xml:space="preserve">综合军事判断</w:t>
      </w:r>
      <w:r>
        <w:rPr>
          <w:rFonts w:hint="eastAsia"/>
        </w:rPr>
        <w:t xml:space="preserve">：2026年的军事打击在烈度和精确度上均超过1981年以色列空袭伊拉克Osirak核反应堆，更接近2003年伊拉克战争首日的”Shock</w:t>
      </w:r>
      <w:r>
        <w:t xml:space="preserve"> and </w:t>
      </w:r>
      <w:r>
        <w:rPr>
          <w:rFonts w:hint="eastAsia"/>
        </w:rPr>
        <w:t xml:space="preserve">Awe”，但针对目标更集中在军事基础设施而非全面摧毁国家能力。这解释了为何政权能够存续但军事再生能力受到根本性限制——导弹发射能力短期内压缩到战前的10%，核设施子设施全数摧毁，但IRGC的省级军团结构、Basij镇压机器、商业帝国现金流均保持完整。</w:t>
      </w:r>
    </w:p>
    <w:bookmarkEnd w:id="32"/>
    <w:bookmarkStart w:id="33" w:name="核项目损失评估"/>
    <w:p>
      <w:pPr>
        <w:pStyle w:val="Heading3"/>
      </w:pPr>
      <w:r>
        <w:rPr>
          <w:rFonts w:hint="eastAsia"/>
        </w:rPr>
        <w:t xml:space="preserve">核项目损失评估</w:t>
      </w:r>
    </w:p>
    <w:p>
      <w:pPr>
        <w:pStyle w:val="FirstParagraph"/>
      </w:pPr>
      <w:r>
        <w:rPr>
          <w:rFonts w:hint="eastAsia"/>
        </w:rPr>
        <w:t xml:space="preserve">这是整场战争对地区影响最深远的单一维度，必须单独评估。</w:t>
      </w:r>
    </w:p>
    <w:p>
      <w:pPr>
        <w:pStyle w:val="BodyText"/>
      </w:pPr>
      <w:r>
        <w:rPr>
          <w:rFonts w:hint="eastAsia"/>
          <w:b/>
          <w:bCs/>
        </w:rPr>
        <w:t xml:space="preserve">【事实】</w:t>
      </w:r>
      <w:r>
        <w:t xml:space="preserve"> </w:t>
      </w:r>
      <w:r>
        <w:rPr>
          <w:rFonts w:hint="eastAsia"/>
        </w:rPr>
        <w:t xml:space="preserve">Fordow、Natanz、Isfahan三处核设施的全部子设施已被打击（FPRI</w:t>
      </w:r>
      <w:r>
        <w:t xml:space="preserve"> </w:t>
      </w:r>
      <w:r>
        <w:rPr>
          <w:rFonts w:hint="eastAsia"/>
        </w:rPr>
        <w:t xml:space="preserve">Plopsky确认）。但”子设施全数摧毁”不等于”浓缩能力归零”——关键问题是：深地堡垒（如Fordow地下800米的离心机厅）的实际损毁深度如何？</w:t>
      </w:r>
    </w:p>
    <w:p>
      <w:pPr>
        <w:pStyle w:val="BodyText"/>
      </w:pPr>
      <w:r>
        <w:rPr>
          <w:rFonts w:hint="eastAsia"/>
          <w:b/>
          <w:bCs/>
        </w:rPr>
        <w:t xml:space="preserve">【已知数据，来源：IAEA（国际原子能机构）2025年11月季度报告】</w:t>
      </w:r>
      <w:r>
        <w:t xml:space="preserve"> </w:t>
      </w:r>
      <w:r>
        <w:rPr>
          <w:rFonts w:hint="eastAsia"/>
        </w:rPr>
        <w:t xml:space="preserve">战前伊朗已积累约40–60kg高浓缩铀（纯度60–90%，量上已接近一枚简单裂变装置的临界质量约25kg）。这批材料的战后去向，是国际核不扩散体系目前最大的未解悬案。</w:t>
      </w:r>
    </w:p>
    <w:p>
      <w:pPr>
        <w:pStyle w:val="BodyText"/>
      </w:pPr>
      <w:r>
        <w:rPr>
          <w:rFonts w:hint="eastAsia"/>
          <w:b/>
          <w:bCs/>
        </w:rPr>
        <w:t xml:space="preserve">【事实】</w:t>
      </w:r>
      <w:r>
        <w:t xml:space="preserve"> </w:t>
      </w:r>
      <w:r>
        <w:rPr>
          <w:rFonts w:hint="eastAsia"/>
        </w:rPr>
        <w:t xml:space="preserve">IAEA核查自2026年2月起实质暂停（核查员无法入境）。这意味着外界对伊朗核材料当前状态的评估，依赖卫星图像和情报，而非直接检验。</w:t>
      </w:r>
    </w:p>
    <w:p>
      <w:pPr>
        <w:pStyle w:val="BodyText"/>
      </w:pPr>
      <w:r>
        <w:rPr>
          <w:rFonts w:hint="eastAsia"/>
          <w:b/>
          <w:bCs/>
        </w:rPr>
        <w:t xml:space="preserve">【推断】</w:t>
      </w:r>
      <w:r>
        <w:t xml:space="preserve"> </w:t>
      </w:r>
      <w:r>
        <w:rPr>
          <w:rFonts w:hint="eastAsia"/>
        </w:rPr>
        <w:t xml:space="preserve">三种可能：（a）材料在打击中被摧毁或污染，无法使用；（b）在打击前已转移至未知地点；（c）仍在原地但设施受损严重。情景（b）是情景4”快速瓦解”下核扩散风险的最大来源——IRGC核工程师在内战压力下叛逃或向第三方出售技术，是这份报告所有情景中地区影响最难预测的尾部风险。</w:t>
      </w:r>
    </w:p>
    <w:p>
      <w:pPr>
        <w:pStyle w:val="BodyText"/>
      </w:pPr>
      <w:r>
        <w:rPr>
          <w:rFonts w:hint="eastAsia"/>
          <w:b/>
          <w:bCs/>
        </w:rPr>
        <w:t xml:space="preserve">IAEA核查恢复</w:t>
      </w:r>
      <w:r>
        <w:rPr>
          <w:rFonts w:hint="eastAsia"/>
        </w:rPr>
        <w:t xml:space="preserve">是情景1（维持）的关键可观察节点之一，也是判断核材料扩散风险是否正在实现的最直接指标。</w:t>
      </w:r>
    </w:p>
    <w:bookmarkEnd w:id="33"/>
    <w:bookmarkStart w:id="35" w:name="经济损失"/>
    <w:p>
      <w:pPr>
        <w:pStyle w:val="Heading3"/>
      </w:pPr>
      <w:r>
        <w:rPr>
          <w:rFonts w:hint="eastAsia"/>
        </w:rPr>
        <w:t xml:space="preserve">经济损失</w:t>
      </w:r>
    </w:p>
    <w:p>
      <w:pPr>
        <w:pStyle w:val="FirstParagraph"/>
      </w:pPr>
      <w:r>
        <w:rPr>
          <w:rFonts w:hint="eastAsia"/>
          <w:b/>
          <w:bCs/>
        </w:rPr>
        <w:t xml:space="preserve">【事实，口径说明】</w:t>
      </w:r>
      <w:r>
        <w:t xml:space="preserve"> </w:t>
      </w:r>
      <w:r>
        <w:rPr>
          <w:rFonts w:hint="eastAsia"/>
        </w:rPr>
        <w:t xml:space="preserve">战前伊朗月度石油出口收入约$3–4B（EIA数据，全国总量）。2026年3月跌至约$1.96B（</w:t>
      </w:r>
      <w:hyperlink r:id="rId34">
        <w:r>
          <w:rPr>
            <w:rStyle w:val="Hyperlink"/>
          </w:rPr>
          <w:t xml:space="preserve">Bourse &amp; Bazaar </w:t>
        </w:r>
        <w:r>
          <w:rPr>
            <w:rStyle w:val="Hyperlink"/>
            <w:rFonts w:hint="eastAsia"/>
          </w:rPr>
          <w:t xml:space="preserve">Foundation跟踪数据</w:t>
        </w:r>
      </w:hyperlink>
      <w:r>
        <w:rPr>
          <w:rFonts w:hint="eastAsia"/>
        </w:rPr>
        <w:t xml:space="preserve">）。降幅约50%。</w:t>
      </w:r>
    </w:p>
    <w:p>
      <w:pPr>
        <w:pStyle w:val="BodyText"/>
      </w:pPr>
      <w:r>
        <w:rPr>
          <w:rFonts w:hint="eastAsia"/>
          <w:i/>
          <w:iCs/>
        </w:rPr>
        <w:t xml:space="preserve">注：旧版报告写”战前约$6.8B”，该数字不准确——$6.8B接近伊朗全国石油出口月均收入峰值（含天然气管道出口和过境费），而非战争直接前夕的基准数字；与Bourse</w:t>
      </w:r>
      <w:r>
        <w:rPr>
          <w:i/>
          <w:iCs/>
        </w:rPr>
        <w:t xml:space="preserve"> &amp; </w:t>
      </w:r>
      <w:r>
        <w:rPr>
          <w:rFonts w:hint="eastAsia"/>
          <w:i/>
          <w:iCs/>
        </w:rPr>
        <w:t xml:space="preserve">Bazaar实际跟踪数据不符。本版已修正为EIA来源的全国月均约$3–4B基准，跌至$1.96B，降幅约50%。这个降幅已足以构成结构性收入崩溃，无需夸大。</w:t>
      </w:r>
    </w:p>
    <w:p>
      <w:pPr>
        <w:pStyle w:val="BodyText"/>
      </w:pPr>
      <w:r>
        <w:rPr>
          <w:rFonts w:hint="eastAsia"/>
          <w:b/>
          <w:bCs/>
        </w:rPr>
        <w:t xml:space="preserve">【事实】</w:t>
      </w:r>
      <w:r>
        <w:t xml:space="preserve"> </w:t>
      </w:r>
      <w:r>
        <w:rPr>
          <w:rFonts w:hint="eastAsia"/>
        </w:rPr>
        <w:t xml:space="preserve">rial汇率从战前约1:42,000（兑美元）跌至1:90,000以上，贬值超过50%。</w:t>
      </w:r>
    </w:p>
    <w:p>
      <w:pPr>
        <w:pStyle w:val="BodyText"/>
      </w:pPr>
      <w:r>
        <w:rPr>
          <w:rFonts w:hint="eastAsia"/>
          <w:b/>
          <w:bCs/>
        </w:rPr>
        <w:t xml:space="preserve">【事实】</w:t>
      </w:r>
      <w:r>
        <w:t xml:space="preserve"> </w:t>
      </w:r>
      <w:r>
        <w:rPr>
          <w:rFonts w:hint="eastAsia"/>
        </w:rPr>
        <w:t xml:space="preserve">Polymarket在2026年3月将伊朗政权崩溃情景定价于</w:t>
      </w:r>
      <w:r>
        <w:rPr>
          <w:rFonts w:hint="eastAsia"/>
          <w:b/>
          <w:bCs/>
        </w:rPr>
        <w:t xml:space="preserve">个位数百分比</w:t>
      </w:r>
      <w:r>
        <w:rPr>
          <w:rFonts w:hint="eastAsia"/>
        </w:rPr>
        <w:t xml:space="preserve">（非早期流传的15%）。这作为市场先验的下界参照，而非本报告概率判断的主要权重。</w:t>
      </w:r>
    </w:p>
    <w:p>
      <w:r>
        <w:pict>
          <v:rect style="width:0;height:1.5pt" o:hralign="center" o:hrstd="t" o:hr="t"/>
        </w:pict>
      </w:r>
    </w:p>
    <w:bookmarkEnd w:id="35"/>
    <w:bookmarkEnd w:id="36"/>
    <w:bookmarkStart w:id="47" w:name="五四种前景"/>
    <w:p>
      <w:pPr>
        <w:pStyle w:val="Heading2"/>
      </w:pPr>
      <w:r>
        <w:rPr>
          <w:rFonts w:hint="eastAsia"/>
        </w:rPr>
        <w:t xml:space="preserve">五、四种前景</w:t>
      </w:r>
    </w:p>
    <w:bookmarkStart w:id="37" w:name="方法论说明为何是四分而非三分"/>
    <w:p>
      <w:pPr>
        <w:pStyle w:val="Heading3"/>
      </w:pPr>
      <w:r>
        <w:rPr>
          <w:rFonts w:hint="eastAsia"/>
        </w:rPr>
        <w:t xml:space="preserve">方法论说明：为何是四分而非三分</w:t>
      </w:r>
    </w:p>
    <w:p>
      <w:pPr>
        <w:pStyle w:val="FirstParagraph"/>
      </w:pPr>
      <w:r>
        <w:rPr>
          <w:rFonts w:hint="eastAsia"/>
          <w:b/>
          <w:bCs/>
        </w:rPr>
        <w:t xml:space="preserve">【推断】</w:t>
      </w:r>
      <w:r>
        <w:t xml:space="preserve"> </w:t>
      </w:r>
      <w:r>
        <w:rPr>
          <w:rFonts w:hint="eastAsia"/>
        </w:rPr>
        <w:t xml:space="preserve">CFR标准分析框架对伊朗前景通常采用三分法：Managed</w:t>
      </w:r>
      <w:r>
        <w:t xml:space="preserve"> </w:t>
      </w:r>
      <w:r>
        <w:rPr>
          <w:rFonts w:hint="eastAsia"/>
        </w:rPr>
        <w:t xml:space="preserve">Continuity（维持）/</w:t>
      </w:r>
      <w:r>
        <w:t xml:space="preserve"> Hard Right </w:t>
      </w:r>
      <w:r>
        <w:rPr>
          <w:rFonts w:hint="eastAsia"/>
        </w:rPr>
        <w:t xml:space="preserve">Shift（强硬转向）/</w:t>
      </w:r>
      <w:r>
        <w:t xml:space="preserve"> </w:t>
      </w:r>
      <w:r>
        <w:rPr>
          <w:rFonts w:hint="eastAsia"/>
        </w:rPr>
        <w:t xml:space="preserve">Collapse（崩溃）。本报告采用四分法，原因在于：</w:t>
      </w:r>
      <w:r>
        <w:rPr>
          <w:rFonts w:hint="eastAsia"/>
          <w:b/>
          <w:bCs/>
        </w:rPr>
        <w:t xml:space="preserve">将Collapse拆分为”缓慢侵蚀”和”快速瓦解”两条路径是分析必要的</w:t>
      </w:r>
      <w:r>
        <w:rPr>
          <w:rFonts w:hint="eastAsia"/>
        </w:rPr>
        <w:t xml:space="preserve">，而非人为添加选项。</w:t>
      </w:r>
    </w:p>
    <w:p>
      <w:pPr>
        <w:pStyle w:val="BodyText"/>
      </w:pPr>
      <w:r>
        <w:rPr>
          <w:rFonts w:hint="eastAsia"/>
        </w:rPr>
        <w:t xml:space="preserve">这两条路径的机制根本不同：</w:t>
      </w:r>
      <w:r>
        <w:t xml:space="preserve"> </w:t>
      </w:r>
      <w:r>
        <w:t xml:space="preserve">- </w:t>
      </w:r>
      <w:r>
        <w:rPr>
          <w:rFonts w:hint="eastAsia"/>
        </w:rPr>
        <w:t xml:space="preserve">缓慢侵蚀：政权机器完整但逐步失能，有可观察节点序列，地区行为体有适应时间。</w:t>
      </w:r>
      <w:r>
        <w:t xml:space="preserve"> </w:t>
      </w:r>
      <w:r>
        <w:t xml:space="preserve">- </w:t>
      </w:r>
      <w:r>
        <w:rPr>
          <w:rFonts w:hint="eastAsia"/>
        </w:rPr>
        <w:t xml:space="preserve">快速瓦解：IRGC内部分裂叠加少数民族暴动叠加经济崩盘同时触发，时间窗口数周至数月，几乎没有预警窗口，立即产生核材料扩散和武器外流的扩散效应。</w:t>
      </w:r>
    </w:p>
    <w:p>
      <w:pPr>
        <w:pStyle w:val="BodyText"/>
      </w:pPr>
      <w:r>
        <w:rPr>
          <w:rFonts w:hint="eastAsia"/>
        </w:rPr>
        <w:t xml:space="preserve">把这两者归入同一”崩溃”类别，会掩盖两条路径对中东地区影响的根本差异。</w:t>
      </w:r>
    </w:p>
    <w:p>
      <w:r>
        <w:pict>
          <v:rect style="width:0;height:1.5pt" o:hralign="center" o:hrstd="t" o:hr="t"/>
        </w:pict>
      </w:r>
    </w:p>
    <w:bookmarkEnd w:id="37"/>
    <w:bookmarkStart w:id="39" w:name="前景一军事停火-政权维持概率4045"/>
    <w:p>
      <w:pPr>
        <w:pStyle w:val="Heading3"/>
      </w:pPr>
      <w:r>
        <w:rPr>
          <w:rFonts w:hint="eastAsia"/>
        </w:rPr>
        <w:t xml:space="preserve">前景一：军事停火</w:t>
      </w:r>
      <w:r>
        <w:t xml:space="preserve"> + </w:t>
      </w:r>
      <w:r>
        <w:rPr>
          <w:rFonts w:hint="eastAsia"/>
        </w:rPr>
        <w:t xml:space="preserve">政权维持（概率：40–45%）</w:t>
      </w:r>
    </w:p>
    <w:p>
      <w:pPr>
        <w:pStyle w:val="FirstParagraph"/>
      </w:pPr>
      <w:r>
        <w:rPr>
          <w:rFonts w:hint="eastAsia"/>
          <w:b/>
          <w:bCs/>
        </w:rPr>
        <w:t xml:space="preserve">核心逻辑</w:t>
      </w:r>
      <w:r>
        <w:rPr>
          <w:rFonts w:hint="eastAsia"/>
        </w:rPr>
        <w:t xml:space="preserve">：Mojtaba在专家会议通过合法性确认；Marja阶序不公开反对；IRGC内部不分裂；巴基斯坦斡旋的停火从条件性延期演变为事实长期停火。</w:t>
      </w:r>
    </w:p>
    <w:p>
      <w:pPr>
        <w:pStyle w:val="BodyText"/>
      </w:pPr>
      <w:r>
        <w:rPr>
          <w:rFonts w:hint="eastAsia"/>
          <w:b/>
          <w:bCs/>
        </w:rPr>
        <w:t xml:space="preserve">【已实现的节点，事实】</w:t>
      </w:r>
      <w:r>
        <w:t xml:space="preserve"> </w:t>
      </w:r>
      <w:r>
        <w:t xml:space="preserve">- </w:t>
      </w:r>
      <w:r>
        <w:rPr>
          <w:rFonts w:hint="eastAsia"/>
        </w:rPr>
        <w:t xml:space="preserve">Mojtaba已当选（CBP-10637确认）</w:t>
      </w:r>
      <w:r>
        <w:t xml:space="preserve"> </w:t>
      </w:r>
      <w:r>
        <w:t xml:space="preserve">- </w:t>
      </w:r>
      <w:r>
        <w:rPr>
          <w:rFonts w:hint="eastAsia"/>
        </w:rPr>
        <w:t xml:space="preserve">巴基斯坦斡旋的两周条件性停火至2026年6月已持续超过12周</w:t>
      </w:r>
      <w:r>
        <w:t xml:space="preserve"> </w:t>
      </w:r>
      <w:r>
        <w:t xml:space="preserve">- </w:t>
      </w:r>
      <w:r>
        <w:rPr>
          <w:rFonts w:hint="eastAsia"/>
        </w:rPr>
        <w:t xml:space="preserve">IRGC至今无公开分裂记录</w:t>
      </w:r>
      <w:r>
        <w:t xml:space="preserve"> </w:t>
      </w:r>
      <w:r>
        <w:t xml:space="preserve">- </w:t>
      </w:r>
      <w:r>
        <w:rPr>
          <w:rFonts w:hint="eastAsia"/>
        </w:rPr>
        <w:t xml:space="preserve">Qalibaf已在伊朗国内媒体中承担实际领导人角色</w:t>
      </w:r>
    </w:p>
    <w:p>
      <w:pPr>
        <w:pStyle w:val="BodyText"/>
      </w:pPr>
      <w:r>
        <w:rPr>
          <w:rFonts w:hint="eastAsia"/>
          <w:b/>
          <w:bCs/>
        </w:rPr>
        <w:t xml:space="preserve">【路径的核心脆弱点，推断】</w:t>
      </w:r>
      <w:r>
        <w:br/>
      </w:r>
      <w:r>
        <w:rPr>
          <w:rFonts w:hint="eastAsia"/>
        </w:rPr>
        <w:t xml:space="preserve">这条路的强假设是：Mojtaba能同时继承父亲的”宗教合法性”和”革命权威”两套话语。问题在于，哈梅内伊用了30年时间——通过控制Astan</w:t>
      </w:r>
      <w:r>
        <w:t xml:space="preserve"> Quds </w:t>
      </w:r>
      <w:r>
        <w:rPr>
          <w:rFonts w:hint="eastAsia"/>
        </w:rPr>
        <w:t xml:space="preserve">Razavi圣陵管理机构（估值约200亿美元）、向Qom神学院补贴——才”买下”了Marja阶序的政治支持。Mojtaba没有这30年。加之其伤情（DNI</w:t>
      </w:r>
      <w:r>
        <w:t xml:space="preserve"> Gabbard”very seriously </w:t>
      </w:r>
      <w:r>
        <w:rPr>
          <w:rFonts w:hint="eastAsia"/>
        </w:rPr>
        <w:t xml:space="preserve">injured”作证）使实际履职能力成疑，Qalibaf代行的权力基础将比正常继承更加脆弱。</w:t>
      </w:r>
    </w:p>
    <w:p>
      <w:pPr>
        <w:pStyle w:val="BodyText"/>
      </w:pPr>
      <w:r>
        <w:rPr>
          <w:rFonts w:hint="eastAsia"/>
          <w:b/>
          <w:bCs/>
        </w:rPr>
        <w:t xml:space="preserve">【Pezeshkian的角色，推断】</w:t>
      </w:r>
      <w:r>
        <w:br/>
      </w:r>
      <w:r>
        <w:rPr>
          <w:rFonts w:hint="eastAsia"/>
        </w:rPr>
        <w:t xml:space="preserve">在维持路径下，Pezeshkian政府作为改革派总统继续运作，但政策空间极为有限：IRGC主导实际权力，总统职能被压缩为经济-外交门面。Pezeshkian与Qalibaf之间的关系将决定改革派是被整合利用（提供国内合法性话语），还是被边缘化（成为无实权的橡皮图章）。这条分岔本身是”维持”路径内部最大的不确定性之一。</w:t>
      </w:r>
    </w:p>
    <w:p>
      <w:pPr>
        <w:pStyle w:val="BodyText"/>
      </w:pPr>
      <w:r>
        <w:rPr>
          <w:rFonts w:hint="eastAsia"/>
          <w:b/>
          <w:bCs/>
        </w:rPr>
        <w:t xml:space="preserve">【可观察检验节点】</w:t>
      </w:r>
      <w:r>
        <w:t xml:space="preserve"> </w:t>
      </w:r>
      <w:r>
        <w:t xml:space="preserve">- </w:t>
      </w:r>
      <w:r>
        <w:rPr>
          <w:rFonts w:hint="eastAsia"/>
        </w:rPr>
        <w:t xml:space="preserve">Sistani是否出席或公开承认Mojtaba的继位仪式（</w:t>
      </w:r>
      <w:r>
        <w:rPr>
          <w:rFonts w:hint="eastAsia"/>
          <w:b/>
          <w:bCs/>
        </w:rPr>
        <w:t xml:space="preserve">这是最高权重的单一指标</w:t>
      </w:r>
      <w:r>
        <w:rPr>
          <w:rFonts w:hint="eastAsia"/>
        </w:rPr>
        <w:t xml:space="preserve">）</w:t>
      </w:r>
      <w:r>
        <w:t xml:space="preserve"> </w:t>
      </w:r>
      <w:r>
        <w:t xml:space="preserve">- </w:t>
      </w:r>
      <w:r>
        <w:rPr>
          <w:rFonts w:hint="eastAsia"/>
        </w:rPr>
        <w:t xml:space="preserve">IAEA能否恢复对伊朗的实地核查（当前为零）</w:t>
      </w:r>
      <w:r>
        <w:t xml:space="preserve"> </w:t>
      </w:r>
      <w:r>
        <w:t xml:space="preserve">- </w:t>
      </w:r>
      <w:r>
        <w:rPr>
          <w:rFonts w:hint="eastAsia"/>
        </w:rPr>
        <w:t xml:space="preserve">巴基斯坦斡旋停火是否升级为正式协议框架</w:t>
      </w:r>
    </w:p>
    <w:p>
      <w:pPr>
        <w:pStyle w:val="BodyText"/>
      </w:pPr>
      <w:r>
        <w:rPr>
          <w:rFonts w:hint="eastAsia"/>
          <w:b/>
          <w:bCs/>
        </w:rPr>
        <w:t xml:space="preserve">分析师意见</w:t>
      </w:r>
      <w:r>
        <w:rPr>
          <w:rFonts w:hint="eastAsia"/>
        </w:rPr>
        <w:t xml:space="preserve">：</w:t>
      </w:r>
      <w:hyperlink r:id="rId38">
        <w:r>
          <w:rPr>
            <w:rStyle w:val="Hyperlink"/>
          </w:rPr>
          <w:t xml:space="preserve">Suzanne </w:t>
        </w:r>
        <w:r>
          <w:rPr>
            <w:rStyle w:val="Hyperlink"/>
            <w:rFonts w:hint="eastAsia"/>
          </w:rPr>
          <w:t xml:space="preserve">Maloney（Brookings/Foreign</w:t>
        </w:r>
        <w:r>
          <w:rPr>
            <w:rStyle w:val="Hyperlink"/>
          </w:rPr>
          <w:t xml:space="preserve"> </w:t>
        </w:r>
        <w:r>
          <w:rPr>
            <w:rStyle w:val="Hyperlink"/>
            <w:rFonts w:hint="eastAsia"/>
          </w:rPr>
          <w:t xml:space="preserve">Affairs）</w:t>
        </w:r>
      </w:hyperlink>
      <w:r>
        <w:rPr>
          <w:rFonts w:hint="eastAsia"/>
        </w:rPr>
        <w:t xml:space="preserve">提出”第三共和国”概念。</w:t>
      </w:r>
      <w:r>
        <w:rPr>
          <w:rFonts w:hint="eastAsia"/>
          <w:i/>
          <w:iCs/>
        </w:rPr>
        <w:t xml:space="preserve">注：此概念不是”维持原样”——Maloney认为政权会发生根本性质变，从宗教共和国转为IRGC主导的后宗教威权形态。在本报告的框架中，这实际上是情景1和情景2的混合体，更接近情景2（军政府化）的早期阶段，而非情景1的完整维持。将Maloney列入此节是为了呈现其分析，但读者应注意她预测的并不是现有政权的照旧运转。</w:t>
      </w:r>
    </w:p>
    <w:p>
      <w:r>
        <w:pict>
          <v:rect style="width:0;height:1.5pt" o:hralign="center" o:hrstd="t" o:hr="t"/>
        </w:pict>
      </w:r>
    </w:p>
    <w:bookmarkEnd w:id="39"/>
    <w:bookmarkStart w:id="42" w:name="前景二irgc军政府化概率1015"/>
    <w:p>
      <w:pPr>
        <w:pStyle w:val="Heading3"/>
      </w:pPr>
      <w:r>
        <w:rPr>
          <w:rFonts w:hint="eastAsia"/>
        </w:rPr>
        <w:t xml:space="preserve">前景二：IRGC军政府化（概率：10–15%）</w:t>
      </w:r>
    </w:p>
    <w:p>
      <w:pPr>
        <w:pStyle w:val="FirstParagraph"/>
      </w:pPr>
      <w:r>
        <w:rPr>
          <w:rFonts w:hint="eastAsia"/>
          <w:b/>
          <w:bCs/>
        </w:rPr>
        <w:t xml:space="preserve">核心逻辑</w:t>
      </w:r>
      <w:r>
        <w:rPr>
          <w:rFonts w:hint="eastAsia"/>
        </w:rPr>
        <w:t xml:space="preserve">：宗教合法性危机无法解决，但IRGC内部能够就”谁是实际权力核心”达成共识，将伊朗改造为类似巴基斯坦ISI-总统府那样的军人主导伪宗教政权。</w:t>
      </w:r>
    </w:p>
    <w:p>
      <w:pPr>
        <w:pStyle w:val="BodyText"/>
      </w:pPr>
      <w:r>
        <w:rPr>
          <w:rFonts w:hint="eastAsia"/>
          <w:b/>
          <w:bCs/>
        </w:rPr>
        <w:t xml:space="preserve">【已实现的节点，事实】</w:t>
      </w:r>
      <w:r>
        <w:br/>
      </w:r>
      <w:hyperlink r:id="rId10">
        <w:r>
          <w:rPr>
            <w:rStyle w:val="Hyperlink"/>
          </w:rPr>
          <w:t xml:space="preserve">FPRI Golkar 2025-10</w:t>
        </w:r>
      </w:hyperlink>
      <w:r>
        <w:rPr>
          <w:rFonts w:hint="eastAsia"/>
        </w:rPr>
        <w:t xml:space="preserve">已记录，哈梅内伊去世前IRGC已开始”向省级军团去中心化”——省级军团权力上升，中央指令约束力下降。Soufan</w:t>
      </w:r>
      <w:r>
        <w:t xml:space="preserve"> Center </w:t>
      </w:r>
      <w:r>
        <w:rPr>
          <w:rFonts w:hint="eastAsia"/>
        </w:rPr>
        <w:t xml:space="preserve">2026-03-26报告中描述的四人实际权力核心，已高度接近军政集体领导结构。</w:t>
      </w:r>
    </w:p>
    <w:p>
      <w:pPr>
        <w:pStyle w:val="BodyText"/>
      </w:pPr>
      <w:r>
        <w:rPr>
          <w:rFonts w:hint="eastAsia"/>
          <w:b/>
          <w:bCs/>
        </w:rPr>
        <w:t xml:space="preserve">【路径的强假设，推断】</w:t>
      </w:r>
      <w:r>
        <w:br/>
      </w:r>
      <w:r>
        <w:rPr>
          <w:rFonts w:hint="eastAsia"/>
        </w:rPr>
        <w:t xml:space="preserve">IRGC四人核心必须就权力分配达成共识。历史先例：1989年霍梅尼去世后，哈梅内伊与Rafsanjani用了约五年完成权力整合。今天的危机不给五年窗口。</w:t>
      </w:r>
    </w:p>
    <w:p>
      <w:pPr>
        <w:pStyle w:val="BodyText"/>
      </w:pPr>
      <w:r>
        <w:rPr>
          <w:rFonts w:hint="eastAsia"/>
          <w:b/>
          <w:bCs/>
        </w:rPr>
        <w:t xml:space="preserve">【与前景一的区别】</w:t>
      </w:r>
      <w:r>
        <w:br/>
      </w:r>
      <w:r>
        <w:rPr>
          <w:rFonts w:hint="eastAsia"/>
        </w:rPr>
        <w:t xml:space="preserve">军政府化下，IRGC对外会更强硬——持续对以色列的导弹打击不会停，Iran-Israel进入”低烈度持续战争”状态（类似2006年后以-真主党的”火药管”状态）。宗教话语退到背景，意味着伊朗对伊拉克、巴林、也门胡塞武装的意识形态杠杆下降。</w:t>
      </w:r>
    </w:p>
    <w:p>
      <w:pPr>
        <w:pStyle w:val="BodyText"/>
      </w:pPr>
      <w:r>
        <w:rPr>
          <w:rFonts w:hint="eastAsia"/>
          <w:b/>
          <w:bCs/>
        </w:rPr>
        <w:t xml:space="preserve">【Pezeshkian的角色，推断】</w:t>
      </w:r>
      <w:r>
        <w:br/>
      </w:r>
      <w:r>
        <w:rPr>
          <w:rFonts w:hint="eastAsia"/>
        </w:rPr>
        <w:t xml:space="preserve">在军政府化路径下，Pezeshkian面临两种命运：被吸收（改革派话语作为对外形象，总统成为军政权的文官外衣）；或被替换（直接由IRGC提名候选人在2028年大选或提前选举中接任）。前者更符合IRGC的历史操作模式——伊朗军政权不需要彻底废除民选机制，只需使其空洞化。</w:t>
      </w:r>
    </w:p>
    <w:p>
      <w:pPr>
        <w:pStyle w:val="BodyText"/>
      </w:pPr>
      <w:r>
        <w:rPr>
          <w:rFonts w:hint="eastAsia"/>
          <w:b/>
          <w:bCs/>
        </w:rPr>
        <w:t xml:space="preserve">分析师意见</w:t>
      </w:r>
      <w:r>
        <w:rPr>
          <w:rFonts w:hint="eastAsia"/>
        </w:rPr>
        <w:t xml:space="preserve">：</w:t>
      </w:r>
      <w:hyperlink r:id="rId40">
        <w:r>
          <w:rPr>
            <w:rStyle w:val="Hyperlink"/>
          </w:rPr>
          <w:t xml:space="preserve">Karim </w:t>
        </w:r>
        <w:r>
          <w:rPr>
            <w:rStyle w:val="Hyperlink"/>
            <w:rFonts w:hint="eastAsia"/>
          </w:rPr>
          <w:t xml:space="preserve">Sadjadpour（Carnegie）</w:t>
        </w:r>
      </w:hyperlink>
      <w:r>
        <w:rPr>
          <w:rFonts w:hint="eastAsia"/>
        </w:rPr>
        <w:t xml:space="preserve">认为军政府化是最可能的路径之一，并将其比较为”带神职外衣的埃及模式”。这一类比需要注意结构差异：2013年埃及政变中，穆巴拉克政权本身就是军政权，塞西的接管成本很低——既无宗教合法性框架需要废除，也无Velayat-e</w:t>
      </w:r>
      <w:r>
        <w:t xml:space="preserve"> </w:t>
      </w:r>
      <w:r>
        <w:rPr>
          <w:rFonts w:hint="eastAsia"/>
        </w:rPr>
        <w:t xml:space="preserve">Faqih这样的宪政神学基础需要处理。伊朗从宗教政权向军政权的转变，需要在实践上架空而非正式废除Velayat-e</w:t>
      </w:r>
      <w:r>
        <w:t xml:space="preserve"> </w:t>
      </w:r>
      <w:r>
        <w:rPr>
          <w:rFonts w:hint="eastAsia"/>
        </w:rPr>
        <w:t xml:space="preserve">Faqih，这使”埃及模式”更可能是一个渐进侵蚀过程，而非埃及式的单次政变。</w:t>
      </w:r>
      <w:hyperlink r:id="rId41">
        <w:r>
          <w:rPr>
            <w:rStyle w:val="Hyperlink"/>
          </w:rPr>
          <w:t xml:space="preserve">Jon Alterman &amp; Daniel </w:t>
        </w:r>
        <w:r>
          <w:rPr>
            <w:rStyle w:val="Hyperlink"/>
            <w:rFonts w:hint="eastAsia"/>
          </w:rPr>
          <w:t xml:space="preserve">Byman（CSIS）</w:t>
        </w:r>
      </w:hyperlink>
      <w:r>
        <w:rPr>
          <w:rFonts w:hint="eastAsia"/>
        </w:rPr>
        <w:t xml:space="preserve">则提醒，斩首行动不解决制度性问题——IRGC作为机构的利益与动机独立于任何个人指挥官而存在。</w:t>
      </w:r>
    </w:p>
    <w:p>
      <w:r>
        <w:pict>
          <v:rect style="width:0;height:1.5pt" o:hralign="center" o:hrstd="t" o:hr="t"/>
        </w:pict>
      </w:r>
    </w:p>
    <w:bookmarkEnd w:id="42"/>
    <w:bookmarkStart w:id="44" w:name="前景三缓慢侵蚀崩塌概率1215"/>
    <w:p>
      <w:pPr>
        <w:pStyle w:val="Heading3"/>
      </w:pPr>
      <w:r>
        <w:rPr>
          <w:rFonts w:hint="eastAsia"/>
        </w:rPr>
        <w:t xml:space="preserve">前景三：缓慢侵蚀崩塌（概率：12–15%）</w:t>
      </w:r>
    </w:p>
    <w:p>
      <w:pPr>
        <w:pStyle w:val="FirstParagraph"/>
      </w:pPr>
      <w:r>
        <w:rPr>
          <w:rFonts w:hint="eastAsia"/>
          <w:b/>
          <w:bCs/>
        </w:rPr>
        <w:t xml:space="preserve">核心逻辑</w:t>
      </w:r>
      <w:r>
        <w:rPr>
          <w:rFonts w:hint="eastAsia"/>
        </w:rPr>
        <w:t xml:space="preserve">：停火稳固，但经济结构性损害、改革派渐进推进、海外流亡反对派动员、年轻一代彻底失去忠诚，在3–5年里慢慢消磨政权能力。</w:t>
      </w:r>
    </w:p>
    <w:p>
      <w:pPr>
        <w:pStyle w:val="BodyText"/>
      </w:pPr>
      <w:r>
        <w:rPr>
          <w:rFonts w:hint="eastAsia"/>
          <w:b/>
          <w:bCs/>
        </w:rPr>
        <w:t xml:space="preserve">【已实现的节点，事实】</w:t>
      </w:r>
      <w:r>
        <w:t xml:space="preserve"> </w:t>
      </w:r>
      <w:r>
        <w:t xml:space="preserve">- </w:t>
      </w:r>
      <w:r>
        <w:rPr>
          <w:rFonts w:hint="eastAsia"/>
        </w:rPr>
        <w:t xml:space="preserve">rial汇率持续崩溃（战前1:42K</w:t>
      </w:r>
      <w:r>
        <w:t xml:space="preserve"> → </w:t>
      </w:r>
      <w:r>
        <w:rPr>
          <w:rFonts w:hint="eastAsia"/>
        </w:rPr>
        <w:t xml:space="preserve">当前1:90K+）</w:t>
      </w:r>
      <w:r>
        <w:t xml:space="preserve"> </w:t>
      </w:r>
      <w:r>
        <w:t xml:space="preserve">- </w:t>
      </w:r>
      <w:r>
        <w:rPr>
          <w:rFonts w:hint="eastAsia"/>
        </w:rPr>
        <w:t xml:space="preserve">Pezeshkian政府在战争中仍维持基本运转</w:t>
      </w:r>
      <w:r>
        <w:t xml:space="preserve"> </w:t>
      </w:r>
      <w:r>
        <w:t xml:space="preserve">- </w:t>
      </w:r>
      <w:r>
        <w:rPr>
          <w:rFonts w:hint="eastAsia"/>
        </w:rPr>
        <w:t xml:space="preserve">Khuzestan省和Sistan-Baluchistan省水资源危机达到结构性极限</w:t>
      </w:r>
      <w:r>
        <w:t xml:space="preserve"> </w:t>
      </w:r>
      <w:r>
        <w:t xml:space="preserve">- </w:t>
      </w:r>
      <w:r>
        <w:rPr>
          <w:rFonts w:hint="eastAsia"/>
        </w:rPr>
        <w:t xml:space="preserve">伊朗高校学生海外申请数自2026年3月持续上升（</w:t>
      </w:r>
      <w:hyperlink r:id="rId34">
        <w:r>
          <w:rPr>
            <w:rStyle w:val="Hyperlink"/>
          </w:rPr>
          <w:t xml:space="preserve">Bourse &amp; Bazaar </w:t>
        </w:r>
        <w:r>
          <w:rPr>
            <w:rStyle w:val="Hyperlink"/>
            <w:rFonts w:hint="eastAsia"/>
          </w:rPr>
          <w:t xml:space="preserve">Foundation数据</w:t>
        </w:r>
      </w:hyperlink>
      <w:r>
        <w:rPr>
          <w:rFonts w:hint="eastAsia"/>
        </w:rPr>
        <w:t xml:space="preserve">）</w:t>
      </w:r>
    </w:p>
    <w:p>
      <w:pPr>
        <w:pStyle w:val="BodyText"/>
      </w:pPr>
      <w:r>
        <w:rPr>
          <w:rFonts w:hint="eastAsia"/>
          <w:b/>
          <w:bCs/>
        </w:rPr>
        <w:t xml:space="preserve">【路径的关键缺失，推断】</w:t>
      </w:r>
      <w:r>
        <w:br/>
      </w:r>
      <w:r>
        <w:rPr>
          <w:rFonts w:hint="eastAsia"/>
        </w:rPr>
        <w:t xml:space="preserve">此路径常被类比为1985–1991年苏联模式，但这一类比有一个根本性限制：苏联模式之所以走得通，是因为戈尔巴乔夫主动放手——他在1989年东欧革命时明确指示苏军不干预。今天伊朗没有”戈尔巴乔夫式人物”：Pezeshkian是改革派，但他不是IRGC出身，不掌握武力。IRGC的商业帝国与政权高度绑定，没有”退党回家”的退出选项。</w:t>
      </w:r>
    </w:p>
    <w:p>
      <w:pPr>
        <w:pStyle w:val="BodyText"/>
      </w:pPr>
      <w:r>
        <w:rPr>
          <w:rFonts w:hint="eastAsia"/>
        </w:rPr>
        <w:t xml:space="preserve">由于苏联模式的核心驱动机制（主动放手的最高领导人）在伊朗当前并不存在，苏联4–6年的时间框架对伊朗只有数量级参考价值，不能机械借用——伊朗的缓慢侵蚀更可能因IRGC的主动镇压而在某个节点突然跳入快速瓦解轨道，而非像苏联那样完成有序转型。</w:t>
      </w:r>
    </w:p>
    <w:p>
      <w:pPr>
        <w:pStyle w:val="BodyText"/>
      </w:pPr>
      <w:r>
        <w:rPr>
          <w:rFonts w:hint="eastAsia"/>
          <w:b/>
          <w:bCs/>
        </w:rPr>
        <w:t xml:space="preserve">分析师意见</w:t>
      </w:r>
      <w:r>
        <w:rPr>
          <w:rFonts w:hint="eastAsia"/>
        </w:rPr>
        <w:t xml:space="preserve">：</w:t>
      </w:r>
      <w:hyperlink r:id="rId43">
        <w:r>
          <w:rPr>
            <w:rStyle w:val="Hyperlink"/>
          </w:rPr>
          <w:t xml:space="preserve">Vali </w:t>
        </w:r>
        <w:r>
          <w:rPr>
            <w:rStyle w:val="Hyperlink"/>
            <w:rFonts w:hint="eastAsia"/>
          </w:rPr>
          <w:t xml:space="preserve">Nasr在The</w:t>
        </w:r>
        <w:r>
          <w:rPr>
            <w:rStyle w:val="Hyperlink"/>
          </w:rPr>
          <w:t xml:space="preserve"> Atlantic </w:t>
        </w:r>
        <w:r>
          <w:rPr>
            <w:rStyle w:val="Hyperlink"/>
            <w:rFonts w:hint="eastAsia"/>
          </w:rPr>
          <w:t xml:space="preserve">2026年3月评论（链接待核实）</w:t>
        </w:r>
      </w:hyperlink>
      <w:r>
        <w:rPr>
          <w:rFonts w:hint="eastAsia"/>
        </w:rPr>
        <w:t xml:space="preserve">中提出”非线性崩塌”概念——路径上存在多个”可能稳定、可能失控”的节点，任何单一节点触发失控都可能使缓慢侵蚀骤然加速。</w:t>
      </w:r>
    </w:p>
    <w:p>
      <w:r>
        <w:pict>
          <v:rect style="width:0;height:1.5pt" o:hralign="center" o:hrstd="t" o:hr="t"/>
        </w:pict>
      </w:r>
    </w:p>
    <w:bookmarkEnd w:id="44"/>
    <w:bookmarkStart w:id="46" w:name="前景四快速瓦解-内战概率812"/>
    <w:p>
      <w:pPr>
        <w:pStyle w:val="Heading3"/>
      </w:pPr>
      <w:r>
        <w:rPr>
          <w:rFonts w:hint="eastAsia"/>
        </w:rPr>
        <w:t xml:space="preserve">前景四：快速瓦解</w:t>
      </w:r>
      <w:r>
        <w:t xml:space="preserve"> + </w:t>
      </w:r>
      <w:r>
        <w:rPr>
          <w:rFonts w:hint="eastAsia"/>
        </w:rPr>
        <w:t xml:space="preserve">内战（概率：8–12%）</w:t>
      </w:r>
    </w:p>
    <w:p>
      <w:pPr>
        <w:pStyle w:val="FirstParagraph"/>
      </w:pPr>
      <w:r>
        <w:rPr>
          <w:rFonts w:hint="eastAsia"/>
          <w:b/>
          <w:bCs/>
        </w:rPr>
        <w:t xml:space="preserve">核心逻辑</w:t>
      </w:r>
      <w:r>
        <w:rPr>
          <w:rFonts w:hint="eastAsia"/>
        </w:rPr>
        <w:t xml:space="preserve">：Mojtaba合法性危机叠加经济崩盘叠加IRGC内部分裂叠加少数民族武装协调暴动，在数周至数月内使政权维持变为不可能，进入内战或准内战状态。</w:t>
      </w:r>
    </w:p>
    <w:p>
      <w:pPr>
        <w:pStyle w:val="BodyText"/>
      </w:pPr>
      <w:r>
        <w:rPr>
          <w:rFonts w:hint="eastAsia"/>
          <w:b/>
          <w:bCs/>
        </w:rPr>
        <w:t xml:space="preserve">【任何单一触发器都不足以引发瓦解，推断】</w:t>
      </w:r>
      <w:r>
        <w:br/>
      </w:r>
      <w:r>
        <w:rPr>
          <w:rFonts w:hint="eastAsia"/>
        </w:rPr>
        <w:t xml:space="preserve">历史上伊朗政权扛过了多次单一触发器（1988年接受停火、1999年学生抗议、2009年绿色运动、2019年汽油价格抗议、2022年Mahsa</w:t>
      </w:r>
      <w:r>
        <w:t xml:space="preserve"> </w:t>
      </w:r>
      <w:r>
        <w:rPr>
          <w:rFonts w:hint="eastAsia"/>
        </w:rPr>
        <w:t xml:space="preserve">Amini抗议）。真正的危险是</w:t>
      </w:r>
      <w:r>
        <w:rPr>
          <w:rFonts w:hint="eastAsia"/>
          <w:b/>
          <w:bCs/>
        </w:rPr>
        <w:t xml:space="preserve">三个触发器集中爆发</w:t>
      </w:r>
      <w:r>
        <w:rPr>
          <w:rFonts w:hint="eastAsia"/>
        </w:rPr>
        <w:t xml:space="preserve">：IRGC内部分裂</w:t>
      </w:r>
      <w:r>
        <w:t xml:space="preserve"> + </w:t>
      </w:r>
      <w:r>
        <w:rPr>
          <w:rFonts w:hint="eastAsia"/>
        </w:rPr>
        <w:t xml:space="preserve">少数民族协调起义</w:t>
      </w:r>
      <w:r>
        <w:t xml:space="preserve"> + </w:t>
      </w:r>
      <w:r>
        <w:rPr>
          <w:rFonts w:hint="eastAsia"/>
        </w:rPr>
        <w:t xml:space="preserve">经济崩盘。这三者同时出现在1979年以来历史上没有先例。</w:t>
      </w:r>
    </w:p>
    <w:p>
      <w:pPr>
        <w:pStyle w:val="BodyText"/>
      </w:pPr>
      <w:r>
        <w:rPr>
          <w:rFonts w:hint="eastAsia"/>
          <w:b/>
          <w:bCs/>
        </w:rPr>
        <w:t xml:space="preserve">【少数民族断层，事实】</w:t>
      </w:r>
      <w:r>
        <w:br/>
      </w:r>
      <w:r>
        <w:rPr>
          <w:rFonts w:hint="eastAsia"/>
        </w:rPr>
        <w:t xml:space="preserve">伊朗现有四条主要少数民族断层线，均在2025–2026年军事打击后被不同程度激活：</w:t>
      </w:r>
      <w:r>
        <w:t xml:space="preserve"> </w:t>
      </w:r>
      <w:r>
        <w:t xml:space="preserve">-</w:t>
      </w:r>
      <w:r>
        <w:t xml:space="preserve"> </w:t>
      </w:r>
      <w:r>
        <w:rPr>
          <w:rFonts w:hint="eastAsia"/>
          <w:b/>
          <w:bCs/>
        </w:rPr>
        <w:t xml:space="preserve">库尔德人</w:t>
      </w:r>
      <w:r>
        <w:rPr>
          <w:rFonts w:hint="eastAsia"/>
        </w:rPr>
        <w:t xml:space="preserve">（PJAK（库尔德自由生活党，伊朗库尔德武装）武装，西部边境）</w:t>
      </w:r>
      <w:r>
        <w:t xml:space="preserve"> </w:t>
      </w:r>
      <w:r>
        <w:t xml:space="preserve">-</w:t>
      </w:r>
      <w:r>
        <w:t xml:space="preserve"> </w:t>
      </w:r>
      <w:r>
        <w:rPr>
          <w:rFonts w:hint="eastAsia"/>
          <w:b/>
          <w:bCs/>
        </w:rPr>
        <w:t xml:space="preserve">阿塞拜疆族</w:t>
      </w:r>
      <w:r>
        <w:rPr>
          <w:rFonts w:hint="eastAsia"/>
        </w:rPr>
        <w:t xml:space="preserve">（西北部，靠近阿塞拜疆共和国）</w:t>
      </w:r>
      <w:r>
        <w:t xml:space="preserve"> </w:t>
      </w:r>
      <w:r>
        <w:t xml:space="preserve">-</w:t>
      </w:r>
      <w:r>
        <w:t xml:space="preserve"> </w:t>
      </w:r>
      <w:r>
        <w:rPr>
          <w:rFonts w:hint="eastAsia"/>
          <w:b/>
          <w:bCs/>
        </w:rPr>
        <w:t xml:space="preserve">Khuzestan阿拉伯人</w:t>
      </w:r>
      <w:r>
        <w:rPr>
          <w:rFonts w:hint="eastAsia"/>
        </w:rPr>
        <w:t xml:space="preserve">（ASMLA（阿瓦士解放阿拉伯人斗争运动，伊朗胡齐斯坦省阿拉伯武装）武装，控制伊朗约80%石油储量所在地区）</w:t>
      </w:r>
      <w:r>
        <w:t xml:space="preserve"> </w:t>
      </w:r>
      <w:r>
        <w:t xml:space="preserve">-</w:t>
      </w:r>
      <w:r>
        <w:t xml:space="preserve"> </w:t>
      </w:r>
      <w:r>
        <w:rPr>
          <w:b/>
          <w:bCs/>
        </w:rPr>
        <w:t xml:space="preserve">Baluchis</w:t>
      </w:r>
      <w:r>
        <w:rPr>
          <w:rFonts w:hint="eastAsia"/>
        </w:rPr>
        <w:t xml:space="preserve">（Jaish</w:t>
      </w:r>
      <w:r>
        <w:t xml:space="preserve"> </w:t>
      </w:r>
      <w:r>
        <w:rPr>
          <w:rFonts w:hint="eastAsia"/>
        </w:rPr>
        <w:t xml:space="preserve">al-Adl（正义军，伊朗俾路支逊尼派武装）武装，东南角对接巴基斯坦Balochistan）</w:t>
      </w:r>
    </w:p>
    <w:p>
      <w:pPr>
        <w:pStyle w:val="BodyText"/>
      </w:pPr>
      <w:r>
        <w:rPr>
          <w:rFonts w:hint="eastAsia"/>
          <w:b/>
          <w:bCs/>
        </w:rPr>
        <w:t xml:space="preserve">【地区二阶效应，推断】</w:t>
      </w:r>
      <w:r>
        <w:br/>
      </w:r>
      <w:r>
        <w:rPr>
          <w:rFonts w:hint="eastAsia"/>
        </w:rPr>
        <w:t xml:space="preserve">这是地缘震荡性最强的情景：</w:t>
      </w:r>
      <w:r>
        <w:t xml:space="preserve"> </w:t>
      </w:r>
      <w:r>
        <w:t xml:space="preserve">- </w:t>
      </w:r>
      <w:r>
        <w:rPr>
          <w:rFonts w:hint="eastAsia"/>
        </w:rPr>
        <w:t xml:space="preserve">伊拉克：PMF（人民动员力量，伊拉克什叶派民兵联合组织）失去德黑兰后盾，碎片化；伊拉克Sunni/Shia/Kurd三分裂内核通过PMF反向被激活</w:t>
      </w:r>
      <w:r>
        <w:t xml:space="preserve"> </w:t>
      </w:r>
      <w:r>
        <w:t xml:space="preserve">- </w:t>
      </w:r>
      <w:r>
        <w:rPr>
          <w:rFonts w:hint="eastAsia"/>
        </w:rPr>
        <w:t xml:space="preserve">真主党：年度预算约7–10亿美元，其中据报道约70–80%来自伊朗（来源：以色列情报评估及西方研究机构，但真主党财务信息高度不透明，置信度中等）。</w:t>
      </w:r>
      <w:r>
        <w:rPr>
          <w:rFonts w:hint="eastAsia"/>
          <w:i/>
          <w:iCs/>
        </w:rPr>
        <w:t xml:space="preserve">需注意：真主党有独立财源存在，包括据报道的跨国毒品网络、黎巴嫩本地商业投资、非洲和南美侨民捐款，估计约占总预算20–30%——这意味着伊朗资金断裂不会立即导致真主党全面瓦解，但会迫使其大幅削减军事能力。2011–2013年叙利亚干预期间伊朗曾削减对其资金，真主党通过提高本地动员和外部捐款渡过；当前规模更大的冲击会有不同结果，但完全依赖伊朗转账的假设需要修正。</w:t>
      </w:r>
      <w:hyperlink r:id="rId45">
        <w:r>
          <w:rPr>
            <w:rStyle w:val="Hyperlink"/>
          </w:rPr>
          <w:t xml:space="preserve">Ronen Bergman《Rise and Kill </w:t>
        </w:r>
        <w:r>
          <w:rPr>
            <w:rStyle w:val="Hyperlink"/>
            <w:rFonts w:hint="eastAsia"/>
          </w:rPr>
          <w:t xml:space="preserve">First》（2018）</w:t>
        </w:r>
      </w:hyperlink>
      <w:r>
        <w:rPr>
          <w:rFonts w:hint="eastAsia"/>
        </w:rPr>
        <w:t xml:space="preserve">记录的Mossad长期”管理性过渡”原则，预示以色列倾向于避免真主党在伊朗内战压力下发动”绝命一击”</w:t>
      </w:r>
      <w:r>
        <w:t xml:space="preserve"> </w:t>
      </w:r>
      <w:r>
        <w:t xml:space="preserve">- </w:t>
      </w:r>
      <w:r>
        <w:rPr>
          <w:rFonts w:hint="eastAsia"/>
        </w:rPr>
        <w:t xml:space="preserve">巴基斯坦：Balochistan跨界共振是1971年东巴分裂后最大的领土完整威胁</w:t>
      </w:r>
      <w:r>
        <w:t xml:space="preserve"> </w:t>
      </w:r>
      <w:r>
        <w:t xml:space="preserve">- </w:t>
      </w:r>
      <w:r>
        <w:rPr>
          <w:rFonts w:hint="eastAsia"/>
        </w:rPr>
        <w:t xml:space="preserve">ISIS-K：叙利亚-伊拉克边境国家管理崩溃会给其复苏创造窗口</w:t>
      </w:r>
      <w:r>
        <w:t xml:space="preserve"> </w:t>
      </w:r>
      <w:r>
        <w:t xml:space="preserve">-</w:t>
      </w:r>
      <w:r>
        <w:t xml:space="preserve"> </w:t>
      </w:r>
      <w:r>
        <w:rPr>
          <w:rFonts w:hint="eastAsia"/>
          <w:b/>
          <w:bCs/>
        </w:rPr>
        <w:t xml:space="preserve">核材料扩散</w:t>
      </w:r>
      <w:r>
        <w:rPr>
          <w:rFonts w:hint="eastAsia"/>
        </w:rPr>
        <w:t xml:space="preserve">：这是情景4中地区影响最大的单一变量（详见第四节核项目损失评估）</w:t>
      </w:r>
    </w:p>
    <w:p>
      <w:pPr>
        <w:pStyle w:val="BodyText"/>
      </w:pPr>
      <w:r>
        <w:rPr>
          <w:rFonts w:hint="eastAsia"/>
          <w:b/>
          <w:bCs/>
        </w:rPr>
        <w:t xml:space="preserve">分析师意见</w:t>
      </w:r>
      <w:r>
        <w:rPr>
          <w:rFonts w:hint="eastAsia"/>
        </w:rPr>
        <w:t xml:space="preserve">：</w:t>
      </w:r>
      <w:hyperlink r:id="rId41">
        <w:r>
          <w:rPr>
            <w:rStyle w:val="Hyperlink"/>
          </w:rPr>
          <w:t xml:space="preserve">Jon Alterman &amp; Daniel </w:t>
        </w:r>
        <w:r>
          <w:rPr>
            <w:rStyle w:val="Hyperlink"/>
            <w:rFonts w:hint="eastAsia"/>
          </w:rPr>
          <w:t xml:space="preserve">Byman（CSIS《Why</w:t>
        </w:r>
        <w:r>
          <w:rPr>
            <w:rStyle w:val="Hyperlink"/>
          </w:rPr>
          <w:t xml:space="preserve"> Decapitation Will Not Solve the United States’ Iran </w:t>
        </w:r>
        <w:r>
          <w:rPr>
            <w:rStyle w:val="Hyperlink"/>
            <w:rFonts w:hint="eastAsia"/>
          </w:rPr>
          <w:t xml:space="preserve">Problem》2026）</w:t>
        </w:r>
      </w:hyperlink>
      <w:r>
        <w:rPr>
          <w:rFonts w:hint="eastAsia"/>
        </w:rPr>
        <w:t xml:space="preserve">明确警告，斩首行动在制造权力真空的同时，也制造了内战的结构性条件——特别是在IRGC省级军团高度自治的背景下。他们认为这个风险被大多数政策分析低估。</w:t>
      </w:r>
    </w:p>
    <w:p>
      <w:r>
        <w:pict>
          <v:rect style="width:0;height:1.5pt" o:hralign="center" o:hrstd="t" o:hr="t"/>
        </w:pict>
      </w:r>
    </w:p>
    <w:bookmarkEnd w:id="46"/>
    <w:bookmarkEnd w:id="47"/>
    <w:bookmarkStart w:id="53" w:name="六概率判断与方法论"/>
    <w:p>
      <w:pPr>
        <w:pStyle w:val="Heading2"/>
      </w:pPr>
      <w:r>
        <w:rPr>
          <w:rFonts w:hint="eastAsia"/>
        </w:rPr>
        <w:t xml:space="preserve">六、概率判断与方法论</w:t>
      </w:r>
    </w:p>
    <w:p>
      <w:pPr>
        <w:pStyle w:val="CaptionedFigure"/>
      </w:pPr>
      <w:r>
        <w:drawing>
          <wp:inline>
            <wp:extent cx="5334000" cy="2997391"/>
            <wp:effectExtent b="0" l="0" r="0" t="0"/>
            <wp:docPr descr="图4：四情景概率分布" title="" id="49" name="Picture"/>
            <a:graphic>
              <a:graphicData uri="http://schemas.openxmlformats.org/drawingml/2006/picture">
                <pic:pic>
                  <pic:nvPicPr>
                    <pic:cNvPr descr="assets/fig02_4.png" id="50" name="Picture"/>
                    <pic:cNvPicPr>
                      <a:picLocks noChangeArrowheads="1" noChangeAspect="1"/>
                    </pic:cNvPicPr>
                  </pic:nvPicPr>
                  <pic:blipFill>
                    <a:blip r:embed="rId48"/>
                    <a:stretch>
                      <a:fillRect/>
                    </a:stretch>
                  </pic:blipFill>
                  <pic:spPr bwMode="auto">
                    <a:xfrm>
                      <a:off x="0" y="0"/>
                      <a:ext cx="5334000" cy="2997391"/>
                    </a:xfrm>
                    <a:prstGeom prst="rect">
                      <a:avLst/>
                    </a:prstGeom>
                    <a:noFill/>
                    <a:ln w="9525">
                      <a:noFill/>
                      <a:headEnd/>
                      <a:tailEnd/>
                    </a:ln>
                  </pic:spPr>
                </pic:pic>
              </a:graphicData>
            </a:graphic>
          </wp:inline>
        </w:drawing>
      </w:r>
    </w:p>
    <w:p>
      <w:pPr>
        <w:pStyle w:val="ImageCaption"/>
      </w:pPr>
      <w:r>
        <w:rPr>
          <w:rFonts w:hint="eastAsia"/>
        </w:rPr>
        <w:t xml:space="preserve">图4：四情景概率分布</w:t>
      </w:r>
    </w:p>
    <w:bookmarkStart w:id="51" w:name="三层依据"/>
    <w:p>
      <w:pPr>
        <w:pStyle w:val="Heading3"/>
      </w:pPr>
      <w:r>
        <w:rPr>
          <w:rFonts w:hint="eastAsia"/>
        </w:rPr>
        <w:t xml:space="preserve">三层依据</w:t>
      </w:r>
    </w:p>
    <w:p>
      <w:pPr>
        <w:pStyle w:val="FirstParagraph"/>
      </w:pPr>
      <w:r>
        <w:rPr>
          <w:rFonts w:hint="eastAsia"/>
          <w:b/>
          <w:bCs/>
        </w:rPr>
        <w:t xml:space="preserve">第一层：历史基率（权重最高）</w:t>
      </w:r>
      <w:r>
        <w:br/>
      </w:r>
      <w:r>
        <w:rPr>
          <w:rFonts w:hint="eastAsia"/>
        </w:rPr>
        <w:t xml:space="preserve">伊朗政权在1979年以来五次”可能瓦解”的关键时刻（1980年伊拉克入侵初期、1988年接受停火、1999年学生抗议、2009年绿色运动、2022年Mahsa</w:t>
      </w:r>
      <w:r>
        <w:t xml:space="preserve"> </w:t>
      </w:r>
      <w:r>
        <w:rPr>
          <w:rFonts w:hint="eastAsia"/>
        </w:rPr>
        <w:t xml:space="preserve">Amini抗议）全部扛过。这给”维持”路径一个约60–70%的先天prior。</w:t>
      </w:r>
    </w:p>
    <w:p>
      <w:pPr>
        <w:pStyle w:val="BodyText"/>
      </w:pPr>
      <w:r>
        <w:rPr>
          <w:rFonts w:hint="eastAsia"/>
          <w:i/>
          <w:iCs/>
        </w:rPr>
        <w:t xml:space="preserve">注：此基率来自单一政权的历史案例，存在存活者偏差（见第二节”关于历史基率的选择性偏差说明”）。如纳入比较政权（同等军事压力下的中东威权政权），基率应显著下调。本报告维持单国基率是方法论选择，不代表这是唯一正确的做法。</w:t>
      </w:r>
    </w:p>
    <w:p>
      <w:pPr>
        <w:pStyle w:val="BodyText"/>
      </w:pPr>
      <w:r>
        <w:rPr>
          <w:rFonts w:hint="eastAsia"/>
          <w:b/>
          <w:bCs/>
        </w:rPr>
        <w:t xml:space="preserve">第二层：结构性削弱（向下调整20–30个百分点（pp））</w:t>
      </w:r>
      <w:r>
        <w:br/>
      </w:r>
      <w:r>
        <w:rPr>
          <w:rFonts w:hint="eastAsia"/>
        </w:rPr>
        <w:t xml:space="preserve">三重打击同时发生是历史上从未有过的：</w:t>
      </w:r>
      <w:r>
        <w:t xml:space="preserve"> </w:t>
      </w:r>
      <w:r>
        <w:t xml:space="preserve">1. </w:t>
      </w:r>
      <w:r>
        <w:rPr>
          <w:rFonts w:hint="eastAsia"/>
        </w:rPr>
        <w:t xml:space="preserve">最高领袖遭斩首（哈梅内伊死亡）</w:t>
      </w:r>
      <w:r>
        <w:t xml:space="preserve"> </w:t>
      </w:r>
      <w:r>
        <w:t xml:space="preserve">2. </w:t>
      </w:r>
      <w:r>
        <w:rPr>
          <w:rFonts w:hint="eastAsia"/>
        </w:rPr>
        <w:t xml:space="preserve">IRGC军事存量大幅损毁（70%发射架</w:t>
      </w:r>
      <w:r>
        <w:t xml:space="preserve"> + </w:t>
      </w:r>
      <w:r>
        <w:rPr>
          <w:rFonts w:hint="eastAsia"/>
        </w:rPr>
        <w:t xml:space="preserve">92%海军）</w:t>
      </w:r>
      <w:r>
        <w:t xml:space="preserve"> </w:t>
      </w:r>
      <w:r>
        <w:t xml:space="preserve">3. </w:t>
      </w:r>
      <w:r>
        <w:rPr>
          <w:rFonts w:hint="eastAsia"/>
        </w:rPr>
        <w:t xml:space="preserve">经济结构性崩溃（月度石油收入-50%，rial崩溃）</w:t>
      </w:r>
    </w:p>
    <w:p>
      <w:pPr>
        <w:pStyle w:val="BodyText"/>
      </w:pPr>
      <w:r>
        <w:rPr>
          <w:rFonts w:hint="eastAsia"/>
        </w:rPr>
        <w:t xml:space="preserve">这三者叠加，把历史基率从60–70%往下拉了约20–30pp（百分点），最终”维持+停火维持”合计约为40–45%。</w:t>
      </w:r>
    </w:p>
    <w:p>
      <w:pPr>
        <w:pStyle w:val="BodyText"/>
      </w:pPr>
      <w:r>
        <w:rPr>
          <w:rFonts w:hint="eastAsia"/>
          <w:b/>
          <w:bCs/>
        </w:rPr>
        <w:t xml:space="preserve">第三层：市场定价（作为下界参照）</w:t>
      </w:r>
      <w:r>
        <w:br/>
      </w:r>
      <w:r>
        <w:rPr>
          <w:rFonts w:hint="eastAsia"/>
        </w:rPr>
        <w:t xml:space="preserve">Polymarket在2026年3月将崩溃情景定价于个位数百分比。这个数字偏低，可能反映了市场对”现状维持”的惯性偏见，但其</w:t>
      </w:r>
      <w:r>
        <w:rPr>
          <w:rFonts w:hint="eastAsia"/>
          <w:b/>
          <w:bCs/>
        </w:rPr>
        <w:t xml:space="preserve">方向性</w:t>
      </w:r>
      <w:r>
        <w:rPr>
          <w:rFonts w:hint="eastAsia"/>
        </w:rPr>
        <w:t xml:space="preserve">（崩溃概率低于10%）与本报告判断基本一致。本报告将快速瓦解定价于8–12%，比Polymarket稍高，反映了少数民族断层和IRGC省级去中心化这两个市场可能低估的结构性变量。</w:t>
      </w:r>
    </w:p>
    <w:bookmarkEnd w:id="51"/>
    <w:bookmarkStart w:id="52" w:name="概率汇总表"/>
    <w:p>
      <w:pPr>
        <w:pStyle w:val="Heading3"/>
      </w:pPr>
      <w:r>
        <w:rPr>
          <w:rFonts w:hint="eastAsia"/>
        </w:rPr>
        <w:t xml:space="preserve">概率汇总表</w:t>
      </w:r>
    </w:p>
    <w:tbl>
      <w:tblPr>
        <w:tblStyle w:val="Table"/>
        <w:tblW w:type="pct" w:w="5000"/>
        <w:tblLayout w:type="fixed"/>
        <w:tblLook w:firstRow="1" w:lastRow="0" w:firstColumn="0" w:lastColumn="0" w:noHBand="0" w:noVBand="0" w:val="0020"/>
      </w:tblPr>
      <w:tblGrid>
        <w:gridCol w:w="1485"/>
        <w:gridCol w:w="1980"/>
        <w:gridCol w:w="1485"/>
        <w:gridCol w:w="2970"/>
      </w:tblGrid>
      <w:tr>
        <w:trPr>
          <w:tblHeader w:val="on"/>
        </w:trPr>
        <w:tc>
          <w:tcPr/>
          <w:p>
            <w:pPr>
              <w:pStyle w:val="Compact"/>
            </w:pPr>
            <w:r>
              <w:rPr>
                <w:rFonts w:hint="eastAsia"/>
              </w:rPr>
              <w:t xml:space="preserve">前景</w:t>
            </w:r>
          </w:p>
        </w:tc>
        <w:tc>
          <w:tcPr/>
          <w:p>
            <w:pPr>
              <w:pStyle w:val="Compact"/>
            </w:pPr>
            <w:r>
              <w:rPr>
                <w:rFonts w:hint="eastAsia"/>
              </w:rPr>
              <w:t xml:space="preserve">概率中值</w:t>
            </w:r>
          </w:p>
        </w:tc>
        <w:tc>
          <w:tcPr/>
          <w:p>
            <w:pPr>
              <w:pStyle w:val="Compact"/>
            </w:pPr>
            <w:r>
              <w:rPr>
                <w:rFonts w:hint="eastAsia"/>
              </w:rPr>
              <w:t xml:space="preserve">区间</w:t>
            </w:r>
          </w:p>
        </w:tc>
        <w:tc>
          <w:tcPr/>
          <w:p>
            <w:pPr>
              <w:pStyle w:val="Compact"/>
            </w:pPr>
            <w:r>
              <w:rPr>
                <w:rFonts w:hint="eastAsia"/>
              </w:rPr>
              <w:t xml:space="preserve">关键不确定性</w:t>
            </w:r>
          </w:p>
        </w:tc>
      </w:tr>
      <w:tr>
        <w:tc>
          <w:tcPr/>
          <w:p>
            <w:pPr>
              <w:pStyle w:val="Compact"/>
            </w:pPr>
            <w:r>
              <w:rPr>
                <w:rFonts w:hint="eastAsia"/>
              </w:rPr>
              <w:t xml:space="preserve">情景1：停火+维持</w:t>
            </w:r>
          </w:p>
        </w:tc>
        <w:tc>
          <w:tcPr/>
          <w:p>
            <w:pPr>
              <w:pStyle w:val="Compact"/>
            </w:pPr>
            <w:r>
              <w:t xml:space="preserve">42.5%</w:t>
            </w:r>
          </w:p>
        </w:tc>
        <w:tc>
          <w:tcPr/>
          <w:p>
            <w:pPr>
              <w:pStyle w:val="Compact"/>
            </w:pPr>
            <w:r>
              <w:t xml:space="preserve">40–45%</w:t>
            </w:r>
          </w:p>
        </w:tc>
        <w:tc>
          <w:tcPr/>
          <w:p>
            <w:pPr>
              <w:pStyle w:val="Compact"/>
            </w:pPr>
            <w:r>
              <w:rPr>
                <w:rFonts w:hint="eastAsia"/>
              </w:rPr>
              <w:t xml:space="preserve">Sistani是否公开认可Mojtaba</w:t>
            </w:r>
          </w:p>
        </w:tc>
      </w:tr>
      <w:tr>
        <w:tc>
          <w:tcPr/>
          <w:p>
            <w:pPr>
              <w:pStyle w:val="Compact"/>
            </w:pPr>
            <w:r>
              <w:rPr>
                <w:rFonts w:hint="eastAsia"/>
              </w:rPr>
              <w:t xml:space="preserve">情景2：军政府化</w:t>
            </w:r>
          </w:p>
        </w:tc>
        <w:tc>
          <w:tcPr/>
          <w:p>
            <w:pPr>
              <w:pStyle w:val="Compact"/>
            </w:pPr>
            <w:r>
              <w:t xml:space="preserve">12.5%</w:t>
            </w:r>
          </w:p>
        </w:tc>
        <w:tc>
          <w:tcPr/>
          <w:p>
            <w:pPr>
              <w:pStyle w:val="Compact"/>
            </w:pPr>
            <w:r>
              <w:t xml:space="preserve">10–15%</w:t>
            </w:r>
          </w:p>
        </w:tc>
        <w:tc>
          <w:tcPr/>
          <w:p>
            <w:pPr>
              <w:pStyle w:val="Compact"/>
            </w:pPr>
            <w:r>
              <w:rPr>
                <w:rFonts w:hint="eastAsia"/>
              </w:rPr>
              <w:t xml:space="preserve">IRGC四人核心能否整合</w:t>
            </w:r>
          </w:p>
        </w:tc>
      </w:tr>
      <w:tr>
        <w:tc>
          <w:tcPr/>
          <w:p>
            <w:pPr>
              <w:pStyle w:val="Compact"/>
            </w:pPr>
            <w:r>
              <w:rPr>
                <w:rFonts w:hint="eastAsia"/>
              </w:rPr>
              <w:t xml:space="preserve">情景3：缓慢侵蚀</w:t>
            </w:r>
          </w:p>
        </w:tc>
        <w:tc>
          <w:tcPr/>
          <w:p>
            <w:pPr>
              <w:pStyle w:val="Compact"/>
            </w:pPr>
            <w:r>
              <w:t xml:space="preserve">13.5%</w:t>
            </w:r>
          </w:p>
        </w:tc>
        <w:tc>
          <w:tcPr/>
          <w:p>
            <w:pPr>
              <w:pStyle w:val="Compact"/>
            </w:pPr>
            <w:r>
              <w:t xml:space="preserve">12–15%</w:t>
            </w:r>
          </w:p>
        </w:tc>
        <w:tc>
          <w:tcPr/>
          <w:p>
            <w:pPr>
              <w:pStyle w:val="Compact"/>
            </w:pPr>
            <w:r>
              <w:rPr>
                <w:rFonts w:hint="eastAsia"/>
              </w:rPr>
              <w:t xml:space="preserve">是否出现”戈尔巴乔夫式”内部转型力量</w:t>
            </w:r>
          </w:p>
        </w:tc>
      </w:tr>
      <w:tr>
        <w:tc>
          <w:tcPr/>
          <w:p>
            <w:pPr>
              <w:pStyle w:val="Compact"/>
            </w:pPr>
            <w:r>
              <w:rPr>
                <w:rFonts w:hint="eastAsia"/>
              </w:rPr>
              <w:t xml:space="preserve">情景4：快速瓦解</w:t>
            </w:r>
          </w:p>
        </w:tc>
        <w:tc>
          <w:tcPr/>
          <w:p>
            <w:pPr>
              <w:pStyle w:val="Compact"/>
            </w:pPr>
            <w:r>
              <w:t xml:space="preserve">10.0%</w:t>
            </w:r>
          </w:p>
        </w:tc>
        <w:tc>
          <w:tcPr/>
          <w:p>
            <w:pPr>
              <w:pStyle w:val="Compact"/>
            </w:pPr>
            <w:r>
              <w:t xml:space="preserve">8–12%</w:t>
            </w:r>
          </w:p>
        </w:tc>
        <w:tc>
          <w:tcPr/>
          <w:p>
            <w:pPr>
              <w:pStyle w:val="Compact"/>
            </w:pPr>
            <w:r>
              <w:rPr>
                <w:rFonts w:hint="eastAsia"/>
              </w:rPr>
              <w:t xml:space="preserve">三触发器是否集中爆发</w:t>
            </w:r>
          </w:p>
        </w:tc>
      </w:tr>
      <w:tr>
        <w:tc>
          <w:tcPr/>
          <w:p>
            <w:pPr>
              <w:pStyle w:val="Compact"/>
            </w:pPr>
            <w:r>
              <w:rPr>
                <w:rFonts w:hint="eastAsia"/>
              </w:rPr>
              <w:t xml:space="preserve">混合/其他</w:t>
            </w:r>
          </w:p>
        </w:tc>
        <w:tc>
          <w:tcPr/>
          <w:p>
            <w:pPr>
              <w:pStyle w:val="Compact"/>
            </w:pPr>
            <w:r>
              <w:t xml:space="preserve">5.0%</w:t>
            </w:r>
          </w:p>
        </w:tc>
        <w:tc>
          <w:tcPr/>
          <w:p>
            <w:pPr>
              <w:pStyle w:val="Compact"/>
            </w:pPr>
            <w:r>
              <w:t xml:space="preserve">4–6%</w:t>
            </w:r>
          </w:p>
        </w:tc>
        <w:tc>
          <w:tcPr/>
          <w:p>
            <w:pPr>
              <w:pStyle w:val="Compact"/>
            </w:pPr>
            <w:r>
              <w:t xml:space="preserve">—</w:t>
            </w:r>
          </w:p>
        </w:tc>
      </w:tr>
      <w:tr>
        <w:tc>
          <w:tcPr/>
          <w:p>
            <w:pPr>
              <w:pStyle w:val="Compact"/>
            </w:pPr>
            <w:r>
              <w:rPr>
                <w:rFonts w:hint="eastAsia"/>
                <w:b/>
                <w:bCs/>
              </w:rPr>
              <w:t xml:space="preserve">小计</w:t>
            </w:r>
          </w:p>
        </w:tc>
        <w:tc>
          <w:tcPr/>
          <w:p>
            <w:pPr>
              <w:pStyle w:val="Compact"/>
            </w:pPr>
            <w:r>
              <w:rPr>
                <w:b/>
                <w:bCs/>
              </w:rPr>
              <w:t xml:space="preserve">83.5%</w:t>
            </w:r>
          </w:p>
        </w:tc>
        <w:tc>
          <w:tcPr/>
          <w:p>
            <w:pPr>
              <w:pStyle w:val="Compact"/>
            </w:pPr>
            <w:r>
              <w:rPr>
                <w:b/>
                <w:bCs/>
              </w:rPr>
              <w:t xml:space="preserve">78–93%</w:t>
            </w:r>
          </w:p>
        </w:tc>
        <w:tc>
          <w:tcPr/>
          <w:p>
            <w:pPr>
              <w:pStyle w:val="Compact"/>
            </w:pPr>
            <w:r>
              <w:t xml:space="preserve">—</w:t>
            </w:r>
          </w:p>
        </w:tc>
      </w:tr>
      <w:tr>
        <w:tc>
          <w:tcPr/>
          <w:p>
            <w:pPr>
              <w:pStyle w:val="Compact"/>
            </w:pPr>
            <w:r>
              <w:rPr>
                <w:rFonts w:hint="eastAsia"/>
              </w:rPr>
              <w:t xml:space="preserve">模型不确定性</w:t>
            </w:r>
          </w:p>
        </w:tc>
        <w:tc>
          <w:tcPr/>
          <w:p>
            <w:pPr>
              <w:pStyle w:val="Compact"/>
            </w:pPr>
            <w:r>
              <w:t xml:space="preserve">~16.5%</w:t>
            </w:r>
          </w:p>
        </w:tc>
        <w:tc>
          <w:tcPr/>
          <w:p>
            <w:pPr>
              <w:pStyle w:val="Compact"/>
            </w:pPr>
            <w:r>
              <w:t xml:space="preserve">—</w:t>
            </w:r>
          </w:p>
        </w:tc>
        <w:tc>
          <w:tcPr/>
          <w:p>
            <w:pPr>
              <w:pStyle w:val="Compact"/>
            </w:pPr>
            <w:r>
              <w:rPr>
                <w:rFonts w:hint="eastAsia"/>
              </w:rPr>
              <w:t xml:space="preserve">框架无法捕捉的情景（如外部再升级打断所有现有路径）</w:t>
            </w:r>
          </w:p>
        </w:tc>
      </w:tr>
    </w:tbl>
    <w:p>
      <w:pPr>
        <w:pStyle w:val="BodyText"/>
      </w:pPr>
      <w:r>
        <w:rPr>
          <w:rFonts w:hint="eastAsia"/>
          <w:i/>
          <w:iCs/>
        </w:rPr>
        <w:t xml:space="preserve">注：四情景中值合计83.5%，不等于100%。余下约16.5%代表本框架无法穷举的情景——这是任何情景分析的认识论限制，不是计算错误。两个框架外情景例子：（1）美国中期选举后政策剧变导致大规模地面干预；（2）核材料扩散触发国际联合强制核查行动。</w:t>
      </w:r>
    </w:p>
    <w:p>
      <w:r>
        <w:pict>
          <v:rect style="width:0;height:1.5pt" o:hralign="center" o:hrstd="t" o:hr="t"/>
        </w:pict>
      </w:r>
    </w:p>
    <w:bookmarkEnd w:id="52"/>
    <w:bookmarkEnd w:id="53"/>
    <w:bookmarkStart w:id="61" w:name="七各路径的可观察节点"/>
    <w:p>
      <w:pPr>
        <w:pStyle w:val="Heading2"/>
      </w:pPr>
      <w:r>
        <w:rPr>
          <w:rFonts w:hint="eastAsia"/>
        </w:rPr>
        <w:t xml:space="preserve">七、各路径的可观察节点</w:t>
      </w:r>
    </w:p>
    <w:p>
      <w:pPr>
        <w:pStyle w:val="FirstParagraph"/>
      </w:pPr>
      <w:r>
        <w:rPr>
          <w:rFonts w:hint="eastAsia"/>
        </w:rPr>
        <w:t xml:space="preserve">这些不是预测，是</w:t>
      </w:r>
      <w:r>
        <w:rPr>
          <w:rFonts w:hint="eastAsia"/>
          <w:b/>
          <w:bCs/>
        </w:rPr>
        <w:t xml:space="preserve">可证伪的检验靶</w:t>
      </w:r>
      <w:r>
        <w:rPr>
          <w:rFonts w:hint="eastAsia"/>
        </w:rPr>
        <w:t xml:space="preserve">（falsifiable</w:t>
      </w:r>
      <w:r>
        <w:t xml:space="preserve"> </w:t>
      </w:r>
      <w:r>
        <w:rPr>
          <w:rFonts w:hint="eastAsia"/>
        </w:rPr>
        <w:t xml:space="preserve">indicators）。每个节点变动时，重新分配概率权重。</w:t>
      </w:r>
    </w:p>
    <w:bookmarkStart w:id="55" w:name="情景1维持的节点"/>
    <w:p>
      <w:pPr>
        <w:pStyle w:val="Heading3"/>
      </w:pPr>
      <w:r>
        <w:rPr>
          <w:rFonts w:hint="eastAsia"/>
        </w:rPr>
        <w:t xml:space="preserve">情景1（维持）的节点</w:t>
      </w:r>
    </w:p>
    <w:p>
      <w:pPr>
        <w:pStyle w:val="Compact"/>
        <w:numPr>
          <w:ilvl w:val="0"/>
          <w:numId w:val="1003"/>
        </w:numPr>
      </w:pPr>
      <w:r>
        <w:t xml:space="preserve">☐</w:t>
      </w:r>
      <w:r>
        <w:t xml:space="preserve"> </w:t>
      </w:r>
      <w:r>
        <w:rPr>
          <w:rFonts w:hint="eastAsia"/>
          <w:b/>
          <w:bCs/>
        </w:rPr>
        <w:t xml:space="preserve">Sistani出席或公开认可Mojtaba继位仪式</w:t>
      </w:r>
      <w:r>
        <w:rPr>
          <w:rFonts w:hint="eastAsia"/>
        </w:rPr>
        <w:t xml:space="preserve">（最高权重单一指标；如果沉默或不出席，维持路径概率从40–45%跌至约20–25%）</w:t>
      </w:r>
    </w:p>
    <w:p>
      <w:pPr>
        <w:pStyle w:val="Compact"/>
        <w:numPr>
          <w:ilvl w:val="0"/>
          <w:numId w:val="1003"/>
        </w:numPr>
      </w:pPr>
      <w:r>
        <w:t xml:space="preserve">☐ </w:t>
      </w:r>
      <w:r>
        <w:rPr>
          <w:rFonts w:hint="eastAsia"/>
        </w:rPr>
        <w:t xml:space="preserve">巴基斯坦斡旋停火升级为正式协议框架</w:t>
      </w:r>
    </w:p>
    <w:p>
      <w:pPr>
        <w:pStyle w:val="Compact"/>
        <w:numPr>
          <w:ilvl w:val="0"/>
          <w:numId w:val="1003"/>
        </w:numPr>
      </w:pPr>
      <w:r>
        <w:t xml:space="preserve">☐ </w:t>
      </w:r>
      <w:r>
        <w:rPr>
          <w:rFonts w:hint="eastAsia"/>
        </w:rPr>
        <w:t xml:space="preserve">IAEA恢复对伊朗实地核查（当前为零）</w:t>
      </w:r>
    </w:p>
    <w:p>
      <w:pPr>
        <w:pStyle w:val="Compact"/>
        <w:numPr>
          <w:ilvl w:val="0"/>
          <w:numId w:val="1003"/>
        </w:numPr>
      </w:pPr>
      <w:r>
        <w:rPr>
          <w:rFonts w:hint="eastAsia"/>
        </w:rPr>
        <w:t xml:space="preserve">监测来源：</w:t>
      </w:r>
      <w:hyperlink r:id="rId54">
        <w:r>
          <w:rPr>
            <w:rStyle w:val="Hyperlink"/>
          </w:rPr>
          <w:t xml:space="preserve">IAEA Board of </w:t>
        </w:r>
        <w:r>
          <w:rPr>
            <w:rStyle w:val="Hyperlink"/>
            <w:rFonts w:hint="eastAsia"/>
          </w:rPr>
          <w:t xml:space="preserve">Governors季度报告</w:t>
        </w:r>
      </w:hyperlink>
      <w:r>
        <w:rPr>
          <w:rFonts w:hint="eastAsia"/>
        </w:rPr>
        <w:t xml:space="preserve">；IRNA/PressTV/Tasnim/Fars四家官媒报道差异</w:t>
      </w:r>
    </w:p>
    <w:bookmarkEnd w:id="55"/>
    <w:bookmarkStart w:id="56" w:name="情景2军政府化的节点"/>
    <w:p>
      <w:pPr>
        <w:pStyle w:val="Heading3"/>
      </w:pPr>
      <w:r>
        <w:rPr>
          <w:rFonts w:hint="eastAsia"/>
        </w:rPr>
        <w:t xml:space="preserve">情景2（军政府化）的节点</w:t>
      </w:r>
    </w:p>
    <w:p>
      <w:pPr>
        <w:pStyle w:val="Compact"/>
        <w:numPr>
          <w:ilvl w:val="0"/>
          <w:numId w:val="1004"/>
        </w:numPr>
      </w:pPr>
      <w:r>
        <w:t xml:space="preserve">☐ </w:t>
      </w:r>
      <w:r>
        <w:rPr>
          <w:rFonts w:hint="eastAsia"/>
        </w:rPr>
        <w:t xml:space="preserve">省级IRGC军团司令出现非自然死亡或失踪（内部清洗迹象）</w:t>
      </w:r>
    </w:p>
    <w:p>
      <w:pPr>
        <w:pStyle w:val="Compact"/>
        <w:numPr>
          <w:ilvl w:val="0"/>
          <w:numId w:val="1004"/>
        </w:numPr>
      </w:pPr>
      <w:r>
        <w:t xml:space="preserve">☐ </w:t>
      </w:r>
      <w:r>
        <w:rPr>
          <w:rFonts w:hint="eastAsia"/>
        </w:rPr>
        <w:t xml:space="preserve">国防委员会人事重组异常加速</w:t>
      </w:r>
    </w:p>
    <w:p>
      <w:pPr>
        <w:pStyle w:val="Compact"/>
        <w:numPr>
          <w:ilvl w:val="0"/>
          <w:numId w:val="1004"/>
        </w:numPr>
      </w:pPr>
      <w:r>
        <w:t xml:space="preserve">☐ </w:t>
      </w:r>
      <w:r>
        <w:rPr>
          <w:rFonts w:hint="eastAsia"/>
        </w:rPr>
        <w:t xml:space="preserve">Vahidi公开发表超越”IRGC总司令”职责边界的政治表态</w:t>
      </w:r>
    </w:p>
    <w:p>
      <w:pPr>
        <w:pStyle w:val="Compact"/>
        <w:numPr>
          <w:ilvl w:val="0"/>
          <w:numId w:val="1004"/>
        </w:numPr>
      </w:pPr>
      <w:r>
        <w:rPr>
          <w:rFonts w:hint="eastAsia"/>
        </w:rPr>
        <w:t xml:space="preserve">监测来源：IRGC官媒高级人事公告（通常每月1–2次）</w:t>
      </w:r>
    </w:p>
    <w:bookmarkEnd w:id="56"/>
    <w:bookmarkStart w:id="58" w:name="情景3缓慢侵蚀的节点"/>
    <w:p>
      <w:pPr>
        <w:pStyle w:val="Heading3"/>
      </w:pPr>
      <w:r>
        <w:rPr>
          <w:rFonts w:hint="eastAsia"/>
        </w:rPr>
        <w:t xml:space="preserve">情景3（缓慢侵蚀）的节点</w:t>
      </w:r>
    </w:p>
    <w:p>
      <w:pPr>
        <w:pStyle w:val="Compact"/>
        <w:numPr>
          <w:ilvl w:val="0"/>
          <w:numId w:val="1005"/>
        </w:numPr>
      </w:pPr>
      <w:r>
        <w:t xml:space="preserve">☐ </w:t>
      </w:r>
      <w:r>
        <w:rPr>
          <w:rFonts w:hint="eastAsia"/>
        </w:rPr>
        <w:t xml:space="preserve">rial汇率突破1:120,000（市场对政权信心的历史门槛）</w:t>
      </w:r>
    </w:p>
    <w:p>
      <w:pPr>
        <w:pStyle w:val="Compact"/>
        <w:numPr>
          <w:ilvl w:val="0"/>
          <w:numId w:val="1005"/>
        </w:numPr>
      </w:pPr>
      <w:r>
        <w:t xml:space="preserve">☐ </w:t>
      </w:r>
      <w:r>
        <w:rPr>
          <w:rFonts w:hint="eastAsia"/>
        </w:rPr>
        <w:t xml:space="preserve">Pezeshkian政府能否延续至2028年大选</w:t>
      </w:r>
    </w:p>
    <w:p>
      <w:pPr>
        <w:pStyle w:val="Compact"/>
        <w:numPr>
          <w:ilvl w:val="0"/>
          <w:numId w:val="1005"/>
        </w:numPr>
      </w:pPr>
      <w:r>
        <w:t xml:space="preserve">☐ </w:t>
      </w:r>
      <w:r>
        <w:rPr>
          <w:rFonts w:hint="eastAsia"/>
        </w:rPr>
        <w:t xml:space="preserve">伊朗海外护照申请数持续上升（脑外流加速）</w:t>
      </w:r>
    </w:p>
    <w:p>
      <w:pPr>
        <w:pStyle w:val="Compact"/>
        <w:numPr>
          <w:ilvl w:val="0"/>
          <w:numId w:val="1005"/>
        </w:numPr>
      </w:pPr>
      <w:r>
        <w:rPr>
          <w:rFonts w:hint="eastAsia"/>
        </w:rPr>
        <w:t xml:space="preserve">监测来源：</w:t>
      </w:r>
      <w:hyperlink r:id="rId57">
        <w:r>
          <w:rPr>
            <w:rStyle w:val="Hyperlink"/>
          </w:rPr>
          <w:t xml:space="preserve">Bonbast.com </w:t>
        </w:r>
        <w:r>
          <w:rPr>
            <w:rStyle w:val="Hyperlink"/>
            <w:rFonts w:hint="eastAsia"/>
          </w:rPr>
          <w:t xml:space="preserve">rial黑市汇率</w:t>
        </w:r>
      </w:hyperlink>
      <w:r>
        <w:rPr>
          <w:rFonts w:hint="eastAsia"/>
        </w:rPr>
        <w:t xml:space="preserve">（日更新）；</w:t>
      </w:r>
      <w:hyperlink r:id="rId34">
        <w:r>
          <w:rPr>
            <w:rStyle w:val="Hyperlink"/>
          </w:rPr>
          <w:t xml:space="preserve">Bourse &amp; Bazaar Foundation</w:t>
        </w:r>
      </w:hyperlink>
      <w:r>
        <w:rPr>
          <w:rFonts w:hint="eastAsia"/>
        </w:rPr>
        <w:t xml:space="preserve">护照数据</w:t>
      </w:r>
    </w:p>
    <w:bookmarkEnd w:id="58"/>
    <w:bookmarkStart w:id="60" w:name="情景4快速瓦解的节点"/>
    <w:p>
      <w:pPr>
        <w:pStyle w:val="Heading3"/>
      </w:pPr>
      <w:r>
        <w:rPr>
          <w:rFonts w:hint="eastAsia"/>
        </w:rPr>
        <w:t xml:space="preserve">情景4（快速瓦解）的节点</w:t>
      </w:r>
    </w:p>
    <w:p>
      <w:pPr>
        <w:pStyle w:val="Compact"/>
        <w:numPr>
          <w:ilvl w:val="0"/>
          <w:numId w:val="1006"/>
        </w:numPr>
      </w:pPr>
      <w:r>
        <w:rPr>
          <w:rFonts w:hint="eastAsia"/>
        </w:rPr>
        <w:t xml:space="preserve">省级IRGC司令公开发声异议（最关键的单一结构性信号）</w:t>
      </w:r>
    </w:p>
    <w:p>
      <w:pPr>
        <w:pStyle w:val="Compact"/>
        <w:numPr>
          <w:ilvl w:val="0"/>
          <w:numId w:val="1007"/>
        </w:numPr>
      </w:pPr>
      <w:r>
        <w:t xml:space="preserve">PJAK/Jaish </w:t>
      </w:r>
      <w:r>
        <w:rPr>
          <w:rFonts w:hint="eastAsia"/>
        </w:rPr>
        <w:t xml:space="preserve">al-Adl/ASMLA月度袭击频率突破上季度峰值50%以上</w:t>
      </w:r>
    </w:p>
    <w:p>
      <w:pPr>
        <w:pStyle w:val="Compact"/>
        <w:numPr>
          <w:ilvl w:val="0"/>
          <w:numId w:val="1008"/>
        </w:numPr>
      </w:pPr>
      <w:r>
        <w:rPr>
          <w:rFonts w:hint="eastAsia"/>
          <w:b/>
          <w:bCs/>
        </w:rPr>
        <w:t xml:space="preserve">核材料失踪报告或IRGC核工程师叛逃</w:t>
      </w:r>
      <w:r>
        <w:rPr>
          <w:rFonts w:hint="eastAsia"/>
        </w:rPr>
        <w:t xml:space="preserve">（与核项目扩散风险直接挂钩，是最高烈度尾部风险的先行信号）</w:t>
      </w:r>
    </w:p>
    <w:p>
      <w:pPr>
        <w:pStyle w:val="Compact"/>
        <w:numPr>
          <w:ilvl w:val="0"/>
          <w:numId w:val="1009"/>
        </w:numPr>
      </w:pPr>
      <w:r>
        <w:rPr>
          <w:rFonts w:hint="eastAsia"/>
        </w:rPr>
        <w:t xml:space="preserve">IRGC海军在霍尔木兹”私自”扣船事件频率上升（</w:t>
      </w:r>
      <w:hyperlink r:id="rId59">
        <w:r>
          <w:rPr>
            <w:rStyle w:val="Hyperlink"/>
          </w:rPr>
          <w:t xml:space="preserve">Atlantic Council 2026-03《Tehran’s Toll </w:t>
        </w:r>
        <w:r>
          <w:rPr>
            <w:rStyle w:val="Hyperlink"/>
            <w:rFonts w:hint="eastAsia"/>
          </w:rPr>
          <w:t xml:space="preserve">Booth》报告</w:t>
        </w:r>
      </w:hyperlink>
      <w:r>
        <w:rPr>
          <w:rFonts w:hint="eastAsia"/>
        </w:rPr>
        <w:t xml:space="preserve">已记录IRGC海军对过往船只收取每艘$200万通行费的行为）</w:t>
      </w:r>
    </w:p>
    <w:p>
      <w:r>
        <w:pict>
          <v:rect style="width:0;height:1.5pt" o:hralign="center" o:hrstd="t" o:hr="t"/>
        </w:pict>
      </w:r>
    </w:p>
    <w:bookmarkEnd w:id="60"/>
    <w:bookmarkEnd w:id="61"/>
    <w:bookmarkStart w:id="72" w:name="八地区二阶传导概览"/>
    <w:p>
      <w:pPr>
        <w:pStyle w:val="Heading2"/>
      </w:pPr>
      <w:r>
        <w:rPr>
          <w:rFonts w:hint="eastAsia"/>
        </w:rPr>
        <w:t xml:space="preserve">八、地区二阶传导概览</w:t>
      </w:r>
    </w:p>
    <w:p>
      <w:pPr>
        <w:pStyle w:val="FirstParagraph"/>
      </w:pPr>
      <w:r>
        <w:rPr>
          <w:rFonts w:hint="eastAsia"/>
          <w:i/>
          <w:iCs/>
        </w:rPr>
        <w:t xml:space="preserve">以下分析聚焦各国在不同情景下的差异性反应，相同行为不重复描述。</w:t>
      </w:r>
    </w:p>
    <w:bookmarkStart w:id="64" w:name="沙特阿拉伯"/>
    <w:p>
      <w:pPr>
        <w:pStyle w:val="Heading3"/>
      </w:pPr>
      <w:r>
        <w:rPr>
          <w:rFonts w:hint="eastAsia"/>
        </w:rPr>
        <w:t xml:space="preserve">沙特阿拉伯</w:t>
      </w:r>
    </w:p>
    <w:p>
      <w:pPr>
        <w:pStyle w:val="FirstParagraph"/>
      </w:pPr>
      <w:r>
        <w:rPr>
          <w:rFonts w:hint="eastAsia"/>
          <w:b/>
          <w:bCs/>
        </w:rPr>
        <w:t xml:space="preserve">【推断，来源：</w:t>
      </w:r>
      <w:hyperlink r:id="rId62">
        <w:r>
          <w:rPr>
            <w:rStyle w:val="Hyperlink"/>
            <w:b/>
            <w:bCs/>
          </w:rPr>
          <w:t xml:space="preserve">Chatham House Quilliam </w:t>
        </w:r>
        <w:r>
          <w:rPr>
            <w:rStyle w:val="Hyperlink"/>
            <w:rFonts w:hint="eastAsia"/>
            <w:b/>
            <w:bCs/>
          </w:rPr>
          <w:t xml:space="preserve">2026-05报告</w:t>
        </w:r>
      </w:hyperlink>
      <w:r>
        <w:rPr>
          <w:b/>
          <w:bCs/>
        </w:rPr>
        <w:t xml:space="preserve">】</w:t>
      </w:r>
      <w:r>
        <w:br/>
      </w:r>
      <w:r>
        <w:rPr>
          <w:rFonts w:hint="eastAsia"/>
        </w:rPr>
        <w:t xml:space="preserve">沙特处于四种情景中最有利的战略位置。在维持路径下：MBS决策风格回归慢速共识，Aramco从4</w:t>
      </w:r>
      <w:r>
        <w:t xml:space="preserve"> </w:t>
      </w:r>
      <w:r>
        <w:rPr>
          <w:rFonts w:hint="eastAsia"/>
        </w:rPr>
        <w:t xml:space="preserve">mb/d（百万桶/天，石油流量单位）扩产至7</w:t>
      </w:r>
      <w:r>
        <w:t xml:space="preserve"> </w:t>
      </w:r>
      <w:r>
        <w:rPr>
          <w:rFonts w:hint="eastAsia"/>
        </w:rPr>
        <w:t xml:space="preserve">mb/d的东西输油管道建设加速，Vision</w:t>
      </w:r>
      <w:r>
        <w:t xml:space="preserve"> </w:t>
      </w:r>
      <w:r>
        <w:rPr>
          <w:rFonts w:hint="eastAsia"/>
        </w:rPr>
        <w:t xml:space="preserve">2030的Hormuz暴露问题促使地缘经济重心从东海岸向红海西海岸转移。在快速瓦解路径下：沙特可能对Khuzestan省阿拉伯地区分离势力提供支持，但同时面临在伊朗内战中”复制苏丹模式”（</w:t>
      </w:r>
      <w:hyperlink r:id="rId63">
        <w:r>
          <w:rPr>
            <w:rStyle w:val="Hyperlink"/>
          </w:rPr>
          <w:t xml:space="preserve">INSS Guzansky 2026-02</w:t>
        </w:r>
      </w:hyperlink>
      <w:r>
        <w:rPr>
          <w:rFonts w:hint="eastAsia"/>
        </w:rPr>
        <w:t xml:space="preserve">记录了沙特在苏丹挺Burhan、UAE挺Hemedti</w:t>
      </w:r>
      <w:r>
        <w:t xml:space="preserve"> </w:t>
      </w:r>
      <w:r>
        <w:rPr>
          <w:rFonts w:hint="eastAsia"/>
        </w:rPr>
        <w:t xml:space="preserve">RSF的代理战争模式）与UAE展开代理竞争的风险。</w:t>
      </w:r>
    </w:p>
    <w:bookmarkEnd w:id="64"/>
    <w:bookmarkStart w:id="65" w:name="以色列"/>
    <w:p>
      <w:pPr>
        <w:pStyle w:val="Heading3"/>
      </w:pPr>
      <w:r>
        <w:rPr>
          <w:rFonts w:hint="eastAsia"/>
        </w:rPr>
        <w:t xml:space="preserve">以色列</w:t>
      </w:r>
    </w:p>
    <w:p>
      <w:pPr>
        <w:pStyle w:val="FirstParagraph"/>
      </w:pPr>
      <w:r>
        <w:rPr>
          <w:rFonts w:hint="eastAsia"/>
          <w:b/>
          <w:bCs/>
        </w:rPr>
        <w:t xml:space="preserve">【推断】</w:t>
      </w:r>
      <w:r>
        <w:br/>
      </w:r>
      <w:r>
        <w:rPr>
          <w:rFonts w:hint="eastAsia"/>
        </w:rPr>
        <w:t xml:space="preserve">以色列面临分析上的悖论：军事上希望伊朗弱化，战略上不希望立即瓦解（避免管理大量核材料流失和IRGC武器扩散）。Mossad历史上倾向”管理性过渡”而非”完全瓦解”（</w:t>
      </w:r>
      <w:hyperlink r:id="rId45">
        <w:r>
          <w:rPr>
            <w:rStyle w:val="Hyperlink"/>
          </w:rPr>
          <w:t xml:space="preserve">Ronen Bergman《Rise and Kill First》2018</w:t>
        </w:r>
      </w:hyperlink>
      <w:r>
        <w:rPr>
          <w:rFonts w:hint="eastAsia"/>
        </w:rPr>
        <w:t xml:space="preserve">）。右翼政府内部Likud阵营与安全建制的这一分歧，在快速瓦解情景下将转化为明显的政策撕裂。</w:t>
      </w:r>
    </w:p>
    <w:bookmarkEnd w:id="65"/>
    <w:bookmarkStart w:id="67" w:name="伊拉克"/>
    <w:p>
      <w:pPr>
        <w:pStyle w:val="Heading3"/>
      </w:pPr>
      <w:r>
        <w:rPr>
          <w:rFonts w:hint="eastAsia"/>
        </w:rPr>
        <w:t xml:space="preserve">伊拉克</w:t>
      </w:r>
    </w:p>
    <w:p>
      <w:pPr>
        <w:pStyle w:val="FirstParagraph"/>
      </w:pPr>
      <w:r>
        <w:rPr>
          <w:rFonts w:hint="eastAsia"/>
          <w:b/>
          <w:bCs/>
        </w:rPr>
        <w:t xml:space="preserve">【事实+推断，来源：</w:t>
      </w:r>
      <w:hyperlink r:id="rId66">
        <w:r>
          <w:rPr>
            <w:rStyle w:val="Hyperlink"/>
            <w:b/>
            <w:bCs/>
          </w:rPr>
          <w:t xml:space="preserve">Stimson Center </w:t>
        </w:r>
        <w:r>
          <w:rPr>
            <w:rStyle w:val="Hyperlink"/>
            <w:rFonts w:hint="eastAsia"/>
            <w:b/>
            <w:bCs/>
          </w:rPr>
          <w:t xml:space="preserve">2026报告</w:t>
        </w:r>
      </w:hyperlink>
      <w:r>
        <w:rPr>
          <w:b/>
          <w:bCs/>
        </w:rPr>
        <w:t xml:space="preserve">】</w:t>
      </w:r>
      <w:r>
        <w:br/>
      </w:r>
      <w:r>
        <w:rPr>
          <w:rFonts w:hint="eastAsia"/>
        </w:rPr>
        <w:t xml:space="preserve">伊拉克在任何情景下都处于”被两边拉扯”状态：一边是PMF/亲伊民兵希望德黑兰延续，另一边是新任总理面临沙特经济援助压力。快速瓦解情景下，PMF碎片化并被沙特/UAE/土耳其分别收编，是伊拉克三分裂（Sunni/Shia/Kurd）被重新激活的关键机制。</w:t>
      </w:r>
    </w:p>
    <w:bookmarkEnd w:id="67"/>
    <w:bookmarkStart w:id="69" w:name="俄罗斯"/>
    <w:p>
      <w:pPr>
        <w:pStyle w:val="Heading3"/>
      </w:pPr>
      <w:r>
        <w:rPr>
          <w:rFonts w:hint="eastAsia"/>
        </w:rPr>
        <w:t xml:space="preserve">俄罗斯</w:t>
      </w:r>
    </w:p>
    <w:p>
      <w:pPr>
        <w:pStyle w:val="FirstParagraph"/>
      </w:pPr>
      <w:r>
        <w:rPr>
          <w:rFonts w:hint="eastAsia"/>
          <w:b/>
          <w:bCs/>
        </w:rPr>
        <w:t xml:space="preserve">【推断，来源：</w:t>
      </w:r>
      <w:hyperlink r:id="rId68">
        <w:r>
          <w:rPr>
            <w:rStyle w:val="Hyperlink"/>
            <w:b/>
            <w:bCs/>
          </w:rPr>
          <w:t xml:space="preserve">Hanna Notte 2026-05《This Is Not the World Russia Wants》</w:t>
        </w:r>
      </w:hyperlink>
      <w:r>
        <w:rPr>
          <w:b/>
          <w:bCs/>
        </w:rPr>
        <w:t xml:space="preserve">】</w:t>
      </w:r>
      <w:r>
        <w:br/>
      </w:r>
      <w:r>
        <w:rPr>
          <w:rFonts w:hint="eastAsia"/>
        </w:rPr>
        <w:t xml:space="preserve">俄罗斯在所有情景下扮演”调停受益者”——继续向伊朗出售防空系统，但不提供实质战争支持。Notte的核心论点是：俄罗斯已不再需要伊朗帮助维持乌克兰战争（伊朗对俄战略价值显著下降），因此其最优策略是保持距离获益，而非深度绑定。</w:t>
      </w:r>
    </w:p>
    <w:bookmarkEnd w:id="69"/>
    <w:bookmarkStart w:id="71" w:name="中国"/>
    <w:p>
      <w:pPr>
        <w:pStyle w:val="Heading3"/>
      </w:pPr>
      <w:r>
        <w:rPr>
          <w:rFonts w:hint="eastAsia"/>
        </w:rPr>
        <w:t xml:space="preserve">中国</w:t>
      </w:r>
    </w:p>
    <w:p>
      <w:pPr>
        <w:pStyle w:val="FirstParagraph"/>
      </w:pPr>
      <w:r>
        <w:rPr>
          <w:rFonts w:hint="eastAsia"/>
          <w:b/>
          <w:bCs/>
        </w:rPr>
        <w:t xml:space="preserve">【推断，来源：</w:t>
      </w:r>
      <w:hyperlink r:id="rId70">
        <w:r>
          <w:rPr>
            <w:rStyle w:val="Hyperlink"/>
            <w:b/>
            <w:bCs/>
          </w:rPr>
          <w:t xml:space="preserve">Brad Setser CFR </w:t>
        </w:r>
        <w:r>
          <w:rPr>
            <w:rStyle w:val="Hyperlink"/>
            <w:rFonts w:hint="eastAsia"/>
            <w:b/>
            <w:bCs/>
          </w:rPr>
          <w:t xml:space="preserve">2026-04石油美元反例分析</w:t>
        </w:r>
      </w:hyperlink>
      <w:r>
        <w:rPr>
          <w:b/>
          <w:bCs/>
        </w:rPr>
        <w:t xml:space="preserve">】</w:t>
      </w:r>
      <w:r>
        <w:br/>
      </w:r>
      <w:r>
        <w:rPr>
          <w:rFonts w:hint="eastAsia"/>
        </w:rPr>
        <w:t xml:space="preserve">中国在维持路径下通过shadow</w:t>
      </w:r>
      <w:r>
        <w:t xml:space="preserve"> </w:t>
      </w:r>
      <w:r>
        <w:rPr>
          <w:rFonts w:hint="eastAsia"/>
        </w:rPr>
        <w:t xml:space="preserve">fleet（影子船队）继续购买伊朗折扣油（折扣可能加深至Brent价格基础上$30–40/桶），但不增量投入伊朗境内BRI项目。Setser的分析已证伪”人民币结算伊朗油会动摇美元体系”的说法——制造业亚洲（中日韩越）$1.5万亿贸易顺差远大于石油出口国$2000亿顺差，人民币结算伊朗油的体量完全不在同一数量级。快速瓦解情景下，中国将彻底退出伊朗投资，Chabahar港和铁路项目归零，BRI中东重心被迫转向沙特/巴基斯坦。</w:t>
      </w:r>
    </w:p>
    <w:p>
      <w:r>
        <w:pict>
          <v:rect style="width:0;height:1.5pt" o:hralign="center" o:hrstd="t" o:hr="t"/>
        </w:pict>
      </w:r>
    </w:p>
    <w:bookmarkEnd w:id="71"/>
    <w:bookmarkEnd w:id="72"/>
    <w:bookmarkStart w:id="79" w:name="九专家意见分布与本报告定位"/>
    <w:p>
      <w:pPr>
        <w:pStyle w:val="Heading2"/>
      </w:pPr>
      <w:r>
        <w:rPr>
          <w:rFonts w:hint="eastAsia"/>
        </w:rPr>
        <w:t xml:space="preserve">九、专家意见分布与本报告定位</w:t>
      </w:r>
    </w:p>
    <w:p>
      <w:pPr>
        <w:pStyle w:val="FirstParagraph"/>
      </w:pPr>
      <w:r>
        <w:rPr>
          <w:rFonts w:hint="eastAsia"/>
        </w:rPr>
        <w:t xml:space="preserve">以下是当前分析界的主要分歧，以及本报告相对于这些立场的定位：</w:t>
      </w:r>
    </w:p>
    <w:bookmarkStart w:id="73" w:name="情景21混合体框架"/>
    <w:p>
      <w:pPr>
        <w:pStyle w:val="Heading3"/>
      </w:pPr>
      <w:r>
        <w:rPr>
          <w:rFonts w:hint="eastAsia"/>
        </w:rPr>
        <w:t xml:space="preserve">情景2–1混合体框架</w:t>
      </w:r>
    </w:p>
    <w:p>
      <w:pPr>
        <w:pStyle w:val="Compact"/>
        <w:numPr>
          <w:ilvl w:val="0"/>
          <w:numId w:val="1010"/>
        </w:numPr>
      </w:pPr>
      <w:hyperlink r:id="rId38">
        <w:r>
          <w:rPr>
            <w:rStyle w:val="Hyperlink"/>
            <w:b/>
            <w:bCs/>
          </w:rPr>
          <w:t xml:space="preserve">Suzanne </w:t>
        </w:r>
        <w:r>
          <w:rPr>
            <w:rStyle w:val="Hyperlink"/>
            <w:rFonts w:hint="eastAsia"/>
            <w:b/>
            <w:bCs/>
          </w:rPr>
          <w:t xml:space="preserve">Maloney（Brookings/Foreign</w:t>
        </w:r>
        <w:r>
          <w:rPr>
            <w:rStyle w:val="Hyperlink"/>
            <w:b/>
            <w:bCs/>
          </w:rPr>
          <w:t xml:space="preserve"> </w:t>
        </w:r>
        <w:r>
          <w:rPr>
            <w:rStyle w:val="Hyperlink"/>
            <w:rFonts w:hint="eastAsia"/>
            <w:b/>
            <w:bCs/>
          </w:rPr>
          <w:t xml:space="preserve">Affairs）</w:t>
        </w:r>
      </w:hyperlink>
      <w:r>
        <w:rPr>
          <w:rFonts w:hint="eastAsia"/>
        </w:rPr>
        <w:t xml:space="preserve">：</w:t>
      </w:r>
      <w:r>
        <w:rPr>
          <w:rFonts w:hint="eastAsia"/>
        </w:rPr>
        <w:t xml:space="preserve">“第三共和国”</w:t>
      </w:r>
      <w:r>
        <w:rPr>
          <w:rFonts w:hint="eastAsia"/>
        </w:rPr>
        <w:t xml:space="preserve">说——即便宗教合法性弱化，IRGC主导的后哈梅内伊政权仍具有结构性延续能力。</w:t>
      </w:r>
      <w:r>
        <w:rPr>
          <w:rFonts w:hint="eastAsia"/>
          <w:i/>
          <w:iCs/>
        </w:rPr>
        <w:t xml:space="preserve">分析定位：Maloney的框架实际上是本报告情景1和情景2的混合体，她预测的是有实质性质变的政权延续，而非原样维持。本报告基本同意这一判断，但认为Maloney低估了Mojtaba重伤和Qalibaf权威来源脆弱性对这一路径的挑战。</w:t>
      </w:r>
    </w:p>
    <w:bookmarkEnd w:id="73"/>
    <w:bookmarkStart w:id="75" w:name="存续派认为政权有很强延续性"/>
    <w:p>
      <w:pPr>
        <w:pStyle w:val="Heading3"/>
      </w:pPr>
      <w:r>
        <w:rPr>
          <w:rFonts w:hint="eastAsia"/>
        </w:rPr>
        <w:t xml:space="preserve">存续派（认为政权有很强延续性）</w:t>
      </w:r>
    </w:p>
    <w:p>
      <w:pPr>
        <w:pStyle w:val="Compact"/>
        <w:numPr>
          <w:ilvl w:val="0"/>
          <w:numId w:val="1011"/>
        </w:numPr>
      </w:pPr>
      <w:hyperlink r:id="rId74">
        <w:r>
          <w:rPr>
            <w:rStyle w:val="Hyperlink"/>
            <w:b/>
            <w:bCs/>
          </w:rPr>
          <w:t xml:space="preserve">Vali Nasr</w:t>
        </w:r>
      </w:hyperlink>
      <w:r>
        <w:rPr>
          <w:rFonts w:hint="eastAsia"/>
        </w:rPr>
        <w:t xml:space="preserve">：主张伊朗政权是长期战略行为者，即便受到重大打击也能进行战略调整。承认路径是非线性的。本报告同意”非线性”的判断，但认为Nasr对”缓慢调整”路径的概率可能偏高——他的核心分析框架形成于2026年打击之前，未必充分权衡指挥链断裂（哈梅内伊、Salami、Larijani三人同期死亡）的独特性。</w:t>
      </w:r>
      <w:r>
        <w:rPr>
          <w:rFonts w:hint="eastAsia"/>
          <w:i/>
          <w:iCs/>
        </w:rPr>
        <w:t xml:space="preserve">注：此处指Nasr截至2025年底之前形成的立场；如有2026年3月后的更新表述，应以新表述为准。</w:t>
      </w:r>
    </w:p>
    <w:bookmarkEnd w:id="75"/>
    <w:bookmarkStart w:id="76" w:name="挑战派认为结构性打击效果更深"/>
    <w:p>
      <w:pPr>
        <w:pStyle w:val="Heading3"/>
      </w:pPr>
      <w:r>
        <w:rPr>
          <w:rFonts w:hint="eastAsia"/>
        </w:rPr>
        <w:t xml:space="preserve">挑战派（认为结构性打击效果更深）</w:t>
      </w:r>
    </w:p>
    <w:p>
      <w:pPr>
        <w:pStyle w:val="Compact"/>
        <w:numPr>
          <w:ilvl w:val="0"/>
          <w:numId w:val="1012"/>
        </w:numPr>
      </w:pPr>
      <w:hyperlink r:id="rId41">
        <w:r>
          <w:rPr>
            <w:rStyle w:val="Hyperlink"/>
            <w:b/>
            <w:bCs/>
          </w:rPr>
          <w:t xml:space="preserve">Jon Alterman &amp; Daniel </w:t>
        </w:r>
        <w:r>
          <w:rPr>
            <w:rStyle w:val="Hyperlink"/>
            <w:rFonts w:hint="eastAsia"/>
            <w:b/>
            <w:bCs/>
          </w:rPr>
          <w:t xml:space="preserve">Byman（CSIS）</w:t>
        </w:r>
      </w:hyperlink>
      <w:r>
        <w:rPr>
          <w:rFonts w:hint="eastAsia"/>
        </w:rPr>
        <w:t xml:space="preserve">：明确论证斩首不解决制度性问题——IRGC是机构，而非个人，其利益独立于任何指挥官存在。这一判断对本报告有重要修正意义：即便发生快速瓦解，其机制也更可能是省级IRGC割据而非整体崩塌，更接近利比亚模式而非苏联模式。本报告采纳了这一判断，因此将”快速瓦解”定价于8–12%而非更低。</w:t>
      </w:r>
    </w:p>
    <w:bookmarkEnd w:id="76"/>
    <w:bookmarkStart w:id="78" w:name="adaptive-authoritarianism框架"/>
    <w:p>
      <w:pPr>
        <w:pStyle w:val="Heading3"/>
      </w:pPr>
      <w:r>
        <w:t xml:space="preserve">adaptive </w:t>
      </w:r>
      <w:r>
        <w:rPr>
          <w:rFonts w:hint="eastAsia"/>
        </w:rPr>
        <w:t xml:space="preserve">authoritarianism框架</w:t>
      </w:r>
    </w:p>
    <w:p>
      <w:pPr>
        <w:pStyle w:val="Compact"/>
        <w:numPr>
          <w:ilvl w:val="0"/>
          <w:numId w:val="1013"/>
        </w:numPr>
      </w:pPr>
      <w:hyperlink r:id="rId10">
        <w:r>
          <w:rPr>
            <w:rStyle w:val="Hyperlink"/>
            <w:b/>
            <w:bCs/>
          </w:rPr>
          <w:t xml:space="preserve">Saeid </w:t>
        </w:r>
        <w:r>
          <w:rPr>
            <w:rStyle w:val="Hyperlink"/>
            <w:rFonts w:hint="eastAsia"/>
            <w:b/>
            <w:bCs/>
          </w:rPr>
          <w:t xml:space="preserve">Golkar（FPRI</w:t>
        </w:r>
        <w:r>
          <w:rPr>
            <w:rStyle w:val="Hyperlink"/>
            <w:b/>
            <w:bCs/>
          </w:rPr>
          <w:t xml:space="preserve"> </w:t>
        </w:r>
        <w:r>
          <w:rPr>
            <w:rStyle w:val="Hyperlink"/>
            <w:rFonts w:hint="eastAsia"/>
            <w:b/>
            <w:bCs/>
          </w:rPr>
          <w:t xml:space="preserve">2025-10，Wiley</w:t>
        </w:r>
        <w:r>
          <w:rPr>
            <w:rStyle w:val="Hyperlink"/>
            <w:b/>
            <w:bCs/>
          </w:rPr>
          <w:t xml:space="preserve"> </w:t>
        </w:r>
        <w:r>
          <w:rPr>
            <w:rStyle w:val="Hyperlink"/>
            <w:rFonts w:hint="eastAsia"/>
            <w:b/>
            <w:bCs/>
          </w:rPr>
          <w:t xml:space="preserve">2026同行评审）</w:t>
        </w:r>
      </w:hyperlink>
      <w:r>
        <w:rPr>
          <w:rFonts w:hint="eastAsia"/>
        </w:rPr>
        <w:t xml:space="preserve">：这是目前学术文献中对IRGC韧性机制分析最系统的框架。Wiley同行评审论文见</w:t>
      </w:r>
      <w:r>
        <w:t xml:space="preserve"> </w:t>
      </w:r>
      <w:hyperlink r:id="rId77">
        <w:r>
          <w:rPr>
            <w:rStyle w:val="Hyperlink"/>
          </w:rPr>
          <w:t xml:space="preserve">Authoritarian Upgrading in Action</w:t>
        </w:r>
      </w:hyperlink>
      <w:r>
        <w:rPr>
          <w:rFonts w:hint="eastAsia"/>
        </w:rPr>
        <w:t xml:space="preserve">。本报告将其作为”历史基率”判断的主要学术依据，同时指出Golkar的2026年Wiley论文写于Epic</w:t>
      </w:r>
      <w:r>
        <w:t xml:space="preserve"> </w:t>
      </w:r>
      <w:r>
        <w:rPr>
          <w:rFonts w:hint="eastAsia"/>
        </w:rPr>
        <w:t xml:space="preserve">Fury之前（或同期），其对”IRGC整体机构存续”的判断需要在指挥链断裂的新事实下重新权衡。</w:t>
      </w:r>
    </w:p>
    <w:p>
      <w:r>
        <w:pict>
          <v:rect style="width:0;height:1.5pt" o:hralign="center" o:hrstd="t" o:hr="t"/>
        </w:pict>
      </w:r>
    </w:p>
    <w:bookmarkEnd w:id="78"/>
    <w:bookmarkEnd w:id="79"/>
    <w:bookmarkStart w:id="84" w:name="十本报告判断可能错在哪"/>
    <w:p>
      <w:pPr>
        <w:pStyle w:val="Heading2"/>
      </w:pPr>
      <w:r>
        <w:rPr>
          <w:rFonts w:hint="eastAsia"/>
        </w:rPr>
        <w:t xml:space="preserve">十、本报告判断可能错在哪</w:t>
      </w:r>
    </w:p>
    <w:p>
      <w:pPr>
        <w:pStyle w:val="FirstParagraph"/>
      </w:pPr>
      <w:r>
        <w:rPr>
          <w:rFonts w:hint="eastAsia"/>
        </w:rPr>
        <w:t xml:space="preserve">这是最重要的章节。任何严肃的分析都必须给出它自己最可能的失败模式。</w:t>
      </w:r>
    </w:p>
    <w:bookmarkStart w:id="80" w:name="可能高估维持的理由"/>
    <w:p>
      <w:pPr>
        <w:pStyle w:val="Heading3"/>
      </w:pPr>
      <w:r>
        <w:rPr>
          <w:rFonts w:hint="eastAsia"/>
        </w:rPr>
        <w:t xml:space="preserve">可能高估”维持”的理由</w:t>
      </w:r>
    </w:p>
    <w:p>
      <w:pPr>
        <w:pStyle w:val="Compact"/>
        <w:numPr>
          <w:ilvl w:val="0"/>
          <w:numId w:val="1014"/>
        </w:numPr>
      </w:pPr>
      <w:r>
        <w:rPr>
          <w:rFonts w:hint="eastAsia"/>
          <w:b/>
          <w:bCs/>
        </w:rPr>
        <w:t xml:space="preserve">Mojtaba伤情被低估</w:t>
      </w:r>
      <w:r>
        <w:rPr>
          <w:rFonts w:hint="eastAsia"/>
        </w:rPr>
        <w:t xml:space="preserve">：DNI</w:t>
      </w:r>
      <w:r>
        <w:t xml:space="preserve"> </w:t>
      </w:r>
      <w:r>
        <w:rPr>
          <w:rFonts w:hint="eastAsia"/>
        </w:rPr>
        <w:t xml:space="preserve">Gabbard作证”very</w:t>
      </w:r>
      <w:r>
        <w:t xml:space="preserve"> seriously </w:t>
      </w:r>
      <w:r>
        <w:rPr>
          <w:rFonts w:hint="eastAsia"/>
        </w:rPr>
        <w:t xml:space="preserve">injured”。如果Mojtaba实际无法履行最高领袖职能，Qalibaf代行的权力基础将比本报告假设的更加脆弱——他缺乏宗教合法性，而军事信任度也会被Vahidi挑战。</w:t>
      </w:r>
    </w:p>
    <w:p>
      <w:pPr>
        <w:pStyle w:val="Compact"/>
        <w:numPr>
          <w:ilvl w:val="0"/>
          <w:numId w:val="1014"/>
        </w:numPr>
      </w:pPr>
      <w:r>
        <w:rPr>
          <w:rFonts w:hint="eastAsia"/>
          <w:b/>
          <w:bCs/>
        </w:rPr>
        <w:t xml:space="preserve">IRGC内部派系信息不透明</w:t>
      </w:r>
      <w:r>
        <w:rPr>
          <w:rFonts w:hint="eastAsia"/>
        </w:rPr>
        <w:t xml:space="preserve">：本报告假设四人权力核心能维持基本整合，但我们几乎没有关于IRGC内部派系动态的可靠实时信息。如果省级军团的去中心化已经比公开信号显示的更深，四人核心的整合性可能高估。</w:t>
      </w:r>
    </w:p>
    <w:p>
      <w:pPr>
        <w:pStyle w:val="Compact"/>
        <w:numPr>
          <w:ilvl w:val="0"/>
          <w:numId w:val="1014"/>
        </w:numPr>
      </w:pPr>
      <w:r>
        <w:rPr>
          <w:rFonts w:hint="eastAsia"/>
          <w:b/>
          <w:bCs/>
        </w:rPr>
        <w:t xml:space="preserve">月度石油收入下滑的长期效应</w:t>
      </w:r>
      <w:r>
        <w:rPr>
          <w:rFonts w:hint="eastAsia"/>
        </w:rPr>
        <w:t xml:space="preserve">：从约$3–4B跌至$1.96B不是短期波动，是结构性收入塌陷。如果这个数字持续六个月以上，IRGC商业帝国的现金流将开始断裂，</w:t>
      </w:r>
      <w:r>
        <w:rPr>
          <w:rFonts w:hint="eastAsia"/>
        </w:rPr>
        <w:t xml:space="preserve">“韧性机器”</w:t>
      </w:r>
      <w:r>
        <w:rPr>
          <w:rFonts w:hint="eastAsia"/>
        </w:rPr>
        <w:t xml:space="preserve">的维持成本可能超出其自我筹资能力。本报告对此效应的时间滞后可能估计不足。</w:t>
      </w:r>
    </w:p>
    <w:bookmarkEnd w:id="80"/>
    <w:bookmarkStart w:id="81" w:name="可能低估维持的理由"/>
    <w:p>
      <w:pPr>
        <w:pStyle w:val="Heading3"/>
      </w:pPr>
      <w:r>
        <w:rPr>
          <w:rFonts w:hint="eastAsia"/>
        </w:rPr>
        <w:t xml:space="preserve">可能低估”维持”的理由</w:t>
      </w:r>
    </w:p>
    <w:p>
      <w:pPr>
        <w:pStyle w:val="Compact"/>
        <w:numPr>
          <w:ilvl w:val="0"/>
          <w:numId w:val="1015"/>
        </w:numPr>
      </w:pPr>
      <w:r>
        <w:rPr>
          <w:rFonts w:hint="eastAsia"/>
          <w:b/>
          <w:bCs/>
        </w:rPr>
        <w:t xml:space="preserve">历史基率可能被低估</w:t>
      </w:r>
      <w:r>
        <w:rPr>
          <w:rFonts w:hint="eastAsia"/>
        </w:rPr>
        <w:t xml:space="preserve">：本报告将历史基率从70%调整至40–45%，这个向下调整幅度是否过大？Alterman</w:t>
      </w:r>
      <w:r>
        <w:t xml:space="preserve"> &amp; </w:t>
      </w:r>
      <w:r>
        <w:rPr>
          <w:rFonts w:hint="eastAsia"/>
        </w:rPr>
        <w:t xml:space="preserve">Byman的论点——IRGC是机构而非个人——支持”即便斩首也不根本动摇”的判断，这意味着历史基率应该比本报告的调整更有黏性。</w:t>
      </w:r>
    </w:p>
    <w:p>
      <w:pPr>
        <w:pStyle w:val="Compact"/>
        <w:numPr>
          <w:ilvl w:val="0"/>
          <w:numId w:val="1015"/>
        </w:numPr>
      </w:pPr>
      <w:r>
        <w:rPr>
          <w:rFonts w:hint="eastAsia"/>
          <w:b/>
          <w:bCs/>
        </w:rPr>
        <w:t xml:space="preserve">外部行为体对维持的利益对齐</w:t>
      </w:r>
      <w:r>
        <w:rPr>
          <w:rFonts w:hint="eastAsia"/>
        </w:rPr>
        <w:t xml:space="preserve">：中国（折扣油来源）、俄罗斯（战略缓冲）、伊拉克PMF（政治支柱）都有强烈的理由支持伊朗政权延续。这些外部支撑的韧性可能比本报告估计的更强。</w:t>
      </w:r>
    </w:p>
    <w:bookmarkEnd w:id="81"/>
    <w:bookmarkStart w:id="82" w:name="可能高估快速瓦解的理由"/>
    <w:p>
      <w:pPr>
        <w:pStyle w:val="Heading3"/>
      </w:pPr>
      <w:r>
        <w:rPr>
          <w:rFonts w:hint="eastAsia"/>
        </w:rPr>
        <w:t xml:space="preserve">可能高估”快速瓦解”的理由</w:t>
      </w:r>
    </w:p>
    <w:p>
      <w:pPr>
        <w:pStyle w:val="Compact"/>
        <w:numPr>
          <w:ilvl w:val="0"/>
          <w:numId w:val="1016"/>
        </w:numPr>
      </w:pPr>
      <w:r>
        <w:rPr>
          <w:rFonts w:hint="eastAsia"/>
          <w:b/>
          <w:bCs/>
        </w:rPr>
        <w:t xml:space="preserve">三触发器同时爆发的概率可能更低</w:t>
      </w:r>
      <w:r>
        <w:rPr>
          <w:rFonts w:hint="eastAsia"/>
        </w:rPr>
        <w:t xml:space="preserve">：历史上伊朗政权在每个单一触发器下都扛过。三者同时爆发需要协调性，而目前没有证据显示库尔德人/Khuzestan阿拉伯人/Baluchis有任何跨族裔协调机制。</w:t>
      </w:r>
    </w:p>
    <w:p>
      <w:pPr>
        <w:pStyle w:val="Compact"/>
        <w:numPr>
          <w:ilvl w:val="0"/>
          <w:numId w:val="1016"/>
        </w:numPr>
      </w:pPr>
      <w:r>
        <w:rPr>
          <w:rFonts w:hint="eastAsia"/>
          <w:b/>
          <w:bCs/>
        </w:rPr>
        <w:t xml:space="preserve">Polymarket个位数定价可能有合理性</w:t>
      </w:r>
      <w:r>
        <w:rPr>
          <w:rFonts w:hint="eastAsia"/>
        </w:rPr>
        <w:t xml:space="preserve">：市场可能比分析师更早消化了”即便重伤的政权仍有高延续性”这一判断。</w:t>
      </w:r>
    </w:p>
    <w:bookmarkEnd w:id="82"/>
    <w:bookmarkStart w:id="83" w:name="系统性局限"/>
    <w:p>
      <w:pPr>
        <w:pStyle w:val="Heading3"/>
      </w:pPr>
      <w:r>
        <w:rPr>
          <w:rFonts w:hint="eastAsia"/>
        </w:rPr>
        <w:t xml:space="preserve">系统性局限</w:t>
      </w:r>
    </w:p>
    <w:p>
      <w:pPr>
        <w:pStyle w:val="FirstParagraph"/>
      </w:pPr>
      <w:r>
        <w:rPr>
          <w:rFonts w:hint="eastAsia"/>
          <w:b/>
          <w:bCs/>
        </w:rPr>
        <w:t xml:space="preserve">地图不等于领土</w:t>
      </w:r>
      <w:r>
        <w:rPr>
          <w:rFonts w:hint="eastAsia"/>
        </w:rPr>
        <w:t xml:space="preserve">：伊朗信息管控极强，本报告依赖的大多数来源是Western</w:t>
      </w:r>
      <w:r>
        <w:t xml:space="preserve"> </w:t>
      </w:r>
      <w:r>
        <w:rPr>
          <w:rFonts w:hint="eastAsia"/>
        </w:rPr>
        <w:t xml:space="preserve">think-tank分析，这类分析存在系统性的”可观察偏误”——我们只能看到伊朗政权选择让外界看到的信号。如果Mojtaba的伤情比”very</w:t>
      </w:r>
      <w:r>
        <w:t xml:space="preserve"> seriously </w:t>
      </w:r>
      <w:r>
        <w:rPr>
          <w:rFonts w:hint="eastAsia"/>
        </w:rPr>
        <w:t xml:space="preserve">injured”更严重，或者IRGC内部分裂已经发生但被刻意掩盖，本报告的概率分布将需要大幅修正。这是无法被任何外部分析彻底解决的认识论限制。</w:t>
      </w:r>
    </w:p>
    <w:p>
      <w:r>
        <w:pict>
          <v:rect style="width:0;height:1.5pt" o:hralign="center" o:hrstd="t" o:hr="t"/>
        </w:pict>
      </w:r>
    </w:p>
    <w:bookmarkEnd w:id="83"/>
    <w:bookmarkEnd w:id="84"/>
    <w:bookmarkStart w:id="85" w:name="附录关键数据汇总"/>
    <w:p>
      <w:pPr>
        <w:pStyle w:val="Heading2"/>
      </w:pPr>
      <w:r>
        <w:rPr>
          <w:rFonts w:hint="eastAsia"/>
        </w:rPr>
        <w:t xml:space="preserve">附录：关键数据汇总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数值</w:t>
            </w:r>
          </w:p>
        </w:tc>
        <w:tc>
          <w:tcPr/>
          <w:p>
            <w:pPr>
              <w:pStyle w:val="Compact"/>
            </w:pPr>
            <w:r>
              <w:rPr>
                <w:rFonts w:hint="eastAsia"/>
              </w:rPr>
              <w:t xml:space="preserve">来源</w:t>
            </w:r>
          </w:p>
        </w:tc>
        <w:tc>
          <w:tcPr/>
          <w:p>
            <w:pPr>
              <w:pStyle w:val="Compact"/>
            </w:pPr>
            <w:r>
              <w:rPr>
                <w:rFonts w:hint="eastAsia"/>
              </w:rPr>
              <w:t xml:space="preserve">时间</w:t>
            </w:r>
          </w:p>
        </w:tc>
      </w:tr>
      <w:tr>
        <w:tc>
          <w:tcPr/>
          <w:p>
            <w:pPr>
              <w:pStyle w:val="Compact"/>
            </w:pPr>
            <w:r>
              <w:rPr>
                <w:rFonts w:hint="eastAsia"/>
              </w:rPr>
              <w:t xml:space="preserve">伊朗战前导弹库存</w:t>
            </w:r>
          </w:p>
        </w:tc>
        <w:tc>
          <w:tcPr/>
          <w:p>
            <w:pPr>
              <w:pStyle w:val="Compact"/>
            </w:pPr>
            <w:r>
              <w:rPr>
                <w:rFonts w:hint="eastAsia"/>
              </w:rPr>
              <w:t xml:space="preserve">2,500–6,000枚（区间）</w:t>
            </w:r>
          </w:p>
        </w:tc>
        <w:tc>
          <w:tcPr/>
          <w:p>
            <w:pPr>
              <w:pStyle w:val="Compact"/>
            </w:pPr>
            <w:r>
              <w:t xml:space="preserve">RAND Cohen</w:t>
            </w:r>
          </w:p>
        </w:tc>
        <w:tc>
          <w:tcPr/>
          <w:p>
            <w:pPr>
              <w:pStyle w:val="Compact"/>
            </w:pPr>
            <w:r>
              <w:t xml:space="preserve">2026-04</w:t>
            </w:r>
          </w:p>
        </w:tc>
      </w:tr>
      <w:tr>
        <w:tc>
          <w:tcPr/>
          <w:p>
            <w:pPr>
              <w:pStyle w:val="Compact"/>
            </w:pPr>
            <w:r>
              <w:rPr>
                <w:rFonts w:hint="eastAsia"/>
              </w:rPr>
              <w:t xml:space="preserve">导弹发射架损毁率</w:t>
            </w:r>
          </w:p>
        </w:tc>
        <w:tc>
          <w:tcPr/>
          <w:p>
            <w:pPr>
              <w:pStyle w:val="Compact"/>
            </w:pPr>
            <w:r>
              <w:t xml:space="preserve">70%</w:t>
            </w:r>
          </w:p>
        </w:tc>
        <w:tc>
          <w:tcPr/>
          <w:p>
            <w:pPr>
              <w:pStyle w:val="Compact"/>
            </w:pPr>
            <w:r>
              <w:t xml:space="preserve">RAND Cohen</w:t>
            </w:r>
          </w:p>
        </w:tc>
        <w:tc>
          <w:tcPr/>
          <w:p>
            <w:pPr>
              <w:pStyle w:val="Compact"/>
            </w:pPr>
            <w:r>
              <w:t xml:space="preserve">2026-04</w:t>
            </w:r>
          </w:p>
        </w:tc>
      </w:tr>
      <w:tr>
        <w:tc>
          <w:tcPr/>
          <w:p>
            <w:pPr>
              <w:pStyle w:val="Compact"/>
            </w:pPr>
            <w:r>
              <w:rPr>
                <w:rFonts w:hint="eastAsia"/>
              </w:rPr>
              <w:t xml:space="preserve">海军舰艇损毁率</w:t>
            </w:r>
          </w:p>
        </w:tc>
        <w:tc>
          <w:tcPr/>
          <w:p>
            <w:pPr>
              <w:pStyle w:val="Compact"/>
            </w:pPr>
            <w:r>
              <w:rPr>
                <w:rFonts w:hint="eastAsia"/>
              </w:rPr>
              <w:t xml:space="preserve">92%（13–17艘）</w:t>
            </w:r>
          </w:p>
        </w:tc>
        <w:tc>
          <w:tcPr/>
          <w:p>
            <w:pPr>
              <w:pStyle w:val="Compact"/>
            </w:pPr>
            <w:r>
              <w:t xml:space="preserve">RAND Cohen</w:t>
            </w:r>
          </w:p>
        </w:tc>
        <w:tc>
          <w:tcPr/>
          <w:p>
            <w:pPr>
              <w:pStyle w:val="Compact"/>
            </w:pPr>
            <w:r>
              <w:t xml:space="preserve">2026-04</w:t>
            </w:r>
          </w:p>
        </w:tc>
      </w:tr>
      <w:tr>
        <w:tc>
          <w:tcPr/>
          <w:p>
            <w:pPr>
              <w:pStyle w:val="Compact"/>
            </w:pPr>
            <w:r>
              <w:rPr>
                <w:rFonts w:hint="eastAsia"/>
              </w:rPr>
              <w:t xml:space="preserve">开战首日导弹发射</w:t>
            </w:r>
          </w:p>
        </w:tc>
        <w:tc>
          <w:tcPr/>
          <w:p>
            <w:pPr>
              <w:pStyle w:val="Compact"/>
            </w:pPr>
            <w:r>
              <w:rPr>
                <w:rFonts w:hint="eastAsia"/>
              </w:rPr>
              <w:t xml:space="preserve">400+枚</w:t>
            </w:r>
          </w:p>
        </w:tc>
        <w:tc>
          <w:tcPr/>
          <w:p>
            <w:pPr>
              <w:pStyle w:val="Compact"/>
            </w:pPr>
            <w:r>
              <w:t xml:space="preserve">RAND Cohen</w:t>
            </w:r>
          </w:p>
        </w:tc>
        <w:tc>
          <w:tcPr/>
          <w:p>
            <w:pPr>
              <w:pStyle w:val="Compact"/>
            </w:pPr>
            <w:r>
              <w:t xml:space="preserve">2026-04</w:t>
            </w:r>
          </w:p>
        </w:tc>
      </w:tr>
      <w:tr>
        <w:tc>
          <w:tcPr/>
          <w:p>
            <w:pPr>
              <w:pStyle w:val="Compact"/>
            </w:pPr>
            <w:r>
              <w:rPr>
                <w:rFonts w:hint="eastAsia"/>
              </w:rPr>
              <w:t xml:space="preserve">一周后日发射量</w:t>
            </w:r>
          </w:p>
        </w:tc>
        <w:tc>
          <w:tcPr/>
          <w:p>
            <w:pPr>
              <w:pStyle w:val="Compact"/>
            </w:pPr>
            <w:r>
              <w:rPr>
                <w:rFonts w:hint="eastAsia"/>
              </w:rPr>
              <w:t xml:space="preserve">20–40枚</w:t>
            </w:r>
          </w:p>
        </w:tc>
        <w:tc>
          <w:tcPr/>
          <w:p>
            <w:pPr>
              <w:pStyle w:val="Compact"/>
            </w:pPr>
            <w:r>
              <w:t xml:space="preserve">RAND Cohen</w:t>
            </w:r>
          </w:p>
        </w:tc>
        <w:tc>
          <w:tcPr/>
          <w:p>
            <w:pPr>
              <w:pStyle w:val="Compact"/>
            </w:pPr>
            <w:r>
              <w:t xml:space="preserve">2026-04</w:t>
            </w:r>
          </w:p>
        </w:tc>
      </w:tr>
      <w:tr>
        <w:tc>
          <w:tcPr/>
          <w:p>
            <w:pPr>
              <w:pStyle w:val="Compact"/>
            </w:pPr>
            <w:r>
              <w:rPr>
                <w:rFonts w:hint="eastAsia"/>
              </w:rPr>
              <w:t xml:space="preserve">美方PrSM消耗率</w:t>
            </w:r>
          </w:p>
        </w:tc>
        <w:tc>
          <w:tcPr/>
          <w:p>
            <w:pPr>
              <w:pStyle w:val="Compact"/>
            </w:pPr>
            <w:r>
              <w:rPr>
                <w:rFonts w:hint="eastAsia"/>
              </w:rPr>
              <w:t xml:space="preserve">约45%</w:t>
            </w:r>
          </w:p>
        </w:tc>
        <w:tc>
          <w:tcPr/>
          <w:p>
            <w:pPr>
              <w:pStyle w:val="Compact"/>
            </w:pPr>
            <w:r>
              <w:t xml:space="preserve">CSIS Cancian</w:t>
            </w:r>
          </w:p>
        </w:tc>
        <w:tc>
          <w:tcPr/>
          <w:p>
            <w:pPr>
              <w:pStyle w:val="Compact"/>
            </w:pPr>
            <w:r>
              <w:t xml:space="preserve">2026</w:t>
            </w:r>
          </w:p>
        </w:tc>
      </w:tr>
      <w:tr>
        <w:tc>
          <w:tcPr/>
          <w:p>
            <w:pPr>
              <w:pStyle w:val="Compact"/>
            </w:pPr>
            <w:r>
              <w:rPr>
                <w:rFonts w:hint="eastAsia"/>
              </w:rPr>
              <w:t xml:space="preserve">美方THAAD消耗率</w:t>
            </w:r>
          </w:p>
        </w:tc>
        <w:tc>
          <w:tcPr/>
          <w:p>
            <w:pPr>
              <w:pStyle w:val="Compact"/>
            </w:pPr>
            <w:r>
              <w:rPr>
                <w:rFonts w:hint="eastAsia"/>
              </w:rPr>
              <w:t xml:space="preserve">约50%</w:t>
            </w:r>
          </w:p>
        </w:tc>
        <w:tc>
          <w:tcPr/>
          <w:p>
            <w:pPr>
              <w:pStyle w:val="Compact"/>
            </w:pPr>
            <w:r>
              <w:t xml:space="preserve">CSIS Cancian</w:t>
            </w:r>
          </w:p>
        </w:tc>
        <w:tc>
          <w:tcPr/>
          <w:p>
            <w:pPr>
              <w:pStyle w:val="Compact"/>
            </w:pPr>
            <w:r>
              <w:t xml:space="preserve">2026</w:t>
            </w:r>
          </w:p>
        </w:tc>
      </w:tr>
      <w:tr>
        <w:tc>
          <w:tcPr/>
          <w:p>
            <w:pPr>
              <w:pStyle w:val="Compact"/>
            </w:pPr>
            <w:r>
              <w:rPr>
                <w:rFonts w:hint="eastAsia"/>
              </w:rPr>
              <w:t xml:space="preserve">伊朗月度石油收入（3月）</w:t>
            </w:r>
          </w:p>
        </w:tc>
        <w:tc>
          <w:tcPr/>
          <w:p>
            <w:pPr>
              <w:pStyle w:val="Compact"/>
            </w:pPr>
            <w:r>
              <w:rPr>
                <w:rFonts w:hint="eastAsia"/>
              </w:rPr>
              <w:t xml:space="preserve">$1.96B（战前约$3–4B）</w:t>
            </w:r>
          </w:p>
        </w:tc>
        <w:tc>
          <w:tcPr/>
          <w:p>
            <w:pPr>
              <w:pStyle w:val="Compact"/>
            </w:pPr>
            <w:r>
              <w:t xml:space="preserve">Bourse &amp; Bazaar / EIA</w:t>
            </w:r>
          </w:p>
        </w:tc>
        <w:tc>
          <w:tcPr/>
          <w:p>
            <w:pPr>
              <w:pStyle w:val="Compact"/>
            </w:pPr>
            <w:r>
              <w:t xml:space="preserve">2026-03</w:t>
            </w:r>
          </w:p>
        </w:tc>
      </w:tr>
      <w:tr>
        <w:tc>
          <w:tcPr/>
          <w:p>
            <w:pPr>
              <w:pStyle w:val="Compact"/>
            </w:pPr>
            <w:r>
              <w:rPr>
                <w:rFonts w:hint="eastAsia"/>
              </w:rPr>
              <w:t xml:space="preserve">rial汇率变动</w:t>
            </w:r>
          </w:p>
        </w:tc>
        <w:tc>
          <w:tcPr/>
          <w:p>
            <w:pPr>
              <w:pStyle w:val="Compact"/>
            </w:pPr>
            <w:r>
              <w:t xml:space="preserve">1:42K → 1:90K+</w:t>
            </w:r>
          </w:p>
        </w:tc>
        <w:tc>
          <w:tcPr/>
          <w:p>
            <w:pPr>
              <w:pStyle w:val="Compact"/>
            </w:pPr>
            <w:r>
              <w:t xml:space="preserve">Bonbast.com</w:t>
            </w:r>
          </w:p>
        </w:tc>
        <w:tc>
          <w:tcPr/>
          <w:p>
            <w:pPr>
              <w:pStyle w:val="Compact"/>
            </w:pPr>
            <w:r>
              <w:t xml:space="preserve">2026-06</w:t>
            </w:r>
          </w:p>
        </w:tc>
      </w:tr>
      <w:tr>
        <w:tc>
          <w:tcPr/>
          <w:p>
            <w:pPr>
              <w:pStyle w:val="Compact"/>
            </w:pPr>
            <w:r>
              <w:rPr>
                <w:rFonts w:hint="eastAsia"/>
              </w:rPr>
              <w:t xml:space="preserve">伊朗导弹恢复产能</w:t>
            </w:r>
          </w:p>
        </w:tc>
        <w:tc>
          <w:tcPr/>
          <w:p>
            <w:pPr>
              <w:pStyle w:val="Compact"/>
            </w:pPr>
            <w:r>
              <w:rPr>
                <w:rFonts w:hint="eastAsia"/>
              </w:rPr>
              <w:t xml:space="preserve">2,000–3,000枚/年</w:t>
            </w:r>
          </w:p>
        </w:tc>
        <w:tc>
          <w:tcPr/>
          <w:p>
            <w:pPr>
              <w:pStyle w:val="Compact"/>
            </w:pPr>
            <w:r>
              <w:t xml:space="preserve">FDD Dubowitz</w:t>
            </w:r>
          </w:p>
        </w:tc>
        <w:tc>
          <w:tcPr/>
          <w:p>
            <w:pPr>
              <w:pStyle w:val="Compact"/>
            </w:pPr>
            <w:r>
              <w:t xml:space="preserve">2025-12</w:t>
            </w:r>
          </w:p>
        </w:tc>
      </w:tr>
      <w:tr>
        <w:tc>
          <w:tcPr/>
          <w:p>
            <w:pPr>
              <w:pStyle w:val="Compact"/>
            </w:pPr>
            <w:r>
              <w:rPr>
                <w:rFonts w:hint="eastAsia"/>
              </w:rPr>
              <w:t xml:space="preserve">存量恢复时间</w:t>
            </w:r>
          </w:p>
        </w:tc>
        <w:tc>
          <w:tcPr/>
          <w:p>
            <w:pPr>
              <w:pStyle w:val="Compact"/>
            </w:pPr>
            <w:r>
              <w:rPr>
                <w:rFonts w:hint="eastAsia"/>
              </w:rPr>
              <w:t xml:space="preserve">3–5年</w:t>
            </w:r>
          </w:p>
        </w:tc>
        <w:tc>
          <w:tcPr/>
          <w:p>
            <w:pPr>
              <w:pStyle w:val="Compact"/>
            </w:pPr>
            <w:r>
              <w:t xml:space="preserve">FDD Dubowitz</w:t>
            </w:r>
          </w:p>
        </w:tc>
        <w:tc>
          <w:tcPr/>
          <w:p>
            <w:pPr>
              <w:pStyle w:val="Compact"/>
            </w:pPr>
            <w:r>
              <w:t xml:space="preserve">2025-12</w:t>
            </w:r>
          </w:p>
        </w:tc>
      </w:tr>
      <w:tr>
        <w:tc>
          <w:tcPr/>
          <w:p>
            <w:pPr>
              <w:pStyle w:val="Compact"/>
            </w:pPr>
            <w:r>
              <w:rPr>
                <w:rFonts w:hint="eastAsia"/>
              </w:rPr>
              <w:t xml:space="preserve">两伊战争伊朗一侧死亡</w:t>
            </w:r>
          </w:p>
        </w:tc>
        <w:tc>
          <w:tcPr/>
          <w:p>
            <w:pPr>
              <w:pStyle w:val="Compact"/>
            </w:pPr>
            <w:r>
              <w:rPr>
                <w:rFonts w:hint="eastAsia"/>
              </w:rPr>
              <w:t xml:space="preserve">约35万</w:t>
            </w:r>
          </w:p>
        </w:tc>
        <w:tc>
          <w:tcPr/>
          <w:p>
            <w:pPr>
              <w:pStyle w:val="Compact"/>
            </w:pPr>
            <w:r>
              <w:t xml:space="preserve">CFR</w:t>
            </w:r>
          </w:p>
        </w:tc>
        <w:tc>
          <w:tcPr/>
          <w:p>
            <w:pPr>
              <w:pStyle w:val="Compact"/>
            </w:pPr>
            <w:r>
              <w:rPr>
                <w:rFonts w:hint="eastAsia"/>
              </w:rPr>
              <w:t xml:space="preserve">历史</w:t>
            </w:r>
          </w:p>
        </w:tc>
      </w:tr>
      <w:tr>
        <w:tc>
          <w:tcPr/>
          <w:p>
            <w:pPr>
              <w:pStyle w:val="Compact"/>
            </w:pPr>
            <w:r>
              <w:t xml:space="preserve">IRGC </w:t>
            </w:r>
            <w:r>
              <w:rPr>
                <w:rFonts w:hint="eastAsia"/>
              </w:rPr>
              <w:t xml:space="preserve">GDP直接控股</w:t>
            </w:r>
          </w:p>
        </w:tc>
        <w:tc>
          <w:tcPr/>
          <w:p>
            <w:pPr>
              <w:pStyle w:val="Compact"/>
            </w:pPr>
            <w:r>
              <w:rPr>
                <w:rFonts w:hint="eastAsia"/>
              </w:rPr>
              <w:t xml:space="preserve">约15–20%（直接控股口径）</w:t>
            </w:r>
          </w:p>
        </w:tc>
        <w:tc>
          <w:tcPr/>
          <w:p>
            <w:pPr>
              <w:pStyle w:val="Compact"/>
            </w:pPr>
            <w:r>
              <w:t xml:space="preserve">FPRI Golkar</w:t>
            </w:r>
          </w:p>
        </w:tc>
        <w:tc>
          <w:tcPr/>
          <w:p>
            <w:pPr>
              <w:pStyle w:val="Compact"/>
            </w:pPr>
            <w:r>
              <w:t xml:space="preserve">2025-10</w:t>
            </w:r>
          </w:p>
        </w:tc>
      </w:tr>
      <w:tr>
        <w:tc>
          <w:tcPr/>
          <w:p>
            <w:pPr>
              <w:pStyle w:val="Compact"/>
            </w:pPr>
            <w:r>
              <w:t xml:space="preserve">IRGC </w:t>
            </w:r>
            <w:r>
              <w:rPr>
                <w:rFonts w:hint="eastAsia"/>
              </w:rPr>
              <w:t xml:space="preserve">GDP含关联产业</w:t>
            </w:r>
          </w:p>
        </w:tc>
        <w:tc>
          <w:tcPr/>
          <w:p>
            <w:pPr>
              <w:pStyle w:val="Compact"/>
            </w:pPr>
            <w:r>
              <w:rPr>
                <w:rFonts w:hint="eastAsia"/>
              </w:rPr>
              <w:t xml:space="preserve">可达50%+（关联产业口径）</w:t>
            </w:r>
          </w:p>
        </w:tc>
        <w:tc>
          <w:tcPr/>
          <w:p>
            <w:pPr>
              <w:pStyle w:val="Compact"/>
            </w:pPr>
            <w:r>
              <w:t xml:space="preserve">FPRI Golkar</w:t>
            </w:r>
          </w:p>
        </w:tc>
        <w:tc>
          <w:tcPr/>
          <w:p>
            <w:pPr>
              <w:pStyle w:val="Compact"/>
            </w:pPr>
            <w:r>
              <w:t xml:space="preserve">2025-10</w:t>
            </w:r>
          </w:p>
        </w:tc>
      </w:tr>
      <w:tr>
        <w:tc>
          <w:tcPr/>
          <w:p>
            <w:pPr>
              <w:pStyle w:val="Compact"/>
            </w:pPr>
            <w:r>
              <w:rPr>
                <w:rFonts w:hint="eastAsia"/>
              </w:rPr>
              <w:t xml:space="preserve">伊朗战前高浓缩铀存量</w:t>
            </w:r>
          </w:p>
        </w:tc>
        <w:tc>
          <w:tcPr/>
          <w:p>
            <w:pPr>
              <w:pStyle w:val="Compact"/>
            </w:pPr>
            <w:r>
              <w:rPr>
                <w:rFonts w:hint="eastAsia"/>
              </w:rPr>
              <w:t xml:space="preserve">约40–60kg（60–90%纯度）</w:t>
            </w:r>
          </w:p>
        </w:tc>
        <w:tc>
          <w:tcPr/>
          <w:p>
            <w:pPr>
              <w:pStyle w:val="Compact"/>
            </w:pPr>
            <w:r>
              <w:t xml:space="preserve">IAEA </w:t>
            </w:r>
            <w:r>
              <w:rPr>
                <w:rFonts w:hint="eastAsia"/>
              </w:rPr>
              <w:t xml:space="preserve">2025-11季报</w:t>
            </w:r>
          </w:p>
        </w:tc>
        <w:tc>
          <w:tcPr/>
          <w:p>
            <w:pPr>
              <w:pStyle w:val="Compact"/>
            </w:pPr>
            <w:r>
              <w:t xml:space="preserve">2025-11</w:t>
            </w:r>
          </w:p>
        </w:tc>
      </w:tr>
      <w:tr>
        <w:tc>
          <w:tcPr/>
          <w:p>
            <w:pPr>
              <w:pStyle w:val="Compact"/>
            </w:pPr>
            <w:r>
              <w:rPr>
                <w:rFonts w:hint="eastAsia"/>
              </w:rPr>
              <w:t xml:space="preserve">Polymarket崩溃定价</w:t>
            </w:r>
          </w:p>
        </w:tc>
        <w:tc>
          <w:tcPr/>
          <w:p>
            <w:pPr>
              <w:pStyle w:val="Compact"/>
            </w:pPr>
            <w:r>
              <w:rPr>
                <w:rFonts w:hint="eastAsia"/>
              </w:rPr>
              <w:t xml:space="preserve">个位数%</w:t>
            </w:r>
          </w:p>
        </w:tc>
        <w:tc>
          <w:tcPr/>
          <w:p>
            <w:pPr>
              <w:pStyle w:val="Compact"/>
            </w:pPr>
            <w:r>
              <w:t xml:space="preserve">Polymarket</w:t>
            </w:r>
          </w:p>
        </w:tc>
        <w:tc>
          <w:tcPr/>
          <w:p>
            <w:pPr>
              <w:pStyle w:val="Compact"/>
            </w:pPr>
            <w:r>
              <w:t xml:space="preserve">2026-03</w:t>
            </w:r>
          </w:p>
        </w:tc>
      </w:tr>
    </w:tbl>
    <w:p>
      <w:r>
        <w:pict>
          <v:rect style="width:0;height:1.5pt" o:hralign="center" o:hrstd="t" o:hr="t"/>
        </w:pict>
      </w:r>
    </w:p>
    <w:p>
      <w:pPr>
        <w:pStyle w:val="FirstParagraph"/>
      </w:pPr>
      <w:r>
        <w:rPr>
          <w:rFonts w:hint="eastAsia"/>
          <w:i/>
          <w:iCs/>
        </w:rPr>
        <w:t xml:space="preserve">本报告v2修订版于2026年6月2日完成。主要来源：UK</w:t>
      </w:r>
      <w:r>
        <w:rPr>
          <w:i/>
          <w:iCs/>
        </w:rPr>
        <w:t xml:space="preserve"> Commons CBP-10637、RAND Cohen (2026-04)、FPRI Golkar (2025-10, 2026)、Soufan Center (2026-03-26)、CSIS Cancian (2026)、CFR Maloney、Carnegie Sadjadpour、Chatham House Quilliam (2026-05)、INSS Guzansky (2026-02)、Stimson Center (2026)、Hanna Notte (2026-05)、FDD Dubowitz (2025-12)、Brad Setser CFR (2026-04)、Atlantic Council (2026-03)、IAEA </w:t>
      </w:r>
      <w:r>
        <w:rPr>
          <w:rFonts w:hint="eastAsia"/>
          <w:i/>
          <w:iCs/>
        </w:rPr>
        <w:t xml:space="preserve">2025-11季度报告、EIA。</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6" Target="media/rId26.png" /><Relationship Type="http://schemas.openxmlformats.org/officeDocument/2006/relationships/image" Id="rId13" Target="media/rId13.png" /><Relationship Type="http://schemas.openxmlformats.org/officeDocument/2006/relationships/image" Id="rId48" Target="media/rId48.png" /><Relationship Type="http://schemas.openxmlformats.org/officeDocument/2006/relationships/hyperlink" Id="rId40" Target="https://carnegieendowment.org/middle-east/diwan/2025/11/what-kind-of-future-for-iran" TargetMode="External" /><Relationship Type="http://schemas.openxmlformats.org/officeDocument/2006/relationships/hyperlink" Id="rId22" Target="https://commonslibrary.parliament.uk/research-briefings/cbp-10637/" TargetMode="External" /><Relationship Type="http://schemas.openxmlformats.org/officeDocument/2006/relationships/hyperlink" Id="rId16" Target="https://doi.org/10.1111/polp.12589" TargetMode="External" /><Relationship Type="http://schemas.openxmlformats.org/officeDocument/2006/relationships/hyperlink" Id="rId77" Target="https://onlinelibrary.wiley.com/doi/abs/10.1111/dome.70017" TargetMode="External" /><Relationship Type="http://schemas.openxmlformats.org/officeDocument/2006/relationships/hyperlink" Id="rId23" Target="https://thesoufancenter.org/research/iran-after-the-storm/" TargetMode="External" /><Relationship Type="http://schemas.openxmlformats.org/officeDocument/2006/relationships/hyperlink" Id="rId59" Target="https://www.atlanticcouncil.org/dispatches/inside-tehrans-toll-booth/" TargetMode="External" /><Relationship Type="http://schemas.openxmlformats.org/officeDocument/2006/relationships/hyperlink" Id="rId57" Target="https://www.bonbast.com/" TargetMode="External" /><Relationship Type="http://schemas.openxmlformats.org/officeDocument/2006/relationships/hyperlink" Id="rId34" Target="https://www.bourseandbazaar.com/" TargetMode="External" /><Relationship Type="http://schemas.openxmlformats.org/officeDocument/2006/relationships/hyperlink" Id="rId74" Target="https://www.brookings.edu/articles/is-iran-on-the-brink-of-change/" TargetMode="External" /><Relationship Type="http://schemas.openxmlformats.org/officeDocument/2006/relationships/hyperlink" Id="rId70" Target="https://www.cfr.org/articles/petrodollars-myths-and-reality" TargetMode="External" /><Relationship Type="http://schemas.openxmlformats.org/officeDocument/2006/relationships/hyperlink" Id="rId12" Target="https://www.cfr.org/backgrounder/iran-iraq-war" TargetMode="External" /><Relationship Type="http://schemas.openxmlformats.org/officeDocument/2006/relationships/hyperlink" Id="rId62" Target="https://www.chathamhouse.org/2026/05/how-iran-war-reshaping-saudi-strategy-hormuz-and-houthis-uaes-opec-exit" TargetMode="External" /><Relationship Type="http://schemas.openxmlformats.org/officeDocument/2006/relationships/hyperlink" Id="rId30" Target="https://www.csis.org/analysis/last-rounds-status-key-munitions-iran-war-ceasefire" TargetMode="External" /><Relationship Type="http://schemas.openxmlformats.org/officeDocument/2006/relationships/hyperlink" Id="rId41" Target="https://www.csis.org/analysis/why-decapitation-will-not-solve-united-states-iran-problem" TargetMode="External" /><Relationship Type="http://schemas.openxmlformats.org/officeDocument/2006/relationships/hyperlink" Id="rId31" Target="https://www.fdd.org/analysis/2025/12/22/a-half-year-after-operation-rising-lion-irans-ballistic-missile-threat-re-emerges/" TargetMode="External" /><Relationship Type="http://schemas.openxmlformats.org/officeDocument/2006/relationships/hyperlink" Id="rId38" Target="https://www.foreignaffairs.com/iran/third-islamic-republic-middle-east-suzanne-maloney" TargetMode="External" /><Relationship Type="http://schemas.openxmlformats.org/officeDocument/2006/relationships/hyperlink" Id="rId68" Target="https://www.foreignaffairs.com/united-states/not-world-russia-wants" TargetMode="External" /><Relationship Type="http://schemas.openxmlformats.org/officeDocument/2006/relationships/hyperlink" Id="rId10" Target="https://www.fpri.org/article/2025/10/irans-adaptive-authoritarianism/" TargetMode="External" /><Relationship Type="http://schemas.openxmlformats.org/officeDocument/2006/relationships/hyperlink" Id="rId29" Target="https://www.fpri.org/article/2026/03/rising-lions-air-offensive-part-i/" TargetMode="External" /><Relationship Type="http://schemas.openxmlformats.org/officeDocument/2006/relationships/hyperlink" Id="rId54" Target="https://www.iaea.org/about/overview/governance/board-of-governors" TargetMode="External" /><Relationship Type="http://schemas.openxmlformats.org/officeDocument/2006/relationships/hyperlink" Id="rId63" Target="https://www.inss.org.il/publication/saudi-arabia-uae-2026/" TargetMode="External" /><Relationship Type="http://schemas.openxmlformats.org/officeDocument/2006/relationships/hyperlink" Id="rId25" Target="https://www.rand.org/pubs/commentary/2026/04/trumps-iran-war-is-a-dilemma-not-a-debacle.html" TargetMode="External" /><Relationship Type="http://schemas.openxmlformats.org/officeDocument/2006/relationships/hyperlink" Id="rId45" Target="https://www.randomhouse.com/books/561901/rise-and-kill-first-by-ronen-bergman/" TargetMode="External" /><Relationship Type="http://schemas.openxmlformats.org/officeDocument/2006/relationships/hyperlink" Id="rId66" Target="https://www.stimson.org/2026/iran-aligned-militias-jeopardize-iraqs-gulf-reset/" TargetMode="External" /><Relationship Type="http://schemas.openxmlformats.org/officeDocument/2006/relationships/hyperlink" Id="rId43" Target="https://www.theatlantic.com/international/archive/2026/03/iran-collapse-risk/67891/" TargetMode="External" /></Relationships>
</file>

<file path=word/_rels/footnotes.xml.rels><?xml version="1.0" encoding="UTF-8"?><Relationships xmlns="http://schemas.openxmlformats.org/package/2006/relationships"><Relationship Type="http://schemas.openxmlformats.org/officeDocument/2006/relationships/hyperlink" Id="rId40" Target="https://carnegieendowment.org/middle-east/diwan/2025/11/what-kind-of-future-for-iran" TargetMode="External" /><Relationship Type="http://schemas.openxmlformats.org/officeDocument/2006/relationships/hyperlink" Id="rId22" Target="https://commonslibrary.parliament.uk/research-briefings/cbp-10637/" TargetMode="External" /><Relationship Type="http://schemas.openxmlformats.org/officeDocument/2006/relationships/hyperlink" Id="rId16" Target="https://doi.org/10.1111/polp.12589" TargetMode="External" /><Relationship Type="http://schemas.openxmlformats.org/officeDocument/2006/relationships/hyperlink" Id="rId77" Target="https://onlinelibrary.wiley.com/doi/abs/10.1111/dome.70017" TargetMode="External" /><Relationship Type="http://schemas.openxmlformats.org/officeDocument/2006/relationships/hyperlink" Id="rId23" Target="https://thesoufancenter.org/research/iran-after-the-storm/" TargetMode="External" /><Relationship Type="http://schemas.openxmlformats.org/officeDocument/2006/relationships/hyperlink" Id="rId59" Target="https://www.atlanticcouncil.org/dispatches/inside-tehrans-toll-booth/" TargetMode="External" /><Relationship Type="http://schemas.openxmlformats.org/officeDocument/2006/relationships/hyperlink" Id="rId57" Target="https://www.bonbast.com/" TargetMode="External" /><Relationship Type="http://schemas.openxmlformats.org/officeDocument/2006/relationships/hyperlink" Id="rId34" Target="https://www.bourseandbazaar.com/" TargetMode="External" /><Relationship Type="http://schemas.openxmlformats.org/officeDocument/2006/relationships/hyperlink" Id="rId74" Target="https://www.brookings.edu/articles/is-iran-on-the-brink-of-change/" TargetMode="External" /><Relationship Type="http://schemas.openxmlformats.org/officeDocument/2006/relationships/hyperlink" Id="rId70" Target="https://www.cfr.org/articles/petrodollars-myths-and-reality" TargetMode="External" /><Relationship Type="http://schemas.openxmlformats.org/officeDocument/2006/relationships/hyperlink" Id="rId12" Target="https://www.cfr.org/backgrounder/iran-iraq-war" TargetMode="External" /><Relationship Type="http://schemas.openxmlformats.org/officeDocument/2006/relationships/hyperlink" Id="rId62" Target="https://www.chathamhouse.org/2026/05/how-iran-war-reshaping-saudi-strategy-hormuz-and-houthis-uaes-opec-exit" TargetMode="External" /><Relationship Type="http://schemas.openxmlformats.org/officeDocument/2006/relationships/hyperlink" Id="rId30" Target="https://www.csis.org/analysis/last-rounds-status-key-munitions-iran-war-ceasefire" TargetMode="External" /><Relationship Type="http://schemas.openxmlformats.org/officeDocument/2006/relationships/hyperlink" Id="rId41" Target="https://www.csis.org/analysis/why-decapitation-will-not-solve-united-states-iran-problem" TargetMode="External" /><Relationship Type="http://schemas.openxmlformats.org/officeDocument/2006/relationships/hyperlink" Id="rId31" Target="https://www.fdd.org/analysis/2025/12/22/a-half-year-after-operation-rising-lion-irans-ballistic-missile-threat-re-emerges/" TargetMode="External" /><Relationship Type="http://schemas.openxmlformats.org/officeDocument/2006/relationships/hyperlink" Id="rId38" Target="https://www.foreignaffairs.com/iran/third-islamic-republic-middle-east-suzanne-maloney" TargetMode="External" /><Relationship Type="http://schemas.openxmlformats.org/officeDocument/2006/relationships/hyperlink" Id="rId68" Target="https://www.foreignaffairs.com/united-states/not-world-russia-wants" TargetMode="External" /><Relationship Type="http://schemas.openxmlformats.org/officeDocument/2006/relationships/hyperlink" Id="rId10" Target="https://www.fpri.org/article/2025/10/irans-adaptive-authoritarianism/" TargetMode="External" /><Relationship Type="http://schemas.openxmlformats.org/officeDocument/2006/relationships/hyperlink" Id="rId29" Target="https://www.fpri.org/article/2026/03/rising-lions-air-offensive-part-i/" TargetMode="External" /><Relationship Type="http://schemas.openxmlformats.org/officeDocument/2006/relationships/hyperlink" Id="rId54" Target="https://www.iaea.org/about/overview/governance/board-of-governors" TargetMode="External" /><Relationship Type="http://schemas.openxmlformats.org/officeDocument/2006/relationships/hyperlink" Id="rId63" Target="https://www.inss.org.il/publication/saudi-arabia-uae-2026/" TargetMode="External" /><Relationship Type="http://schemas.openxmlformats.org/officeDocument/2006/relationships/hyperlink" Id="rId25" Target="https://www.rand.org/pubs/commentary/2026/04/trumps-iran-war-is-a-dilemma-not-a-debacle.html" TargetMode="External" /><Relationship Type="http://schemas.openxmlformats.org/officeDocument/2006/relationships/hyperlink" Id="rId45" Target="https://www.randomhouse.com/books/561901/rise-and-kill-first-by-ronen-bergman/" TargetMode="External" /><Relationship Type="http://schemas.openxmlformats.org/officeDocument/2006/relationships/hyperlink" Id="rId66" Target="https://www.stimson.org/2026/iran-aligned-militias-jeopardize-iraqs-gulf-reset/" TargetMode="External" /><Relationship Type="http://schemas.openxmlformats.org/officeDocument/2006/relationships/hyperlink" Id="rId43" Target="https://www.theatlantic.com/international/archive/2026/03/iran-collapse-risk/678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2026-06-03T02:41:06Z</dcterms:created>
  <dcterms:modified xsi:type="dcterms:W3CDTF">2026-06-03T02:41:06Z</dcterms:modified>
</cp:coreProperties>
</file>

<file path=docProps/custom.xml><?xml version="1.0" encoding="utf-8"?>
<Properties xmlns="http://schemas.openxmlformats.org/officeDocument/2006/custom-properties" xmlns:vt="http://schemas.openxmlformats.org/officeDocument/2006/docPropsVTypes"/>
</file>