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59.png" ContentType="image/png"/>
  <Override PartName="/word/media/rId5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56" w:name="五半导体供应链先看清脆弱性再讨论误判在哪"/>
    <w:p>
      <w:pPr>
        <w:pStyle w:val="Heading2"/>
      </w:pPr>
      <w:r>
        <w:rPr>
          <w:rFonts w:hint="eastAsia"/>
        </w:rPr>
        <w:t xml:space="preserve">五、半导体供应链：先看清脆弱性，再讨论误判在哪</w:t>
      </w:r>
    </w:p>
    <w:bookmarkStart w:id="46"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。在进入评估之前，有一个关键的不对称值得先说：</w:t>
      </w:r>
      <w:r>
        <w:rPr>
          <w:rFonts w:hint="eastAsia"/>
          <w:b/>
          <w:bCs/>
        </w:rPr>
        <w:t xml:space="preserve">煤炭储备约40天，远超LNG的11天</w:t>
      </w:r>
      <w:r>
        <w:rPr>
          <w:rFonts w:hint="eastAsia"/>
        </w:rPr>
        <w:t xml:space="preserve">，且台湾煤炭主要从澳大利亚和印尼进口，</w:t>
      </w:r>
      <w:r>
        <w:rPr>
          <w:rFonts w:hint="eastAsia"/>
          <w:b/>
          <w:bCs/>
        </w:rPr>
        <w:t xml:space="preserve">完全不经霍尔木兹</w:t>
      </w:r>
      <w:r>
        <w:rPr>
          <w:rFonts w:hint="eastAsia"/>
        </w:rPr>
        <w:t xml:space="preserve">（</w:t>
      </w:r>
      <w:hyperlink r:id="rId31">
        <w:r>
          <w:rPr>
            <w:rStyle w:val="Hyperlink"/>
            <w:rFonts w:hint="eastAsia"/>
          </w:rPr>
          <w:t xml:space="preserve">Taipower煤炭采购页面</w:t>
        </w:r>
      </w:hyperlink>
      <w:r>
        <w:rPr>
          <w:rFonts w:hint="eastAsia"/>
        </w:rPr>
        <w:t xml:space="preserve">；</w:t>
      </w:r>
      <w:hyperlink r:id="rId25">
        <w:r>
          <w:rPr>
            <w:rStyle w:val="Hyperlink"/>
            <w:rFonts w:hint="eastAsia"/>
          </w:rPr>
          <w:t xml:space="preserve">台湾MOEA能源政策</w:t>
        </w:r>
      </w:hyperlink>
      <w:r>
        <w:rPr>
          <w:rFonts w:hint="eastAsia"/>
        </w:rPr>
        <w:t xml:space="preserve">）。这是台湾能源结构里最被忽视的一个结构性优势——供应链层面，煤炭比LNG更有韧性。</w:t>
      </w:r>
    </w:p>
    <w:p>
      <w:pPr>
        <w:pStyle w:val="BodyText"/>
      </w:pPr>
      <w:r>
        <w:rPr>
          <w:rFonts w:hint="eastAsia"/>
        </w:rPr>
        <w:t xml:space="preserve">但”煤炭储备充足”不等于”可以无限制替换LNG发电”。理解这个差距需要区分三个层面：</w:t>
      </w:r>
    </w:p>
    <w:p>
      <w:pPr>
        <w:pStyle w:val="BodyText"/>
      </w:pPr>
      <w:r>
        <w:rPr>
          <w:rFonts w:hint="eastAsia"/>
          <w:b/>
          <w:bCs/>
        </w:rPr>
        <w:t xml:space="preserve">第一，容量覆盖上限约50%</w:t>
      </w:r>
      <w:r>
        <w:rPr>
          <w:rFonts w:hint="eastAsia"/>
        </w:rPr>
        <w:t xml:space="preserve">。台湾的39.3%煤电</w:t>
      </w:r>
      <w:r>
        <w:rPr>
          <w:rFonts w:hint="eastAsia"/>
          <w:b/>
          <w:bCs/>
        </w:rPr>
        <w:t xml:space="preserve">不是闲置的备用产能</w:t>
      </w:r>
      <w:r>
        <w:rPr>
          <w:rFonts w:hint="eastAsia"/>
        </w:rPr>
        <w:t xml:space="preserve">，而是本来就在运行的基荷电力。台中发电厂（全球第四大燃煤电厂，10台×550MW）和兴达电厂受环保政策限制（台中市规定用煤量减少24%、PM2.5超标时强制减载；兴达3/4号机被列为”备用机组”，每年最多运行720小时）。中华经济研究院（CIER</w:t>
      </w:r>
      <w:r>
        <w:t xml:space="preserve"> </w:t>
      </w:r>
      <w:r>
        <w:rPr>
          <w:rFonts w:hint="eastAsia"/>
        </w:rPr>
        <w:t xml:space="preserve">Taiwan）的评估是：若LNG中断，煤炭替代可以覆盖”约一半”的正常发电量，而非全部（</w:t>
      </w:r>
      <w:hyperlink r:id="rId32">
        <w:r>
          <w:rPr>
            <w:rStyle w:val="Hyperlink"/>
          </w:rPr>
          <w:t xml:space="preserve">CIER </w:t>
        </w:r>
        <w:r>
          <w:rPr>
            <w:rStyle w:val="Hyperlink"/>
            <w:rFonts w:hint="eastAsia"/>
          </w:rPr>
          <w:t xml:space="preserve">Taiwan评估</w:t>
        </w:r>
      </w:hyperlink>
      <w:r>
        <w:rPr>
          <w:rFonts w:hint="eastAsia"/>
        </w:rPr>
        <w:t xml:space="preserve">）。霍尔木兹中断约16%的总发电量，煤炭理论上可以覆盖其中的一半左右——前提是环保限制被正式豁免。</w:t>
      </w:r>
    </w:p>
    <w:p>
      <w:pPr>
        <w:pStyle w:val="BodyText"/>
      </w:pPr>
      <w:r>
        <w:rPr>
          <w:rFonts w:hint="eastAsia"/>
          <w:b/>
          <w:bCs/>
        </w:rPr>
        <w:t xml:space="preserve">第二，台湾真实的停电应急模式是需求配给，而非煤电切换</w:t>
      </w:r>
      <w:r>
        <w:rPr>
          <w:rFonts w:hint="eastAsia"/>
        </w:rPr>
        <w:t xml:space="preserve">。2021年5月台湾发生两次大停电（影响462万和100万户），台电的实际应对是</w:t>
      </w:r>
      <w:r>
        <w:rPr>
          <w:rFonts w:hint="eastAsia"/>
          <w:b/>
          <w:bCs/>
        </w:rPr>
        <w:t xml:space="preserve">需求侧轮流限电（rolling</w:t>
      </w:r>
      <w:r>
        <w:rPr>
          <w:b/>
          <w:bCs/>
        </w:rPr>
        <w:t xml:space="preserve"> </w:t>
      </w:r>
      <w:r>
        <w:rPr>
          <w:rFonts w:hint="eastAsia"/>
          <w:b/>
          <w:bCs/>
        </w:rPr>
        <w:t xml:space="preserve">blackouts）</w:t>
      </w:r>
      <w:r>
        <w:rPr>
          <w:rFonts w:hint="eastAsia"/>
        </w:rPr>
        <w:t xml:space="preserve">，而非启动备用煤电机组（</w:t>
      </w:r>
      <w:hyperlink r:id="rId33">
        <w:r>
          <w:rPr>
            <w:rStyle w:val="Hyperlink"/>
          </w:rPr>
          <w:t xml:space="preserve">IEEE </w:t>
        </w:r>
        <w:r>
          <w:rPr>
            <w:rStyle w:val="Hyperlink"/>
            <w:rFonts w:hint="eastAsia"/>
          </w:rPr>
          <w:t xml:space="preserve">Xplore，2021台湾停电分析</w:t>
        </w:r>
      </w:hyperlink>
      <w:r>
        <w:rPr>
          <w:rFonts w:hint="eastAsia"/>
        </w:rPr>
        <w:t xml:space="preserve">；</w:t>
      </w:r>
      <w:hyperlink r:id="rId34">
        <w:r>
          <w:rPr>
            <w:rStyle w:val="Hyperlink"/>
          </w:rPr>
          <w:t xml:space="preserve">Global Taiwan </w:t>
        </w:r>
        <w:r>
          <w:rPr>
            <w:rStyle w:val="Hyperlink"/>
            <w:rFonts w:hint="eastAsia"/>
          </w:rPr>
          <w:t xml:space="preserve">Institute，2023年6月</w:t>
        </w:r>
      </w:hyperlink>
      <w:r>
        <w:rPr>
          <w:rFonts w:hint="eastAsia"/>
        </w:rPr>
        <w:t xml:space="preserve">）。没有已发布的、经过实际演练的燃料切换应急协议——现有的是”备用机组指定”制度，而非完整的燃料切换程序。</w:t>
      </w:r>
    </w:p>
    <w:p>
      <w:pPr>
        <w:pStyle w:val="BodyText"/>
      </w:pPr>
      <w:r>
        <w:rPr>
          <w:rFonts w:hint="eastAsia"/>
          <w:b/>
          <w:bCs/>
        </w:rPr>
        <w:t xml:space="preserve">第三，电能质量问题被夸大，但不是零</w:t>
      </w:r>
      <w:r>
        <w:rPr>
          <w:rFonts w:hint="eastAsia"/>
        </w:rPr>
        <w:t xml:space="preserve">。半导体晶圆厂对电压稳定性有严格要求，工业标准规范于</w:t>
      </w:r>
      <w:hyperlink r:id="rId35">
        <w:r>
          <w:rPr>
            <w:rStyle w:val="Hyperlink"/>
          </w:rPr>
          <w:t xml:space="preserve">SEMI </w:t>
        </w:r>
        <w:r>
          <w:rPr>
            <w:rStyle w:val="Hyperlink"/>
            <w:rFonts w:hint="eastAsia"/>
          </w:rPr>
          <w:t xml:space="preserve">F47（半导体工艺设备电压骤降免疫力行业规范）</w:t>
        </w:r>
      </w:hyperlink>
      <w:r>
        <w:rPr>
          <w:rFonts w:hint="eastAsia"/>
        </w:rPr>
        <w:t xml:space="preserve">。该标准要求所有半导体设备必须能承受短暂的电压骤降而不损坏——例如电压降到正常水平一半、持续约0.2秒，设备必须继续正常运行。换句话说，行业已经把”短暂停电”这个问题设计进了设备。真正的风险不是瞬间骤降，而是煤电切换时可能出现的持续性频率偏差——这超出了UPS（不间断电源，用于在电压波动时保护设备）的保护范围。学术文献中记录的单次电压骤降损失范围为</w:t>
      </w:r>
      <w:r>
        <w:rPr>
          <w:rFonts w:hint="eastAsia"/>
          <w:b/>
          <w:bCs/>
        </w:rPr>
        <w:t xml:space="preserve">$57.4万–$360万/次</w:t>
      </w:r>
      <w:r>
        <w:rPr>
          <w:rFonts w:hint="eastAsia"/>
        </w:rPr>
        <w:t xml:space="preserve">（</w:t>
      </w:r>
      <w:hyperlink r:id="rId36">
        <w:r>
          <w:rPr>
            <w:rStyle w:val="Hyperlink"/>
          </w:rPr>
          <w:t xml:space="preserve">MDPI </w:t>
        </w:r>
        <w:r>
          <w:rPr>
            <w:rStyle w:val="Hyperlink"/>
            <w:rFonts w:hint="eastAsia"/>
          </w:rPr>
          <w:t xml:space="preserve">Energies，2021，工业停产成本研究</w:t>
        </w:r>
      </w:hyperlink>
      <w:r>
        <w:rPr>
          <w:rFonts w:hint="eastAsia"/>
        </w:rPr>
        <w:t xml:space="preserve">）。流传的”几毫秒骤降损失1亿美元”说法在任何技术文件中均无来源，属于</w:t>
      </w:r>
      <w:r>
        <w:rPr>
          <w:rFonts w:hint="eastAsia"/>
          <w:b/>
          <w:bCs/>
        </w:rPr>
        <w:t xml:space="preserve">分析师评论，非文献数据</w:t>
      </w:r>
      <w:r>
        <w:rPr>
          <w:rFonts w:hint="eastAsia"/>
        </w:rPr>
        <w:t xml:space="preserve">；不应在报告中作为事实引用。TSMC有大型UPS系统和与台电的专用电力合同，能承受SEMI</w:t>
      </w:r>
      <w:r>
        <w:t xml:space="preserve"> </w:t>
      </w:r>
      <w:r>
        <w:rPr>
          <w:rFonts w:hint="eastAsia"/>
        </w:rPr>
        <w:t xml:space="preserve">F47范围内的扰动——真正的风险是煤电大规模切换时的</w:t>
      </w:r>
      <w:r>
        <w:rPr>
          <w:rFonts w:hint="eastAsia"/>
          <w:b/>
          <w:bCs/>
        </w:rPr>
        <w:t xml:space="preserve">持续频率偏差</w:t>
      </w:r>
      <w:r>
        <w:rPr>
          <w:rFonts w:hint="eastAsia"/>
        </w:rPr>
        <w:t xml:space="preserve">，而非毫秒级骤降。</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：LNG储备接近耗尽，煤电应急方案正在启动但覆盖率约50%；其余缺口靠需求侧强制配给应对。</w:t>
      </w:r>
    </w:p>
    <w:p>
      <w:pPr>
        <w:pStyle w:val="BodyText"/>
      </w:pPr>
      <w:r>
        <w:rPr>
          <w:rFonts w:hint="eastAsia"/>
          <w:b/>
          <w:bCs/>
        </w:rPr>
        <w:t xml:space="preserve">链B：卡塔尔氦气→芯片工艺气体</w:t>
      </w:r>
    </w:p>
    <w:p>
      <w:pPr>
        <w:pStyle w:val="BodyText"/>
      </w:pPr>
      <w:r>
        <w:rPr>
          <w:rFonts w:hint="eastAsia"/>
        </w:rPr>
        <w:t xml:space="preserve">【事实】卡塔尔占全球氦气产量约33%(63百万立方米/年),是全球第二大生产国(</w:t>
      </w:r>
      <w:hyperlink r:id="rId37">
        <w:r>
          <w:rPr>
            <w:rStyle w:val="Hyperlink"/>
            <w:rFonts w:hint="eastAsia"/>
          </w:rPr>
          <w:t xml:space="preserve">USGS《矿产品概要2026》</w:t>
        </w:r>
      </w:hyperlink>
      <w:r>
        <w:rPr>
          <w:rFonts w:hint="eastAsia"/>
        </w:rPr>
        <w:t xml:space="preserve">)。氦气作为天然气精炼副产品在Ras</w:t>
      </w:r>
      <w:r>
        <w:t xml:space="preserve"> </w:t>
      </w:r>
      <w:r>
        <w:rPr>
          <w:rFonts w:hint="eastAsia"/>
        </w:rPr>
        <w:t xml:space="preserve">Laffan提取。2026年伊朗袭击后,约14%的产能被永久损毁,重建预计需5年;叠加霍尔木兹封锁,全球约27–30%的氦气供应被移除(</w:t>
      </w:r>
      <w:hyperlink r:id="rId38">
        <w:r>
          <w:rPr>
            <w:rStyle w:val="Hyperlink"/>
          </w:rPr>
          <w:t xml:space="preserve">thedefensenews.com</w:t>
        </w:r>
      </w:hyperlink>
      <w:r>
        <w:t xml:space="preserve">)。</w:t>
      </w:r>
    </w:p>
    <w:p>
      <w:pPr>
        <w:pStyle w:val="BodyText"/>
      </w:pPr>
      <w:r>
        <w:rPr>
          <w:rFonts w:hint="eastAsia"/>
        </w:rPr>
        <w:t xml:space="preserve">【事实】氦气的</w:t>
      </w:r>
      <w:r>
        <w:rPr>
          <w:rFonts w:hint="eastAsia"/>
          <w:b/>
          <w:bCs/>
        </w:rPr>
        <w:t xml:space="preserve">不可替代性因应用而异</w:t>
      </w:r>
      <w:r>
        <w:rPr>
          <w:rFonts w:hint="eastAsia"/>
        </w:rPr>
        <w:t xml:space="preserve">。以下按实际应用分层说明，基于技术文献而非行业评论：</w:t>
      </w:r>
    </w:p>
    <w:p>
      <w:pPr>
        <w:pStyle w:val="BodyText"/>
      </w:pPr>
      <w:r>
        <w:rPr>
          <w:b/>
          <w:bCs/>
        </w:rPr>
        <w:t xml:space="preserve">① </w:t>
      </w:r>
      <w:r>
        <w:rPr>
          <w:rFonts w:hint="eastAsia"/>
          <w:b/>
          <w:bCs/>
        </w:rPr>
        <w:t xml:space="preserve">EUV光刻机——光路净化气，非超导冷却</w:t>
      </w:r>
    </w:p>
    <w:p>
      <w:pPr>
        <w:pStyle w:val="BodyText"/>
      </w:pPr>
      <w:r>
        <w:rPr>
          <w:rFonts w:hint="eastAsia"/>
        </w:rPr>
        <w:t xml:space="preserve">需要先纠正一个广泛流传的误解：ASML</w:t>
      </w:r>
      <w:r>
        <w:t xml:space="preserve"> </w:t>
      </w:r>
      <w:r>
        <w:rPr>
          <w:rFonts w:hint="eastAsia"/>
        </w:rPr>
        <w:t xml:space="preserve">EUV光刻机（NXE:3400、NXE:3800E等）使用氦气的主要目的是</w:t>
      </w:r>
      <w:r>
        <w:rPr>
          <w:rFonts w:hint="eastAsia"/>
          <w:b/>
          <w:bCs/>
        </w:rPr>
        <w:t xml:space="preserve">净化光路</w:t>
      </w:r>
      <w:r>
        <w:rPr>
          <w:rFonts w:hint="eastAsia"/>
        </w:rPr>
        <w:t xml:space="preserve">——EUV光子（13.5nm波长）在空气中会被氧气和水分完全吸收，因此整个光路在氦气或真空环境下运行。这是一个工艺纯净度应用，不是4K超导磁体冷却应用（ASML官网技术说明；ASML</w:t>
      </w:r>
      <w:r>
        <w:t xml:space="preserve"> </w:t>
      </w:r>
      <w:r>
        <w:rPr>
          <w:rFonts w:hint="eastAsia"/>
        </w:rPr>
        <w:t xml:space="preserve">2024可及版本）。超导磁体冷却的需求出现在</w:t>
      </w:r>
      <w:r>
        <w:rPr>
          <w:rFonts w:hint="eastAsia"/>
          <w:b/>
          <w:bCs/>
        </w:rPr>
        <w:t xml:space="preserve">离子注入机</w:t>
      </w:r>
      <w:r>
        <w:rPr>
          <w:rFonts w:hint="eastAsia"/>
        </w:rPr>
        <w:t xml:space="preserve">，而非EUV光刻机。</w:t>
      </w:r>
    </w:p>
    <w:p>
      <w:pPr>
        <w:pStyle w:val="BodyText"/>
      </w:pPr>
      <w:r>
        <w:rPr>
          <w:rFonts w:hint="eastAsia"/>
        </w:rPr>
        <w:t xml:space="preserve">EUV光路净化的氦气替代可行性：氮气或真空理论上可替代（从分子吸收角度），但需要工具级别的设计调整，目前没有任何已记录的芯片厂完成EUV平台的净化气切换。这仍是一个受设计约束的应用，但约束来源与”不可能到达4K”不同。</w:t>
      </w:r>
    </w:p>
    <w:p>
      <w:pPr>
        <w:pStyle w:val="BodyText"/>
      </w:pPr>
      <w:r>
        <w:t xml:space="preserve">→ </w:t>
      </w:r>
      <w:r>
        <w:rPr>
          <w:rFonts w:hint="eastAsia"/>
        </w:rPr>
        <w:t xml:space="preserve">对供应链风险的含义：EUV设备的氦气消耗不容忽视，但这是工艺气体而非制冷剂，危机应对的方向是优先保障EUV产线的气体配给，而非另辟替代技术。</w:t>
      </w:r>
    </w:p>
    <w:p>
      <w:pPr>
        <w:pStyle w:val="BodyText"/>
      </w:pPr>
      <w:r>
        <w:rPr>
          <w:b/>
          <w:bCs/>
        </w:rPr>
        <w:t xml:space="preserve">② </w:t>
      </w:r>
      <w:r>
        <w:rPr>
          <w:rFonts w:hint="eastAsia"/>
          <w:b/>
          <w:bCs/>
        </w:rPr>
        <w:t xml:space="preserve">离子注入机超导磁体冷却（4K）——可用封闭循环消除外部氦依赖</w:t>
      </w:r>
    </w:p>
    <w:p>
      <w:pPr>
        <w:pStyle w:val="BodyText"/>
      </w:pPr>
      <w:r>
        <w:rPr>
          <w:rFonts w:hint="eastAsia"/>
        </w:rPr>
        <w:t xml:space="preserve">离子注入机的强磁场需要超导磁体，传统设计需要液态氦（4.2K）冷却。但：封闭循环机械制冷机（一种无需消耗外部液态氦的内循环制冷装置，氦气在密封系统内循环使用）已将氦气作为</w:t>
      </w:r>
      <w:r>
        <w:rPr>
          <w:rFonts w:hint="eastAsia"/>
          <w:b/>
          <w:bCs/>
        </w:rPr>
        <w:t xml:space="preserve">内循环工质密封在设备内</w:t>
      </w:r>
      <w:r>
        <w:rPr>
          <w:rFonts w:hint="eastAsia"/>
        </w:rPr>
        <w:t xml:space="preserve">，不再消耗外部供应。Sumitomo</w:t>
      </w:r>
      <w:r>
        <w:t xml:space="preserve"> Heavy </w:t>
      </w:r>
      <w:r>
        <w:rPr>
          <w:rFonts w:hint="eastAsia"/>
        </w:rPr>
        <w:t xml:space="preserve">Industries（SHI</w:t>
      </w:r>
      <w:r>
        <w:t xml:space="preserve"> </w:t>
      </w:r>
      <w:r>
        <w:rPr>
          <w:rFonts w:hint="eastAsia"/>
        </w:rPr>
        <w:t xml:space="preserve">Cryogenics，全球主要低温冷却器供应商）明确记录”由于液氦成本和供应压力，大量超导系统已改为封闭循环机械制冷”，该技术自1999年商业化，现为新设备标准（</w:t>
      </w:r>
      <w:hyperlink r:id="rId39">
        <w:r>
          <w:rPr>
            <w:rStyle w:val="Hyperlink"/>
          </w:rPr>
          <w:t xml:space="preserve">SHI </w:t>
        </w:r>
        <w:r>
          <w:rPr>
            <w:rStyle w:val="Hyperlink"/>
            <w:rFonts w:hint="eastAsia"/>
          </w:rPr>
          <w:t xml:space="preserve">Cryogenics技术文档</w:t>
        </w:r>
      </w:hyperlink>
      <w:r>
        <w:rPr>
          <w:rFonts w:hint="eastAsia"/>
        </w:rPr>
        <w:t xml:space="preserve">；</w:t>
      </w:r>
      <w:hyperlink r:id="rId40">
        <w:r>
          <w:rPr>
            <w:rStyle w:val="Hyperlink"/>
            <w:rFonts w:hint="eastAsia"/>
          </w:rPr>
          <w:t xml:space="preserve">橡树岭国家实验室2015年发布的低温磁体设计报告</w:t>
        </w:r>
      </w:hyperlink>
      <w:r>
        <w:rPr>
          <w:rFonts w:hint="eastAsia"/>
        </w:rPr>
        <w:t xml:space="preserve">）。</w:t>
      </w:r>
      <w:r>
        <w:rPr>
          <w:rFonts w:hint="eastAsia"/>
          <w:b/>
          <w:bCs/>
        </w:rPr>
        <w:t xml:space="preserve">关键区分</w:t>
      </w:r>
      <w:r>
        <w:rPr>
          <w:rFonts w:hint="eastAsia"/>
        </w:rPr>
        <w:t xml:space="preserve">：新安装的离子注入机多已消除外部氦供应依赖；但现有存量设备是否已改装，公开资料无系统性数据。</w:t>
      </w:r>
    </w:p>
    <w:p>
      <w:pPr>
        <w:pStyle w:val="BodyText"/>
      </w:pPr>
      <w:r>
        <w:t xml:space="preserve">→ </w:t>
      </w:r>
      <w:r>
        <w:rPr>
          <w:rFonts w:hint="eastAsia"/>
        </w:rPr>
        <w:t xml:space="preserve">对供应链风险的含义：新设备的外部氦依赖已大幅降低；存量设备的改造情况是不确定的缺口。</w:t>
      </w:r>
    </w:p>
    <w:p>
      <w:pPr>
        <w:pStyle w:val="BodyText"/>
      </w:pPr>
      <w:r>
        <w:rPr>
          <w:b/>
          <w:bCs/>
        </w:rPr>
        <w:t xml:space="preserve">③ </w:t>
      </w:r>
      <w:r>
        <w:rPr>
          <w:rFonts w:hint="eastAsia"/>
          <w:b/>
          <w:bCs/>
        </w:rPr>
        <w:t xml:space="preserve">工艺腔室载气（CVD（化学气相沉积，一种在晶圆表面生长薄膜的工艺）/ALD（原子层沉积，在原子级别精确控制薄膜生长的工艺）/刻蚀）——技术上可替代，但需认证</w:t>
      </w:r>
    </w:p>
    <w:p>
      <w:pPr>
        <w:pStyle w:val="BodyText"/>
      </w:pPr>
      <w:r>
        <w:rPr>
          <w:rFonts w:hint="eastAsia"/>
        </w:rPr>
        <w:t xml:space="preserve">氮气或氩气在技术上可以替代氦气的腔室载气功能。USGS在矿产品概要中明确表述：</w:t>
      </w:r>
      <w:r>
        <w:rPr>
          <w:rFonts w:hint="eastAsia"/>
        </w:rPr>
        <w:t xml:space="preserve">“氦气和稀有气体在惰性气氛用途上可以相互替代”</w:t>
      </w:r>
      <w:r>
        <w:t xml:space="preserve">(</w:t>
      </w:r>
      <w:hyperlink r:id="rId37">
        <w:r>
          <w:rPr>
            <w:rStyle w:val="Hyperlink"/>
          </w:rPr>
          <w:t xml:space="preserve">USGS MCS 2026</w:t>
        </w:r>
      </w:hyperlink>
      <w:r>
        <w:t xml:space="preserve">)。</w:t>
      </w:r>
      <w:hyperlink r:id="rId41">
        <w:r>
          <w:rPr>
            <w:rStyle w:val="Hyperlink"/>
            <w:rFonts w:hint="eastAsia"/>
          </w:rPr>
          <w:t xml:space="preserve">一项2024年发表在同行评审期刊的刻蚀工艺研究（比较氦气和氮气在铝互连刻蚀中的表现）</w:t>
        </w:r>
      </w:hyperlink>
      <w:r>
        <w:rPr>
          <w:rFonts w:hint="eastAsia"/>
        </w:rPr>
        <w:t xml:space="preserve">证实了两种气体产生可测量但不同的工艺结果。实际障碍不是技术不可行，而是</w:t>
      </w:r>
      <w:r>
        <w:rPr>
          <w:rFonts w:hint="eastAsia"/>
          <w:b/>
          <w:bCs/>
        </w:rPr>
        <w:t xml:space="preserve">工艺再认证需要2–6个月</w:t>
      </w:r>
      <w:r>
        <w:rPr>
          <w:rFonts w:hint="eastAsia"/>
        </w:rPr>
        <w:t xml:space="preserve">——等离子参数重新优化、良率验证、全产品批次认证，在急性危机中时间窗口不匹配。</w:t>
      </w:r>
    </w:p>
    <w:p>
      <w:pPr>
        <w:pStyle w:val="BodyText"/>
      </w:pPr>
      <w:r>
        <w:t xml:space="preserve">→ </w:t>
      </w:r>
      <w:r>
        <w:rPr>
          <w:rFonts w:hint="eastAsia"/>
        </w:rPr>
        <w:t xml:space="preserve">对供应链风险的含义：技术替代可行，但2–6个月认证时间让它在急性危机中帮不上忙。</w:t>
      </w:r>
    </w:p>
    <w:p>
      <w:pPr>
        <w:pStyle w:val="BodyText"/>
      </w:pPr>
      <w:r>
        <w:rPr>
          <w:b/>
          <w:bCs/>
        </w:rPr>
        <w:t xml:space="preserve">④ </w:t>
      </w:r>
      <w:r>
        <w:rPr>
          <w:rFonts w:hint="eastAsia"/>
          <w:b/>
          <w:bCs/>
        </w:rPr>
        <w:t xml:space="preserve">晶圆ESC（静电吸盘）背面冷却——难以替代</w:t>
      </w:r>
    </w:p>
    <w:p>
      <w:pPr>
        <w:pStyle w:val="BodyText"/>
      </w:pPr>
      <w:r>
        <w:rPr>
          <w:rFonts w:hint="eastAsia"/>
        </w:rPr>
        <w:t xml:space="preserve">在等离子刻蚀和CVD工艺中，氦气以2–10</w:t>
      </w:r>
      <w:r>
        <w:t xml:space="preserve"> </w:t>
      </w:r>
      <w:r>
        <w:rPr>
          <w:rFonts w:hint="eastAsia"/>
        </w:rPr>
        <w:t xml:space="preserve">Torr（Torr，气压单位，约等于1毫米汞柱高度的大气压，2–10</w:t>
      </w:r>
      <w:r>
        <w:t xml:space="preserve"> </w:t>
      </w:r>
      <w:r>
        <w:rPr>
          <w:rFonts w:hint="eastAsia"/>
        </w:rPr>
        <w:t xml:space="preserve">Torr是接近真空的低压状态）注入晶圆背面与吸盘之间提供热传递接触。在这个低压分子流动区域（在此压力下，气体分子的热传导能力取决于其分子量，轻的分子导热更好）内，氦气因分子量极轻，导热性远超氮气或氩气。用氮气替代需要更高压力，带来晶圆边缘泄漏和夹持动力学变化风险，且需要硬件改造而非仅换气体配方——认证周期可能达12–24个月。目前没有已记录的芯片厂完成此应用的气体替换。</w:t>
      </w:r>
    </w:p>
    <w:p>
      <w:pPr>
        <w:pStyle w:val="BodyText"/>
      </w:pPr>
      <w:r>
        <w:t xml:space="preserve">→ </w:t>
      </w:r>
      <w:r>
        <w:rPr>
          <w:rFonts w:hint="eastAsia"/>
        </w:rPr>
        <w:t xml:space="preserve">对供应链风险的含义：这是当前技术条件下最难绕开的氦气依赖，属于中长期结构性弱点。</w:t>
      </w:r>
    </w:p>
    <w:p>
      <w:pPr>
        <w:pStyle w:val="BodyText"/>
      </w:pPr>
      <w:r>
        <w:rPr>
          <w:rFonts w:hint="eastAsia"/>
          <w:b/>
          <w:bCs/>
        </w:rPr>
        <w:t xml:space="preserve">关于回收率——USGS原文与”90%“说法的差距</w:t>
      </w:r>
    </w:p>
    <w:p>
      <w:pPr>
        <w:pStyle w:val="BodyText"/>
      </w:pPr>
      <w:r>
        <w:rPr>
          <w:rFonts w:hint="eastAsia"/>
        </w:rPr>
        <w:t xml:space="preserve">USGS矿产品概要是最具权威性的政府数据来源。其2023、2024、2025版均明确表述：</w:t>
      </w:r>
      <w:r>
        <w:rPr>
          <w:rFonts w:hint="eastAsia"/>
        </w:rPr>
        <w:t xml:space="preserve">“在美国，大量应用中使用的氦气很少被回收（seldom</w:t>
      </w:r>
      <w:r>
        <w:t xml:space="preserve"> </w:t>
      </w:r>
      <w:r>
        <w:rPr>
          <w:rFonts w:hint="eastAsia"/>
        </w:rPr>
        <w:t xml:space="preserve">recycled）。部分低量或液态蒸发回收系统有使用。在世界其他地区，氦气回收更为普遍。”</w:t>
      </w:r>
      <w:r>
        <w:rPr>
          <w:rFonts w:hint="eastAsia"/>
        </w:rPr>
        <w:t xml:space="preserve">2026版首次写道封闭循环系统”正在变得更为普遍”——这是一个过渡状态描述，而非已普及的现实（</w:t>
      </w:r>
      <w:hyperlink r:id="rId37">
        <w:r>
          <w:rPr>
            <w:rStyle w:val="Hyperlink"/>
          </w:rPr>
          <w:t xml:space="preserve">USGS MCS </w:t>
        </w:r>
        <w:r>
          <w:rPr>
            <w:rStyle w:val="Hyperlink"/>
            <w:rFonts w:hint="eastAsia"/>
          </w:rPr>
          <w:t xml:space="preserve">2026，氦气章节</w:t>
        </w:r>
      </w:hyperlink>
      <w:r>
        <w:rPr>
          <w:rFonts w:hint="eastAsia"/>
        </w:rPr>
        <w:t xml:space="preserve">；同见2024、2025版）。</w:t>
      </w:r>
    </w:p>
    <w:p>
      <w:pPr>
        <w:pStyle w:val="BodyText"/>
      </w:pPr>
      <w:r>
        <w:rPr>
          <w:rFonts w:hint="eastAsia"/>
        </w:rPr>
        <w:t xml:space="preserve">“&gt;94%回收率”</w:t>
      </w:r>
      <w:r>
        <w:rPr>
          <w:rFonts w:hint="eastAsia"/>
        </w:rPr>
        <w:t xml:space="preserve">的说法来自实验室封闭循环低温恒温器（</w:t>
      </w:r>
      <w:hyperlink r:id="rId42">
        <w:r>
          <w:rPr>
            <w:rStyle w:val="Hyperlink"/>
            <w:rFonts w:hint="eastAsia"/>
          </w:rPr>
          <w:t xml:space="preserve">加州大学圣地亚哥分校2024年发表的氦气回收系统研究论文</w:t>
        </w:r>
      </w:hyperlink>
      <w:r>
        <w:rPr>
          <w:rFonts w:hint="eastAsia"/>
        </w:rPr>
        <w:t xml:space="preserve">，Yin等人，ACS</w:t>
      </w:r>
      <w:r>
        <w:t xml:space="preserve"> Measurement Science </w:t>
      </w:r>
      <w:r>
        <w:rPr>
          <w:rFonts w:hint="eastAsia"/>
        </w:rPr>
        <w:t xml:space="preserve">Au）——这是实验室仪器的技术上限，适用于连续液氦蒸发回收的最有利情形，</w:t>
      </w:r>
      <w:r>
        <w:rPr>
          <w:rFonts w:hint="eastAsia"/>
          <w:b/>
          <w:bCs/>
        </w:rPr>
        <w:t xml:space="preserve">不是芯片厂总体回收率</w:t>
      </w:r>
      <w:r>
        <w:rPr>
          <w:rFonts w:hint="eastAsia"/>
        </w:rPr>
        <w:t xml:space="preserve">。芯片厂层面的有效总回收率（回收量/总消耗量）：行业供应商的估计是</w:t>
      </w:r>
      <w:r>
        <w:rPr>
          <w:b/>
          <w:bCs/>
        </w:rPr>
        <w:t xml:space="preserve">15–35%</w:t>
      </w:r>
      <w:r>
        <w:rPr>
          <w:rFonts w:hint="eastAsia"/>
        </w:rPr>
        <w:t xml:space="preserve">，因为泄漏检测用氦气100%排放、ESC背面冷却大量逸散、低温容器在途蒸发损耗均无法回收（</w:t>
      </w:r>
      <w:hyperlink r:id="rId43">
        <w:r>
          <w:rPr>
            <w:rStyle w:val="Hyperlink"/>
          </w:rPr>
          <w:t xml:space="preserve">J2 Sourcing 2026</w:t>
        </w:r>
      </w:hyperlink>
      <w:r>
        <w:rPr>
          <w:rFonts w:hint="eastAsia"/>
        </w:rPr>
        <w:t xml:space="preserve">，注：此为行业供应商估算，无独立一手来源）。</w:t>
      </w:r>
    </w:p>
    <w:p>
      <w:pPr>
        <w:pStyle w:val="BodyText"/>
      </w:pPr>
      <w:r>
        <w:rPr>
          <w:rFonts w:hint="eastAsia"/>
        </w:rPr>
        <w:t xml:space="preserve">【事实】各芯片厂的氦气库存缓冲并不相同。韩国三星/SK海力士维持约4–6个月的战略缓冲;台积电因地理多元化和供应商网络更广,缓冲超过2个月。这些数字来自行业咨询机构估算，三星和台积电均未公开披露具体库存策略(</w:t>
      </w:r>
      <w:hyperlink r:id="rId44">
        <w:r>
          <w:rPr>
            <w:rStyle w:val="Hyperlink"/>
          </w:rPr>
          <w:t xml:space="preserve">Santiago &amp; Company</w:t>
        </w:r>
      </w:hyperlink>
      <w:r>
        <w:rPr>
          <w:rFonts w:hint="eastAsia"/>
        </w:rPr>
        <w:t xml:space="preserve">)。台湾约69%、韩国约64.7%的氦气采购来自GCC国家(</w:t>
      </w:r>
      <w:hyperlink r:id="rId43">
        <w:r>
          <w:rPr>
            <w:rStyle w:val="Hyperlink"/>
          </w:rPr>
          <w:t xml:space="preserve">J2 Sourcing 2026</w:t>
        </w:r>
      </w:hyperlink>
      <w:r>
        <w:t xml:space="preserve">;</w:t>
      </w:r>
      <w:hyperlink r:id="rId45">
        <w:r>
          <w:rPr>
            <w:rStyle w:val="Hyperlink"/>
          </w:rPr>
          <w:t xml:space="preserve">Al Habtoor Research Centre 2026</w:t>
        </w:r>
      </w:hyperlink>
      <w:r>
        <w:t xml:space="preserve">)。</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:同一设施同时是全球最大LNG出口综合体和全球第二大氦气产地——一次物理打击同时击中电力链和工艺气体链,而这两条自我修复路径(用LNG收入支持替代采购、用氦气库存支撑过渡)在同一次打击中相互干扰。</w:t>
      </w:r>
    </w:p>
    <w:p>
      <w:r>
        <w:pict>
          <v:rect style="width:0;height:1.5pt" o:hralign="center" o:hrstd="t" o:hr="t"/>
        </w:pict>
      </w:r>
    </w:p>
    <w:bookmarkEnd w:id="46"/>
    <w:bookmarkStart w:id="47"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47"/>
    <w:bookmarkStart w:id="50"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48">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49">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50"/>
    <w:bookmarkStart w:id="55"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51">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44">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53" name="Picture"/>
            <a:graphic>
              <a:graphicData uri="http://schemas.openxmlformats.org/drawingml/2006/picture">
                <pic:pic>
                  <pic:nvPicPr>
                    <pic:cNvPr descr="assets/fig3_semiconductor.png" id="54" name="Picture"/>
                    <pic:cNvPicPr>
                      <a:picLocks noChangeArrowheads="1" noChangeAspect="1"/>
                    </pic:cNvPicPr>
                  </pic:nvPicPr>
                  <pic:blipFill>
                    <a:blip r:embed="rId5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55"/>
    <w:bookmarkEnd w:id="56"/>
    <w:bookmarkStart w:id="67"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57">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58">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60" name="Picture"/>
            <a:graphic>
              <a:graphicData uri="http://schemas.openxmlformats.org/drawingml/2006/picture">
                <pic:pic>
                  <pic:nvPicPr>
                    <pic:cNvPr descr="assets/fig2_oilprice.png" id="61" name="Picture"/>
                    <pic:cNvPicPr>
                      <a:picLocks noChangeArrowheads="1" noChangeAspect="1"/>
                    </pic:cNvPicPr>
                  </pic:nvPicPr>
                  <pic:blipFill>
                    <a:blip r:embed="rId59"/>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62">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63">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64">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65">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66">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67"/>
    <w:bookmarkStart w:id="74"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68">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69">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70">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72" name="Picture"/>
            <a:graphic>
              <a:graphicData uri="http://schemas.openxmlformats.org/drawingml/2006/picture">
                <pic:pic>
                  <pic:nvPicPr>
                    <pic:cNvPr descr="assets/fig4_russia.png" id="73" name="Picture"/>
                    <pic:cNvPicPr>
                      <a:picLocks noChangeArrowheads="1" noChangeAspect="1"/>
                    </pic:cNvPicPr>
                  </pic:nvPicPr>
                  <pic:blipFill>
                    <a:blip r:embed="rId71"/>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74"/>
    <w:bookmarkStart w:id="75"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75"/>
    <w:bookmarkStart w:id="76"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76"/>
    <w:bookmarkStart w:id="77"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77"/>
    <w:bookmarkStart w:id="88" w:name="主要信源与分析师"/>
    <w:p>
      <w:pPr>
        <w:pStyle w:val="Heading2"/>
      </w:pPr>
      <w:r>
        <w:rPr>
          <w:rFonts w:hint="eastAsia"/>
        </w:rPr>
        <w:t xml:space="preserve">主要信源与分析师</w:t>
      </w:r>
    </w:p>
    <w:p>
      <w:pPr>
        <w:pStyle w:val="FirstParagraph"/>
      </w:pPr>
      <w:hyperlink r:id="rId78">
        <w:r>
          <w:rPr>
            <w:rStyle w:val="Hyperlink"/>
            <w:rFonts w:hint="eastAsia"/>
          </w:rPr>
          <w:t xml:space="preserve">牛津能源研究所</w:t>
        </w:r>
      </w:hyperlink>
      <w:r>
        <w:t xml:space="preserve">(Bassam Fattouh、Andreas Economou、Michal Meidan)·</w:t>
      </w:r>
      <w:r>
        <w:t xml:space="preserve"> </w:t>
      </w:r>
      <w:hyperlink r:id="rId79">
        <w:r>
          <w:rPr>
            <w:rStyle w:val="Hyperlink"/>
            <w:rFonts w:hint="eastAsia"/>
          </w:rPr>
          <w:t xml:space="preserve">美国外交关系协会</w:t>
        </w:r>
      </w:hyperlink>
      <w:r>
        <w:t xml:space="preserve">(Brad Setser)·</w:t>
      </w:r>
      <w:r>
        <w:t xml:space="preserve"> </w:t>
      </w:r>
      <w:hyperlink r:id="rId80">
        <w:r>
          <w:rPr>
            <w:rStyle w:val="Hyperlink"/>
            <w:rFonts w:hint="eastAsia"/>
          </w:rPr>
          <w:t xml:space="preserve">哥伦比亚全球能源政策中心</w:t>
        </w:r>
      </w:hyperlink>
      <w:r>
        <w:t xml:space="preserve">(Erica Downs)·</w:t>
      </w:r>
      <w:r>
        <w:t xml:space="preserve"> </w:t>
      </w:r>
      <w:hyperlink r:id="rId81">
        <w:r>
          <w:rPr>
            <w:rStyle w:val="Hyperlink"/>
            <w:rFonts w:hint="eastAsia"/>
          </w:rPr>
          <w:t xml:space="preserve">战略与国际研究中心</w:t>
        </w:r>
      </w:hyperlink>
      <w:r>
        <w:t xml:space="preserve">(Mark Cancian、Chris Park)·</w:t>
      </w:r>
      <w:r>
        <w:t xml:space="preserve"> </w:t>
      </w:r>
      <w:hyperlink r:id="rId82">
        <w:r>
          <w:rPr>
            <w:rStyle w:val="Hyperlink"/>
            <w:rFonts w:hint="eastAsia"/>
          </w:rPr>
          <w:t xml:space="preserve">兰德公司</w:t>
        </w:r>
      </w:hyperlink>
      <w:r>
        <w:t xml:space="preserve">(Raphael Cohen)·</w:t>
      </w:r>
      <w:r>
        <w:t xml:space="preserve"> </w:t>
      </w:r>
      <w:hyperlink r:id="rId83">
        <w:r>
          <w:rPr>
            <w:rStyle w:val="Hyperlink"/>
            <w:rFonts w:hint="eastAsia"/>
          </w:rPr>
          <w:t xml:space="preserve">捍卫民主基金会</w:t>
        </w:r>
      </w:hyperlink>
      <w:r>
        <w:t xml:space="preserve">(Mark Dubowitz)·</w:t>
      </w:r>
      <w:r>
        <w:t xml:space="preserve"> </w:t>
      </w:r>
      <w:hyperlink r:id="rId84">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85">
        <w:r>
          <w:rPr>
            <w:rStyle w:val="Hyperlink"/>
            <w:rFonts w:hint="eastAsia"/>
          </w:rPr>
          <w:t xml:space="preserve">卡内基国际和平基金会</w:t>
        </w:r>
      </w:hyperlink>
      <w:r>
        <w:t xml:space="preserve">(Sergey Vakulenko)·</w:t>
      </w:r>
      <w:r>
        <w:t xml:space="preserve"> </w:t>
      </w:r>
      <w:hyperlink r:id="rId37">
        <w:r>
          <w:rPr>
            <w:rStyle w:val="Hyperlink"/>
            <w:rFonts w:hint="eastAsia"/>
          </w:rPr>
          <w:t xml:space="preserve">美国地质调查局</w:t>
        </w:r>
      </w:hyperlink>
      <w:r>
        <w:rPr>
          <w:rFonts w:hint="eastAsia"/>
        </w:rPr>
        <w:t xml:space="preserve">(USGS《矿产品概要</w:t>
      </w:r>
      <w:r>
        <w:t xml:space="preserve"> 2026》)·</w:t>
      </w:r>
      <w:r>
        <w:t xml:space="preserve"> </w:t>
      </w:r>
      <w:hyperlink r:id="rId57">
        <w:r>
          <w:rPr>
            <w:rStyle w:val="Hyperlink"/>
            <w:rFonts w:hint="eastAsia"/>
          </w:rPr>
          <w:t xml:space="preserve">世界银行《大宗商品市场展望》</w:t>
        </w:r>
      </w:hyperlink>
      <w:r>
        <w:t xml:space="preserve">·</w:t>
      </w:r>
      <w:r>
        <w:t xml:space="preserve"> </w:t>
      </w:r>
      <w:hyperlink r:id="rId58">
        <w:r>
          <w:rPr>
            <w:rStyle w:val="Hyperlink"/>
            <w:rFonts w:hint="eastAsia"/>
          </w:rPr>
          <w:t xml:space="preserve">IMF《世界经济展望》</w:t>
        </w:r>
      </w:hyperlink>
      <w:r>
        <w:t xml:space="preserve">·</w:t>
      </w:r>
      <w:r>
        <w:t xml:space="preserve"> </w:t>
      </w:r>
      <w:hyperlink r:id="rId86">
        <w:r>
          <w:rPr>
            <w:rStyle w:val="Hyperlink"/>
            <w:rFonts w:hint="eastAsia"/>
          </w:rPr>
          <w:t xml:space="preserve">国际能源署</w:t>
        </w:r>
      </w:hyperlink>
      <w:r>
        <w:t xml:space="preserve"> </w:t>
      </w:r>
      <w:r>
        <w:t xml:space="preserve">·</w:t>
      </w:r>
      <w:r>
        <w:t xml:space="preserve"> </w:t>
      </w:r>
      <w:hyperlink r:id="rId87">
        <w:r>
          <w:rPr>
            <w:rStyle w:val="Hyperlink"/>
            <w:rFonts w:hint="eastAsia"/>
          </w:rPr>
          <w:t xml:space="preserve">美国能源信息署</w:t>
        </w:r>
      </w:hyperlink>
      <w:r>
        <w:t xml:space="preserve"> </w:t>
      </w:r>
      <w:r>
        <w:t xml:space="preserve">·</w:t>
      </w:r>
      <w:r>
        <w:t xml:space="preserve"> </w:t>
      </w:r>
      <w:hyperlink r:id="rId63">
        <w:r>
          <w:rPr>
            <w:rStyle w:val="Hyperlink"/>
          </w:rPr>
          <w:t xml:space="preserve">Vortexa</w:t>
        </w:r>
      </w:hyperlink>
      <w:r>
        <w:t xml:space="preserve"> </w:t>
      </w:r>
      <w:r>
        <w:t xml:space="preserve">·</w:t>
      </w:r>
      <w:r>
        <w:t xml:space="preserve"> </w:t>
      </w:r>
      <w:hyperlink r:id="rId68">
        <w:r>
          <w:rPr>
            <w:rStyle w:val="Hyperlink"/>
            <w:rFonts w:hint="eastAsia"/>
          </w:rPr>
          <w:t xml:space="preserve">基辅经济学院</w:t>
        </w:r>
      </w:hyperlink>
      <w:r>
        <w:t xml:space="preserve"> </w:t>
      </w:r>
      <w:r>
        <w:t xml:space="preserve">·</w:t>
      </w:r>
      <w:r>
        <w:t xml:space="preserve"> </w:t>
      </w:r>
      <w:hyperlink r:id="rId65">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71" Target="media/rId71.png" /><Relationship Type="http://schemas.openxmlformats.org/officeDocument/2006/relationships/hyperlink" Id="rId42" Target="https://arxiv.org/pdf/2401.18062" TargetMode="External" /><Relationship Type="http://schemas.openxmlformats.org/officeDocument/2006/relationships/hyperlink" Id="rId85" Target="https://carnegieendowment.org/" TargetMode="External" /><Relationship Type="http://schemas.openxmlformats.org/officeDocument/2006/relationships/hyperlink" Id="rId70" Target="https://carnegieendowment.org/russia-eurasia/politika/2026/04/russia-oil-gains-losses" TargetMode="External" /><Relationship Type="http://schemas.openxmlformats.org/officeDocument/2006/relationships/hyperlink" Id="rId6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1"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3" Target="https://j2sourcing.com/blog/helium-crisis-semiconductor-manufacturing-electronic-components-2026/" TargetMode="External" /><Relationship Type="http://schemas.openxmlformats.org/officeDocument/2006/relationships/hyperlink" Id="rId68" Target="https://kse.ua/about-the-school/news/russian-oil-tracker-april-2026-russias-oil-revenues-nearly-doubled-in-march-amid-the-war-in-iran/" TargetMode="External" /><Relationship Type="http://schemas.openxmlformats.org/officeDocument/2006/relationships/hyperlink" Id="rId84" Target="https://lmalloyds.com/" TargetMode="External" /><Relationship Type="http://schemas.openxmlformats.org/officeDocument/2006/relationships/hyperlink" Id="rId6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5" Target="https://www.atlanticcouncil.org/dispatches/inside-tehrans-toll-booth/" TargetMode="External" /><Relationship Type="http://schemas.openxmlformats.org/officeDocument/2006/relationships/hyperlink" Id="rId79" Target="https://www.cfr.org/" TargetMode="External" /><Relationship Type="http://schemas.openxmlformats.org/officeDocument/2006/relationships/hyperlink" Id="rId62"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8" Target="https://www.cnbc.com/2022/03/12/russias-attack-on-ukraine-halts-half-of-worlds-neon-output-for-chips.html" TargetMode="External" /><Relationship Type="http://schemas.openxmlformats.org/officeDocument/2006/relationships/hyperlink" Id="rId8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0" Target="https://www.energypolicy.columbia.edu/implications-of-the-conflict-in-the-middle-east-for-chinas-energy-security/" TargetMode="External" /><Relationship Type="http://schemas.openxmlformats.org/officeDocument/2006/relationships/hyperlink" Id="rId8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5" Target="https://www.habtoorresearch.com/programmes/hormuz-closure-global-semiconductor/" TargetMode="External" /><Relationship Type="http://schemas.openxmlformats.org/officeDocument/2006/relationships/hyperlink" Id="rId86" Target="https://www.iea.org/" TargetMode="External" /><Relationship Type="http://schemas.openxmlformats.org/officeDocument/2006/relationships/hyperlink" Id="rId5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1" Target="https://www.ncbi.nlm.nih.gov/pmc/articles/PMC11677108/" TargetMode="External" /><Relationship Type="http://schemas.openxmlformats.org/officeDocument/2006/relationships/hyperlink" Id="rId40" Target="https://www.osti.gov/biblio/1236585" TargetMode="External" /><Relationship Type="http://schemas.openxmlformats.org/officeDocument/2006/relationships/hyperlink" Id="rId78" Target="https://www.oxfordenergy.org/" TargetMode="External" /><Relationship Type="http://schemas.openxmlformats.org/officeDocument/2006/relationships/hyperlink" Id="rId6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4"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39"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49" Target="https://www.tomshardware.com/news/samsung-foundry-austin-blackout-impact" TargetMode="External" /><Relationship Type="http://schemas.openxmlformats.org/officeDocument/2006/relationships/hyperlink" Id="rId63" Target="https://www.vortexa.com/insights/chinas-crude-import-stress-resistance" TargetMode="External" /><Relationship Type="http://schemas.openxmlformats.org/officeDocument/2006/relationships/hyperlink" Id="rId57"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2" Target="https://arxiv.org/pdf/2401.18062" TargetMode="External" /><Relationship Type="http://schemas.openxmlformats.org/officeDocument/2006/relationships/hyperlink" Id="rId85" Target="https://carnegieendowment.org/" TargetMode="External" /><Relationship Type="http://schemas.openxmlformats.org/officeDocument/2006/relationships/hyperlink" Id="rId70" Target="https://carnegieendowment.org/russia-eurasia/politika/2026/04/russia-oil-gains-losses" TargetMode="External" /><Relationship Type="http://schemas.openxmlformats.org/officeDocument/2006/relationships/hyperlink" Id="rId6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1"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3" Target="https://j2sourcing.com/blog/helium-crisis-semiconductor-manufacturing-electronic-components-2026/" TargetMode="External" /><Relationship Type="http://schemas.openxmlformats.org/officeDocument/2006/relationships/hyperlink" Id="rId68" Target="https://kse.ua/about-the-school/news/russian-oil-tracker-april-2026-russias-oil-revenues-nearly-doubled-in-march-amid-the-war-in-iran/" TargetMode="External" /><Relationship Type="http://schemas.openxmlformats.org/officeDocument/2006/relationships/hyperlink" Id="rId84" Target="https://lmalloyds.com/" TargetMode="External" /><Relationship Type="http://schemas.openxmlformats.org/officeDocument/2006/relationships/hyperlink" Id="rId6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5" Target="https://www.atlanticcouncil.org/dispatches/inside-tehrans-toll-booth/" TargetMode="External" /><Relationship Type="http://schemas.openxmlformats.org/officeDocument/2006/relationships/hyperlink" Id="rId79" Target="https://www.cfr.org/" TargetMode="External" /><Relationship Type="http://schemas.openxmlformats.org/officeDocument/2006/relationships/hyperlink" Id="rId62"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8" Target="https://www.cnbc.com/2022/03/12/russias-attack-on-ukraine-halts-half-of-worlds-neon-output-for-chips.html" TargetMode="External" /><Relationship Type="http://schemas.openxmlformats.org/officeDocument/2006/relationships/hyperlink" Id="rId8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0" Target="https://www.energypolicy.columbia.edu/implications-of-the-conflict-in-the-middle-east-for-chinas-energy-security/" TargetMode="External" /><Relationship Type="http://schemas.openxmlformats.org/officeDocument/2006/relationships/hyperlink" Id="rId8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5" Target="https://www.habtoorresearch.com/programmes/hormuz-closure-global-semiconductor/" TargetMode="External" /><Relationship Type="http://schemas.openxmlformats.org/officeDocument/2006/relationships/hyperlink" Id="rId86" Target="https://www.iea.org/" TargetMode="External" /><Relationship Type="http://schemas.openxmlformats.org/officeDocument/2006/relationships/hyperlink" Id="rId5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1" Target="https://www.ncbi.nlm.nih.gov/pmc/articles/PMC11677108/" TargetMode="External" /><Relationship Type="http://schemas.openxmlformats.org/officeDocument/2006/relationships/hyperlink" Id="rId40" Target="https://www.osti.gov/biblio/1236585" TargetMode="External" /><Relationship Type="http://schemas.openxmlformats.org/officeDocument/2006/relationships/hyperlink" Id="rId78" Target="https://www.oxfordenergy.org/" TargetMode="External" /><Relationship Type="http://schemas.openxmlformats.org/officeDocument/2006/relationships/hyperlink" Id="rId6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4"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39"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49" Target="https://www.tomshardware.com/news/samsung-foundry-austin-blackout-impact" TargetMode="External" /><Relationship Type="http://schemas.openxmlformats.org/officeDocument/2006/relationships/hyperlink" Id="rId63" Target="https://www.vortexa.com/insights/chinas-crude-import-stress-resistance" TargetMode="External" /><Relationship Type="http://schemas.openxmlformats.org/officeDocument/2006/relationships/hyperlink" Id="rId57"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2026-06-03T03:27:37Z</dcterms:created>
  <dcterms:modified xsi:type="dcterms:W3CDTF">2026-06-03T03:27:37Z</dcterms:modified>
</cp:coreProperties>
</file>

<file path=docProps/custom.xml><?xml version="1.0" encoding="utf-8"?>
<Properties xmlns="http://schemas.openxmlformats.org/officeDocument/2006/custom-properties" xmlns:vt="http://schemas.openxmlformats.org/officeDocument/2006/docPropsVTypes"/>
</file>