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Calibri" w:cs="Calibri" w:eastAsia="Calibri" w:hAnsi="Calibri"/>
          <w:caps/>
          <w:color w:val="888888"/>
          <w:spacing w:val="200"/>
          <w:sz w:val="20"/>
          <w:szCs w:val="20"/>
        </w:rPr>
        <w:t xml:space="preserve">CABIN SKOLAR</w:t>
      </w:r>
    </w:p>
    <w:p>
      <w:pPr>
        <w:pBdr>
          <w:bottom w:val="single" w:color="1B4F8A" w:sz="6" w:space="12"/>
        </w:pBdr>
        <w:spacing w:after="0" w:before="0"/>
      </w:pPr>
      <w:r>
        <w:rPr>
          <w:rFonts w:ascii="Calibri" w:cs="Calibri" w:eastAsia="Calibri" w:hAnsi="Calibri"/>
          <w:sz w:val="22"/>
          <w:szCs w:val="22"/>
        </w:rPr>
        <w:t xml:space="preserve"/>
      </w:r>
    </w:p>
    <w:p>
      <w:pPr>
        <w:spacing w:after="120" w:before="480"/>
      </w:pPr>
      <w:r>
        <w:rPr>
          <w:rFonts w:ascii="Calibri" w:cs="Calibri" w:eastAsia="Calibri" w:hAnsi="Calibri"/>
          <w:b/>
          <w:bCs/>
          <w:color w:val="1B4F8A"/>
          <w:sz w:val="72"/>
          <w:szCs w:val="72"/>
        </w:rPr>
        <w:t xml:space="preserve">IPAA</w:t>
      </w:r>
    </w:p>
    <w:p>
      <w:pPr>
        <w:spacing w:after="240" w:before="0"/>
      </w:pPr>
      <w:r>
        <w:rPr>
          <w:rFonts w:ascii="Calibri" w:cs="Calibri" w:eastAsia="Calibri" w:hAnsi="Calibri"/>
          <w:b/>
          <w:bCs/>
          <w:color w:val="1A1A2E"/>
          <w:sz w:val="36"/>
          <w:szCs w:val="36"/>
        </w:rPr>
        <w:t xml:space="preserve">Indice Progressif Auto-Ajustable</w:t>
      </w:r>
    </w:p>
    <w:p>
      <w:pPr>
        <w:spacing w:after="720" w:before="0"/>
      </w:pPr>
      <w:r>
        <w:rPr>
          <w:rFonts w:ascii="Calibri" w:cs="Calibri" w:eastAsia="Calibri" w:hAnsi="Calibri"/>
          <w:i/>
          <w:iCs/>
          <w:color w:val="444444"/>
          <w:sz w:val="26"/>
          <w:szCs w:val="26"/>
        </w:rPr>
        <w:t xml:space="preserve">Pour une gouvernance algorithmique et souveraine du système de retraite français</w:t>
      </w:r>
    </w:p>
    <w:p>
      <w:pPr>
        <w:pBdr>
          <w:top w:val="single" w:color="C5D3E0" w:sz="2" w:space="0"/>
        </w:pBdr>
        <w:spacing w:after="0" w:before="0"/>
      </w:pPr>
      <w:r>
        <w:rPr>
          <w:rFonts w:ascii="Calibri" w:cs="Calibri" w:eastAsia="Calibri" w:hAnsi="Calibri"/>
          <w:sz w:val="22"/>
          <w:szCs w:val="22"/>
        </w:rPr>
        <w:t xml:space="preserve"/>
      </w:r>
    </w:p>
    <w:p>
      <w:pPr>
        <w:spacing w:after="80" w:before="480"/>
      </w:pPr>
      <w:r>
        <w:rPr>
          <w:rFonts w:ascii="Calibri" w:cs="Calibri" w:eastAsia="Calibri" w:hAnsi="Calibri"/>
          <w:b/>
          <w:bCs/>
          <w:caps/>
          <w:color w:val="1B4F8A"/>
          <w:spacing w:val="100"/>
          <w:sz w:val="24"/>
          <w:szCs w:val="24"/>
        </w:rPr>
        <w:t xml:space="preserve">Working Paper</w:t>
      </w:r>
    </w:p>
    <w:p>
      <w:pPr>
        <w:spacing w:after="80" w:before="0"/>
      </w:pPr>
      <w:r>
        <w:rPr>
          <w:rFonts w:ascii="Calibri" w:cs="Calibri" w:eastAsia="Calibri" w:hAnsi="Calibri"/>
          <w:color w:val="555555"/>
          <w:sz w:val="22"/>
          <w:szCs w:val="22"/>
        </w:rPr>
        <w:t xml:space="preserve">Cabin Skolar — Independent AI Research</w:t>
      </w:r>
    </w:p>
    <w:p>
      <w:pPr>
        <w:spacing w:after="80" w:before="0"/>
      </w:pPr>
      <w:r>
        <w:rPr>
          <w:rFonts w:ascii="Calibri" w:cs="Calibri" w:eastAsia="Calibri" w:hAnsi="Calibri"/>
          <w:color w:val="555555"/>
          <w:sz w:val="22"/>
          <w:szCs w:val="22"/>
        </w:rPr>
        <w:t xml:space="preserve">contact@cabinskolar.fr  |  cabinskolar.fr</w:t>
      </w:r>
    </w:p>
    <w:p>
      <w:pPr>
        <w:spacing w:after="80" w:before="0"/>
      </w:pPr>
      <w:r>
        <w:rPr>
          <w:rFonts w:ascii="Calibri" w:cs="Calibri" w:eastAsia="Calibri" w:hAnsi="Calibri"/>
          <w:color w:val="555555"/>
          <w:sz w:val="22"/>
          <w:szCs w:val="22"/>
        </w:rPr>
        <w:t xml:space="preserve">Octobre 2025</w:t>
      </w:r>
    </w:p>
    <w:p>
      <w:pPr>
        <w:spacing w:after="120" w:before="720"/>
      </w:pPr>
      <w:r>
        <w:rPr>
          <w:rFonts w:ascii="Calibri" w:cs="Calibri" w:eastAsia="Calibri" w:hAnsi="Calibri"/>
          <w:b/>
          <w:bCs/>
          <w:color w:val="1A1A2E"/>
          <w:sz w:val="22"/>
          <w:szCs w:val="22"/>
        </w:rPr>
        <w:t xml:space="preserve">Sous-titre clé :</w:t>
      </w:r>
    </w:p>
    <w:p>
      <w:pPr>
        <w:spacing w:after="720" w:before="0"/>
      </w:pPr>
      <w:r>
        <w:rPr>
          <w:rFonts w:ascii="Calibri" w:cs="Calibri" w:eastAsia="Calibri" w:hAnsi="Calibri"/>
          <w:i/>
          <w:iCs/>
          <w:color w:val="555555"/>
          <w:sz w:val="22"/>
          <w:szCs w:val="22"/>
        </w:rPr>
        <w:t xml:space="preserve">Une solution d'ingénierie budgétaire : Pas de recul de l'âge — Pas d'impact sur la compétitivité — Zéro volatilité des taux faciaux</w:t>
      </w:r>
    </w:p>
    <w:p>
      <w:r>
        <w:br w:type="page"/>
      </w:r>
    </w:p>
    <w:p>
      <w:pPr>
        <w:pBdr>
          <w:bottom w:val="single" w:color="1B4F8A" w:sz="4" w:space="6"/>
        </w:pBdr>
        <w:spacing w:after="120" w:before="480"/>
      </w:pPr>
      <w:r>
        <w:rPr>
          <w:rFonts w:ascii="Calibri" w:cs="Calibri" w:eastAsia="Calibri" w:hAnsi="Calibri"/>
          <w:b/>
          <w:bCs/>
          <w:color w:val="1B4F8A"/>
          <w:sz w:val="36"/>
          <w:szCs w:val="36"/>
        </w:rPr>
        <w:t xml:space="preserve">Note méthodologique — Version 2</w:t>
      </w:r>
    </w:p>
    <w:p>
      <w:pPr>
        <w:spacing w:after="160" w:before="80" w:line="320"/>
        <w:jc w:val="both"/>
      </w:pPr>
      <w:r>
        <w:rPr>
          <w:rFonts w:ascii="Calibri" w:cs="Calibri" w:eastAsia="Calibri" w:hAnsi="Calibri"/>
          <w:color w:val="1A1A2E"/>
          <w:sz w:val="22"/>
          <w:szCs w:val="22"/>
        </w:rPr>
        <w:t xml:space="preserve">Ce working paper est la version révisée (V2) d'un document initialement publié en octobre 2025. La V2 intègre quatre corrections substantielles suite à une première revue critique :</w:t>
      </w:r>
    </w:p>
    <w:p>
      <w:pPr>
        <w:pStyle w:val="ListParagraph"/>
        <w:numPr>
          <w:ilvl w:val="0"/>
          <w:numId w:val="2"/>
        </w:numPr>
        <w:spacing w:after="60" w:before="60" w:line="300"/>
      </w:pPr>
      <w:r>
        <w:rPr>
          <w:rFonts w:ascii="Calibri" w:cs="Calibri" w:eastAsia="Calibri" w:hAnsi="Calibri"/>
          <w:color w:val="1A1A2E"/>
          <w:sz w:val="22"/>
          <w:szCs w:val="22"/>
        </w:rPr>
        <w:t xml:space="preserve">Correction 1 — Démographie (Section 1.3 et 4.2) : la contrainte démographique est retraitée comme variable de référence exogène, non comme variable partiellement endogène. Le scénario de boucle vertueuse est clairement balisé comme spéculatif et distinct du scénario central.</w:t>
      </w:r>
    </w:p>
    <w:p>
      <w:pPr>
        <w:pStyle w:val="ListParagraph"/>
        <w:numPr>
          <w:ilvl w:val="0"/>
          <w:numId w:val="2"/>
        </w:numPr>
        <w:spacing w:after="60" w:before="60" w:line="300"/>
      </w:pPr>
      <w:r>
        <w:rPr>
          <w:rFonts w:ascii="Calibri" w:cs="Calibri" w:eastAsia="Calibri" w:hAnsi="Calibri"/>
          <w:color w:val="1A1A2E"/>
          <w:sz w:val="22"/>
          <w:szCs w:val="22"/>
        </w:rPr>
        <w:t xml:space="preserve">Correction 2 — FRR (Section 3.6 et 4.3) : le rendement central du FRR est révisé de 7,5% à 5% pour refléter les contraintes prudentielles d'un fonds public français. Le scénario à 7,5% est repositionné comme optimiste conditionnel.</w:t>
      </w:r>
    </w:p>
    <w:p>
      <w:pPr>
        <w:pStyle w:val="ListParagraph"/>
        <w:numPr>
          <w:ilvl w:val="0"/>
          <w:numId w:val="2"/>
        </w:numPr>
        <w:spacing w:after="60" w:before="60" w:line="300"/>
      </w:pPr>
      <w:r>
        <w:rPr>
          <w:rFonts w:ascii="Calibri" w:cs="Calibri" w:eastAsia="Calibri" w:hAnsi="Calibri"/>
          <w:color w:val="1A1A2E"/>
          <w:sz w:val="22"/>
          <w:szCs w:val="22"/>
        </w:rPr>
        <w:t xml:space="preserve">Correction 3 — Reproductibilité (Section 4.1) : l'avertissement méthodologique est renforcé pour préciser ce qui est et ce qui n'est pas encore reproductible. Un engagement de publication d'un tableur ouvert est formalisé.</w:t>
      </w:r>
    </w:p>
    <w:p>
      <w:pPr>
        <w:pStyle w:val="ListParagraph"/>
        <w:numPr>
          <w:ilvl w:val="0"/>
          <w:numId w:val="2"/>
        </w:numPr>
        <w:spacing w:after="60" w:before="60" w:line="300"/>
      </w:pPr>
      <w:r>
        <w:rPr>
          <w:rFonts w:ascii="Calibri" w:cs="Calibri" w:eastAsia="Calibri" w:hAnsi="Calibri"/>
          <w:color w:val="1A1A2E"/>
          <w:sz w:val="22"/>
          <w:szCs w:val="22"/>
        </w:rPr>
        <w:t xml:space="preserve">Correction 4 — Progressivité (Section 8.2) : les quatre problèmes techniques de la progressivité par décile (effets de seuil, volatilité des déciles, jurisprudence constitutionnelle, assiette élargie) sont traités de façon détaillée plutôt qu'esquivés.</w:t>
      </w:r>
    </w:p>
    <w:p>
      <w:pPr>
        <w:spacing w:after="120" w:before="120"/>
      </w:pPr>
      <w:r>
        <w:t xml:space="preserve"/>
      </w:r>
    </w:p>
    <w:p>
      <w:pPr>
        <w:spacing w:after="160" w:before="80" w:line="320"/>
        <w:jc w:val="both"/>
      </w:pPr>
      <w:r>
        <w:rPr>
          <w:rFonts w:ascii="Calibri" w:cs="Calibri" w:eastAsia="Calibri" w:hAnsi="Calibri"/>
          <w:color w:val="1A1A2E"/>
          <w:sz w:val="22"/>
          <w:szCs w:val="22"/>
        </w:rPr>
        <w:t xml:space="preserve">Ces corrections ne remettent pas en cause l'architecture générale de l'IPAA. Elles renforcent l'honnêteté du document sur ses limites et ses fragilités. Un working paper qui assume ses faiblesses est plus crédible qu'un working paper qui les dissimule.</w:t>
      </w:r>
    </w:p>
    <w:p>
      <w:pPr>
        <w:spacing w:after="160" w:before="80" w:line="320"/>
        <w:jc w:val="both"/>
      </w:pPr>
      <w:r>
        <w:rPr>
          <w:rFonts w:ascii="Calibri" w:cs="Calibri" w:eastAsia="Calibri" w:hAnsi="Calibri"/>
          <w:color w:val="1A1A2E"/>
          <w:sz w:val="22"/>
          <w:szCs w:val="22"/>
        </w:rPr>
        <w:t xml:space="preserve">Ce document est un point de départ, pas une conclusion. Sa valeur est dans la discussion qu'il ouvre. Tout écart de calcul ou objection supplémentaire : contact@cabinskolar.fr</w:t>
      </w:r>
    </w:p>
    <w:p>
      <w:r>
        <w:br w:type="page"/>
      </w:r>
    </w:p>
    <w:p>
      <w:pPr>
        <w:pBdr>
          <w:bottom w:val="single" w:color="1B4F8A" w:sz="4" w:space="6"/>
        </w:pBdr>
        <w:spacing w:after="120" w:before="480"/>
      </w:pPr>
      <w:r>
        <w:rPr>
          <w:rFonts w:ascii="Calibri" w:cs="Calibri" w:eastAsia="Calibri" w:hAnsi="Calibri"/>
          <w:b/>
          <w:bCs/>
          <w:color w:val="1B4F8A"/>
          <w:sz w:val="36"/>
          <w:szCs w:val="36"/>
        </w:rPr>
        <w:t xml:space="preserve">Table des matières</w:t>
      </w:r>
    </w:p>
    <w:p>
      <w:pPr>
        <w:tabs>
          <w:tab w:val="right" w:pos="9000" w:leader="dot"/>
        </w:tabs>
        <w:spacing w:after="80" w:before="80"/>
      </w:pPr>
      <w:r>
        <w:rPr>
          <w:rFonts w:ascii="Calibri" w:cs="Calibri" w:eastAsia="Calibri" w:hAnsi="Calibri"/>
          <w:color w:val="1A1A2E"/>
          <w:sz w:val="22"/>
          <w:szCs w:val="22"/>
        </w:rPr>
        <w:t xml:space="preserve">Section 1  —  Diagnostic : un système structurellement fragilisé</w:t>
      </w:r>
      <w:r>
        <w:rPr>
          <w:rFonts w:ascii="Calibri" w:cs="Calibri" w:eastAsia="Calibri" w:hAnsi="Calibri"/>
          <w:color w:val="888888"/>
          <w:sz w:val="22"/>
          <w:szCs w:val="22"/>
        </w:rPr>
        <w:t xml:space="preserve">	4</w:t>
      </w:r>
    </w:p>
    <w:p>
      <w:pPr>
        <w:tabs>
          <w:tab w:val="right" w:pos="9000" w:leader="dot"/>
        </w:tabs>
        <w:spacing w:after="80" w:before="80"/>
      </w:pPr>
      <w:r>
        <w:rPr>
          <w:rFonts w:ascii="Calibri" w:cs="Calibri" w:eastAsia="Calibri" w:hAnsi="Calibri"/>
          <w:color w:val="1A1A2E"/>
          <w:sz w:val="22"/>
          <w:szCs w:val="22"/>
        </w:rPr>
        <w:t xml:space="preserve">Section 2  —  Architecture du système IPAA</w:t>
      </w:r>
      <w:r>
        <w:rPr>
          <w:rFonts w:ascii="Calibri" w:cs="Calibri" w:eastAsia="Calibri" w:hAnsi="Calibri"/>
          <w:color w:val="888888"/>
          <w:sz w:val="22"/>
          <w:szCs w:val="22"/>
        </w:rPr>
        <w:t xml:space="preserve">	10</w:t>
      </w:r>
    </w:p>
    <w:p>
      <w:pPr>
        <w:tabs>
          <w:tab w:val="right" w:pos="9000" w:leader="dot"/>
        </w:tabs>
        <w:spacing w:after="80" w:before="80"/>
      </w:pPr>
      <w:r>
        <w:rPr>
          <w:rFonts w:ascii="Calibri" w:cs="Calibri" w:eastAsia="Calibri" w:hAnsi="Calibri"/>
          <w:color w:val="1A1A2E"/>
          <w:sz w:val="22"/>
          <w:szCs w:val="22"/>
        </w:rPr>
        <w:t xml:space="preserve">Section 3  —  Sources de financement</w:t>
      </w:r>
      <w:r>
        <w:rPr>
          <w:rFonts w:ascii="Calibri" w:cs="Calibri" w:eastAsia="Calibri" w:hAnsi="Calibri"/>
          <w:color w:val="888888"/>
          <w:sz w:val="22"/>
          <w:szCs w:val="22"/>
        </w:rPr>
        <w:t xml:space="preserve">	18</w:t>
      </w:r>
    </w:p>
    <w:p>
      <w:pPr>
        <w:tabs>
          <w:tab w:val="right" w:pos="9000" w:leader="dot"/>
        </w:tabs>
        <w:spacing w:after="80" w:before="80"/>
      </w:pPr>
      <w:r>
        <w:rPr>
          <w:rFonts w:ascii="Calibri" w:cs="Calibri" w:eastAsia="Calibri" w:hAnsi="Calibri"/>
          <w:color w:val="1A1A2E"/>
          <w:sz w:val="22"/>
          <w:szCs w:val="22"/>
        </w:rPr>
        <w:t xml:space="preserve">Section 4  —  Projections et simulations</w:t>
      </w:r>
      <w:r>
        <w:rPr>
          <w:rFonts w:ascii="Calibri" w:cs="Calibri" w:eastAsia="Calibri" w:hAnsi="Calibri"/>
          <w:color w:val="888888"/>
          <w:sz w:val="22"/>
          <w:szCs w:val="22"/>
        </w:rPr>
        <w:t xml:space="preserve">	24</w:t>
      </w:r>
    </w:p>
    <w:p>
      <w:pPr>
        <w:tabs>
          <w:tab w:val="right" w:pos="9000" w:leader="dot"/>
        </w:tabs>
        <w:spacing w:after="80" w:before="80"/>
      </w:pPr>
      <w:r>
        <w:rPr>
          <w:rFonts w:ascii="Calibri" w:cs="Calibri" w:eastAsia="Calibri" w:hAnsi="Calibri"/>
          <w:color w:val="1A1A2E"/>
          <w:sz w:val="22"/>
          <w:szCs w:val="22"/>
        </w:rPr>
        <w:t xml:space="preserve">Section 5  —  Implications économiques et sociales</w:t>
      </w:r>
      <w:r>
        <w:rPr>
          <w:rFonts w:ascii="Calibri" w:cs="Calibri" w:eastAsia="Calibri" w:hAnsi="Calibri"/>
          <w:color w:val="888888"/>
          <w:sz w:val="22"/>
          <w:szCs w:val="22"/>
        </w:rPr>
        <w:t xml:space="preserve">	32</w:t>
      </w:r>
    </w:p>
    <w:p>
      <w:pPr>
        <w:tabs>
          <w:tab w:val="right" w:pos="9000" w:leader="dot"/>
        </w:tabs>
        <w:spacing w:after="80" w:before="80"/>
      </w:pPr>
      <w:r>
        <w:rPr>
          <w:rFonts w:ascii="Calibri" w:cs="Calibri" w:eastAsia="Calibri" w:hAnsi="Calibri"/>
          <w:color w:val="1A1A2E"/>
          <w:sz w:val="22"/>
          <w:szCs w:val="22"/>
        </w:rPr>
        <w:t xml:space="preserve">Section 6  —  Stratégie politique et irréversibilité</w:t>
      </w:r>
      <w:r>
        <w:rPr>
          <w:rFonts w:ascii="Calibri" w:cs="Calibri" w:eastAsia="Calibri" w:hAnsi="Calibri"/>
          <w:color w:val="888888"/>
          <w:sz w:val="22"/>
          <w:szCs w:val="22"/>
        </w:rPr>
        <w:t xml:space="preserve">	40</w:t>
      </w:r>
    </w:p>
    <w:p>
      <w:pPr>
        <w:tabs>
          <w:tab w:val="right" w:pos="9000" w:leader="dot"/>
        </w:tabs>
        <w:spacing w:after="80" w:before="80"/>
      </w:pPr>
      <w:r>
        <w:rPr>
          <w:rFonts w:ascii="Calibri" w:cs="Calibri" w:eastAsia="Calibri" w:hAnsi="Calibri"/>
          <w:color w:val="1A1A2E"/>
          <w:sz w:val="22"/>
          <w:szCs w:val="22"/>
        </w:rPr>
        <w:t xml:space="preserve">Section 7  —  Gouvernance, transparence et souveraineté</w:t>
      </w:r>
      <w:r>
        <w:rPr>
          <w:rFonts w:ascii="Calibri" w:cs="Calibri" w:eastAsia="Calibri" w:hAnsi="Calibri"/>
          <w:color w:val="888888"/>
          <w:sz w:val="22"/>
          <w:szCs w:val="22"/>
        </w:rPr>
        <w:t xml:space="preserve">	48</w:t>
      </w:r>
    </w:p>
    <w:p>
      <w:pPr>
        <w:tabs>
          <w:tab w:val="right" w:pos="9000" w:leader="dot"/>
        </w:tabs>
        <w:spacing w:after="80" w:before="80"/>
      </w:pPr>
      <w:r>
        <w:rPr>
          <w:rFonts w:ascii="Calibri" w:cs="Calibri" w:eastAsia="Calibri" w:hAnsi="Calibri"/>
          <w:color w:val="1A1A2E"/>
          <w:sz w:val="22"/>
          <w:szCs w:val="22"/>
        </w:rPr>
        <w:t xml:space="preserve">Section 8  —  Objections et réponses</w:t>
      </w:r>
      <w:r>
        <w:rPr>
          <w:rFonts w:ascii="Calibri" w:cs="Calibri" w:eastAsia="Calibri" w:hAnsi="Calibri"/>
          <w:color w:val="888888"/>
          <w:sz w:val="22"/>
          <w:szCs w:val="22"/>
        </w:rPr>
        <w:t xml:space="preserve">	58</w:t>
      </w:r>
    </w:p>
    <w:p>
      <w:pPr>
        <w:tabs>
          <w:tab w:val="right" w:pos="9000" w:leader="dot"/>
        </w:tabs>
        <w:spacing w:after="80" w:before="80"/>
      </w:pPr>
      <w:r>
        <w:rPr>
          <w:rFonts w:ascii="Calibri" w:cs="Calibri" w:eastAsia="Calibri" w:hAnsi="Calibri"/>
          <w:color w:val="1A1A2E"/>
          <w:sz w:val="22"/>
          <w:szCs w:val="22"/>
        </w:rPr>
        <w:t xml:space="preserve">Section 9  —  Conclusion et appel à la CETP</w:t>
      </w:r>
      <w:r>
        <w:rPr>
          <w:rFonts w:ascii="Calibri" w:cs="Calibri" w:eastAsia="Calibri" w:hAnsi="Calibri"/>
          <w:color w:val="888888"/>
          <w:sz w:val="22"/>
          <w:szCs w:val="22"/>
        </w:rPr>
        <w:t xml:space="preserve">	68</w:t>
      </w:r>
    </w:p>
    <w:p>
      <w:pPr>
        <w:tabs>
          <w:tab w:val="right" w:pos="9000" w:leader="dot"/>
        </w:tabs>
        <w:spacing w:after="80" w:before="80"/>
      </w:pPr>
      <w:r>
        <w:rPr>
          <w:rFonts w:ascii="Calibri" w:cs="Calibri" w:eastAsia="Calibri" w:hAnsi="Calibri"/>
          <w:color w:val="1A1A2E"/>
          <w:sz w:val="22"/>
          <w:szCs w:val="22"/>
        </w:rPr>
        <w:t xml:space="preserve">Annexe A1  —  Modélisation détaillée des scénarios</w:t>
      </w:r>
      <w:r>
        <w:rPr>
          <w:rFonts w:ascii="Calibri" w:cs="Calibri" w:eastAsia="Calibri" w:hAnsi="Calibri"/>
          <w:color w:val="888888"/>
          <w:sz w:val="22"/>
          <w:szCs w:val="22"/>
        </w:rPr>
        <w:t xml:space="preserve">	74</w:t>
      </w:r>
    </w:p>
    <w:p>
      <w:pPr>
        <w:tabs>
          <w:tab w:val="right" w:pos="9000" w:leader="dot"/>
        </w:tabs>
        <w:spacing w:after="80" w:before="80"/>
      </w:pPr>
      <w:r>
        <w:rPr>
          <w:rFonts w:ascii="Calibri" w:cs="Calibri" w:eastAsia="Calibri" w:hAnsi="Calibri"/>
          <w:color w:val="1A1A2E"/>
          <w:sz w:val="22"/>
          <w:szCs w:val="22"/>
        </w:rPr>
        <w:t xml:space="preserve">Annexe A2  —  Cadre légal et modifications du CSS</w:t>
      </w:r>
      <w:r>
        <w:rPr>
          <w:rFonts w:ascii="Calibri" w:cs="Calibri" w:eastAsia="Calibri" w:hAnsi="Calibri"/>
          <w:color w:val="888888"/>
          <w:sz w:val="22"/>
          <w:szCs w:val="22"/>
        </w:rPr>
        <w:t xml:space="preserve">	82</w:t>
      </w:r>
    </w:p>
    <w:p>
      <w:pPr>
        <w:tabs>
          <w:tab w:val="right" w:pos="9000" w:leader="dot"/>
        </w:tabs>
        <w:spacing w:after="80" w:before="80"/>
      </w:pPr>
      <w:r>
        <w:rPr>
          <w:rFonts w:ascii="Calibri" w:cs="Calibri" w:eastAsia="Calibri" w:hAnsi="Calibri"/>
          <w:color w:val="1A1A2E"/>
          <w:sz w:val="22"/>
          <w:szCs w:val="22"/>
        </w:rPr>
        <w:t xml:space="preserve">Annexe A3  —  Schéma de gouvernance et cycle annuel</w:t>
      </w:r>
      <w:r>
        <w:rPr>
          <w:rFonts w:ascii="Calibri" w:cs="Calibri" w:eastAsia="Calibri" w:hAnsi="Calibri"/>
          <w:color w:val="888888"/>
          <w:sz w:val="22"/>
          <w:szCs w:val="22"/>
        </w:rPr>
        <w:t xml:space="preserve">	90</w:t>
      </w:r>
    </w:p>
    <w:p>
      <w:pPr>
        <w:tabs>
          <w:tab w:val="right" w:pos="9000" w:leader="dot"/>
        </w:tabs>
        <w:spacing w:after="80" w:before="80"/>
      </w:pPr>
      <w:r>
        <w:rPr>
          <w:rFonts w:ascii="Calibri" w:cs="Calibri" w:eastAsia="Calibri" w:hAnsi="Calibri"/>
          <w:color w:val="1A1A2E"/>
          <w:sz w:val="22"/>
          <w:szCs w:val="22"/>
        </w:rPr>
        <w:t xml:space="preserve">Annexe A4  —  Données sources et références</w:t>
      </w:r>
      <w:r>
        <w:rPr>
          <w:rFonts w:ascii="Calibri" w:cs="Calibri" w:eastAsia="Calibri" w:hAnsi="Calibri"/>
          <w:color w:val="888888"/>
          <w:sz w:val="22"/>
          <w:szCs w:val="22"/>
        </w:rPr>
        <w:t xml:space="preserve">	98</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Section 1 — Diagnostic : un système structurellement fragilisé</w:t>
      </w:r>
    </w:p>
    <w:p>
      <w:pPr>
        <w:spacing w:after="120" w:before="360"/>
      </w:pPr>
      <w:r>
        <w:rPr>
          <w:rFonts w:ascii="Calibri" w:cs="Calibri" w:eastAsia="Calibri" w:hAnsi="Calibri"/>
          <w:b/>
          <w:bCs/>
          <w:color w:val="1B4F8A"/>
          <w:sz w:val="28"/>
          <w:szCs w:val="28"/>
        </w:rPr>
        <w:t xml:space="preserve">1.1 — Douze réformes, zéro solution structurelle</w:t>
      </w:r>
    </w:p>
    <w:p>
      <w:pPr>
        <w:spacing w:after="160" w:before="80" w:line="320"/>
        <w:jc w:val="both"/>
      </w:pPr>
      <w:r>
        <w:rPr>
          <w:rFonts w:ascii="Calibri" w:cs="Calibri" w:eastAsia="Calibri" w:hAnsi="Calibri"/>
          <w:color w:val="1A1A2E"/>
          <w:sz w:val="22"/>
          <w:szCs w:val="22"/>
        </w:rPr>
        <w:t xml:space="preserve">Depuis 1993, le système de retraite français a fait l'objet de douze tentatives majeures de réforme. Balladur en 1993, Juppé en 1995, Fillon en 2003, Woerth en 2010, Touraine en 2014, Borne en 2023 — chacune a produit le même cycle : une crise sociale d'intensité variable, un gain financier transitoire de quelques milliards rapidement absorbé par les ajustements démographiques suivants, et une perte durable de confiance citoyenne dans la capacité des institutions à gérer ce sujet.</w:t>
      </w:r>
    </w:p>
    <w:p>
      <w:pPr>
        <w:spacing w:after="160" w:before="80" w:line="320"/>
        <w:jc w:val="both"/>
      </w:pPr>
      <w:r>
        <w:rPr>
          <w:rFonts w:ascii="Calibri" w:cs="Calibri" w:eastAsia="Calibri" w:hAnsi="Calibri"/>
          <w:color w:val="1A1A2E"/>
          <w:sz w:val="22"/>
          <w:szCs w:val="22"/>
        </w:rPr>
        <w:t xml:space="preserve">Ce cycle n'est pas un accident. Il est la conséquence directe d'une méthode : des réformes paramétriques ponctuelles appliquées à un système dont les déséquilibres sont structurels et non conjoncturels. On déplace le problème. On ne le résout pas.</w:t>
      </w:r>
    </w:p>
    <w:p>
      <w:pPr>
        <w:spacing w:after="160" w:before="80" w:line="320"/>
        <w:jc w:val="both"/>
      </w:pPr>
      <w:r>
        <w:rPr>
          <w:rFonts w:ascii="Calibri" w:cs="Calibri" w:eastAsia="Calibri" w:hAnsi="Calibri"/>
          <w:color w:val="1A1A2E"/>
          <w:sz w:val="22"/>
          <w:szCs w:val="22"/>
        </w:rPr>
        <w:t xml:space="preserve">Le coût de cette instabilité chronique est triple. Il est financier — chaque cycle mobilise des ressources considérables pour un résultat marginal. Il est économique — l'incertitude permanente pèse sur les décisions d'investissement et les comportements d'épargne. Il est démocratique — la répétition des crises érode la légitimité de l'action publique et alimente la défiance institutionnelle.</w:t>
      </w:r>
    </w:p>
    <w:p>
      <w:pPr>
        <w:spacing w:after="120" w:before="360"/>
      </w:pPr>
      <w:r>
        <w:rPr>
          <w:rFonts w:ascii="Calibri" w:cs="Calibri" w:eastAsia="Calibri" w:hAnsi="Calibri"/>
          <w:b/>
          <w:bCs/>
          <w:color w:val="1B4F8A"/>
          <w:sz w:val="28"/>
          <w:szCs w:val="28"/>
        </w:rPr>
        <w:t xml:space="preserve">1.2 — Un déficit structurel partiellement construit</w:t>
      </w:r>
    </w:p>
    <w:p>
      <w:pPr>
        <w:spacing w:after="160" w:before="80" w:line="320"/>
        <w:jc w:val="both"/>
      </w:pPr>
      <w:r>
        <w:rPr>
          <w:rFonts w:ascii="Calibri" w:cs="Calibri" w:eastAsia="Calibri" w:hAnsi="Calibri"/>
          <w:color w:val="1A1A2E"/>
          <w:sz w:val="22"/>
          <w:szCs w:val="22"/>
        </w:rPr>
        <w:t xml:space="preserve">Les projections du Conseil d'Orientation des Retraites confirment un besoin de financement structurel significatif à l'horizon 2030-2050, quelle que soit l'hypothèse de croissance retenue. Ce déficit est réel. Mais il convient d'en identifier précisément les causes.</w:t>
      </w:r>
    </w:p>
    <w:p>
      <w:pPr>
        <w:spacing w:after="160" w:before="80" w:line="320"/>
        <w:jc w:val="both"/>
      </w:pPr>
      <w:r>
        <w:rPr>
          <w:rFonts w:ascii="Calibri" w:cs="Calibri" w:eastAsia="Calibri" w:hAnsi="Calibri"/>
          <w:color w:val="1A1A2E"/>
          <w:sz w:val="22"/>
          <w:szCs w:val="22"/>
        </w:rPr>
        <w:t xml:space="preserve">Une fraction substantielle du déficit actuel résulte de décisions délibérées de politique économique. Les exonérations de cotisations patronales accordées depuis les années 1990 ont réduit mécaniquement les recettes du système sans contrepartie équivalente. La substitution partielle de recettes de TVA affectée pour compenser ces manques à gagner a introduit une dépendance du financement des retraites aux aléas de la consommation intérieure.</w:t>
      </w:r>
    </w:p>
    <w:p>
      <w:pPr>
        <w:spacing w:after="160" w:before="80" w:line="320"/>
        <w:jc w:val="both"/>
      </w:pPr>
      <w:r>
        <w:rPr>
          <w:rFonts w:ascii="Calibri" w:cs="Calibri" w:eastAsia="Calibri" w:hAnsi="Calibri"/>
          <w:color w:val="1A1A2E"/>
          <w:sz w:val="22"/>
          <w:szCs w:val="22"/>
        </w:rPr>
        <w:t xml:space="preserve">Dit autrement : une partie du déficit des caisses de retraite n'est pas le produit du vieillissement démographique. C'est le produit de choix fiscaux qui ont affaibli l'assiette de cotisation tout en maintenant le niveau des engagements.</w:t>
      </w:r>
    </w:p>
    <w:p>
      <w:pPr>
        <w:spacing w:after="160" w:before="80" w:line="320"/>
        <w:jc w:val="both"/>
      </w:pPr>
      <w:r>
        <w:rPr>
          <w:rFonts w:ascii="Calibri" w:cs="Calibri" w:eastAsia="Calibri" w:hAnsi="Calibri"/>
          <w:color w:val="1A1A2E"/>
          <w:sz w:val="22"/>
          <w:szCs w:val="22"/>
        </w:rPr>
        <w:t xml:space="preserve">Le Fonds de Réserve pour les Retraites, créé en 1999, affiche aujourd'hui environ 26 milliards d'euros d'actifs. Ce chiffre doit être lu pour ce qu'il est : non pas une fatalité, mais le résultat d'une sous-alimentation chronique du fonds au profit d'autres priorités budgétaires. C'est un point de départ, pas un plafond.</w:t>
      </w:r>
    </w:p>
    <w:p>
      <w:pPr>
        <w:spacing w:after="120" w:before="360"/>
      </w:pPr>
      <w:r>
        <w:rPr>
          <w:rFonts w:ascii="Calibri" w:cs="Calibri" w:eastAsia="Calibri" w:hAnsi="Calibri"/>
          <w:b/>
          <w:bCs/>
          <w:color w:val="1B4F8A"/>
          <w:sz w:val="28"/>
          <w:szCs w:val="28"/>
        </w:rPr>
        <w:t xml:space="preserve">1.3 — La démographie : contrainte principale, non contournable</w:t>
      </w:r>
    </w:p>
    <w:p>
      <w:pPr>
        <w:spacing w:after="160" w:before="80" w:line="320"/>
        <w:jc w:val="both"/>
      </w:pPr>
      <w:r>
        <w:rPr>
          <w:rFonts w:ascii="Calibri" w:cs="Calibri" w:eastAsia="Calibri" w:hAnsi="Calibri"/>
          <w:color w:val="1A1A2E"/>
          <w:sz w:val="22"/>
          <w:szCs w:val="22"/>
        </w:rPr>
        <w:t xml:space="preserve">Il faut être direct sur ce point : la contrainte démographique est la principale faiblesse structurelle du système de retraite français, et l'IPAA ne la résout pas — il la gère.</w:t>
      </w:r>
    </w:p>
    <w:p>
      <w:pPr>
        <w:spacing w:after="160" w:before="80" w:line="320"/>
        <w:jc w:val="both"/>
      </w:pPr>
      <w:r>
        <w:rPr>
          <w:rFonts w:ascii="Calibri" w:cs="Calibri" w:eastAsia="Calibri" w:hAnsi="Calibri"/>
          <w:color w:val="1A1A2E"/>
          <w:sz w:val="22"/>
          <w:szCs w:val="22"/>
        </w:rPr>
        <w:t xml:space="preserve">Le ratio actifs cotisants sur retraités constitue le déterminant fondamental de l'équilibre d'un système par répartition. Ce ratio s'établit aujourd'hui autour de 1,7 pour 1. Les projections COR montrent qu'il continue de se dégrader dans quasiment tous les scénarios : 1,5 pour 1 en 2040 dans le scénario central, 1,3 pour 1 dans le scénario bas. Aucun mécanisme de gouvernance, aussi sophistiqué soit-il, ne crée mécaniquement des millions de cotisants supplémentaires.</w:t>
      </w:r>
    </w:p>
    <w:p>
      <w:pPr>
        <w:spacing w:after="160" w:before="80" w:line="320"/>
        <w:jc w:val="both"/>
      </w:pPr>
      <w:r>
        <w:rPr>
          <w:rFonts w:ascii="Calibri" w:cs="Calibri" w:eastAsia="Calibri" w:hAnsi="Calibri"/>
          <w:color w:val="1A1A2E"/>
          <w:sz w:val="22"/>
          <w:szCs w:val="22"/>
        </w:rPr>
        <w:t xml:space="preserve">L'IPAA doit donc être robuste dans un scénario de déclin démographique soutenu — pas seulement dans un scénario de stabilisation. C'est la condition sine qua non de sa crédibilité. Les projections de la Section 4 traitent le déclin démographique comme la variable de référence, et non comme un scénario dégradé exceptionnel.</w:t>
      </w:r>
    </w:p>
    <w:p>
      <w:pPr>
        <w:spacing w:after="160" w:before="80" w:line="320"/>
        <w:jc w:val="both"/>
      </w:pPr>
      <w:r>
        <w:rPr>
          <w:rFonts w:ascii="Calibri" w:cs="Calibri" w:eastAsia="Calibri" w:hAnsi="Calibri"/>
          <w:color w:val="1A1A2E"/>
          <w:sz w:val="22"/>
          <w:szCs w:val="22"/>
        </w:rPr>
        <w:t xml:space="preserve">Une hypothèse complémentaire — dite de boucle vertueuse — pose qu'une stabilisation du système pourrait contribuer partiellement à restaurer la confiance économique des ménages et, à terme, leur propension à avoir des enfants. Cette corrélation entre sécurité économique perçue et fécondité est documentée dans la littérature, notamment dans les pays nordiques. Mais il s'agit d'une corrélation, pas d'un lien causal démontré entre réforme des retraites et natalité. L'IPAA ne prétend pas résoudre le problème démographique — il prétend fonctionner malgré lui.</w:t>
      </w:r>
    </w:p>
    <w:p>
      <w:pPr>
        <w:shd w:fill="EEF2F7" w:val="clear"/>
        <w:spacing w:after="80" w:before="80" w:line="280"/>
        <w:ind w:left="360" w:right="360"/>
      </w:pPr>
      <w:r>
        <w:rPr>
          <w:rFonts w:ascii="Calibri" w:cs="Calibri" w:eastAsia="Calibri" w:hAnsi="Calibri"/>
          <w:i/>
          <w:iCs/>
          <w:color w:val="555555"/>
          <w:sz w:val="20"/>
          <w:szCs w:val="20"/>
        </w:rPr>
        <w:t xml:space="preserve">Avertissement : le scénario de boucle vertueuse démographique est présenté en Section 4.7 comme une borne haute spéculative, distinct du scénario central. Le système IPAA est dimensionné pour fonctionner sans reprise démographique.</w:t>
      </w:r>
    </w:p>
    <w:p>
      <w:pPr>
        <w:spacing w:after="120" w:before="360"/>
      </w:pPr>
      <w:r>
        <w:rPr>
          <w:rFonts w:ascii="Calibri" w:cs="Calibri" w:eastAsia="Calibri" w:hAnsi="Calibri"/>
          <w:b/>
          <w:bCs/>
          <w:color w:val="1B4F8A"/>
          <w:sz w:val="28"/>
          <w:szCs w:val="28"/>
        </w:rPr>
        <w:t xml:space="preserve">1.4 — Le verrou politique : pourquoi le système a intérêt à rester instable</w:t>
      </w:r>
    </w:p>
    <w:p>
      <w:pPr>
        <w:spacing w:after="160" w:before="80" w:line="320"/>
        <w:jc w:val="both"/>
      </w:pPr>
      <w:r>
        <w:rPr>
          <w:rFonts w:ascii="Calibri" w:cs="Calibri" w:eastAsia="Calibri" w:hAnsi="Calibri"/>
          <w:color w:val="1A1A2E"/>
          <w:sz w:val="22"/>
          <w:szCs w:val="22"/>
        </w:rPr>
        <w:t xml:space="preserve">Il existe un paradoxe apparent dans l'histoire des réformes des retraites françaises : malgré douze tentatives, aucune n'a produit de solution durable. Ce paradoxe s'explique partiellement par une contrainte démographique réelle. Mais il s'explique aussi par quelque chose de moins avouable : certains acteurs ont un intérêt direct à ce que le système public reste perçu comme défaillant.</w:t>
      </w:r>
    </w:p>
    <w:p>
      <w:pPr>
        <w:spacing w:after="160" w:before="80" w:line="320"/>
        <w:jc w:val="both"/>
      </w:pPr>
      <w:r>
        <w:rPr>
          <w:rFonts w:ascii="Calibri" w:cs="Calibri" w:eastAsia="Calibri" w:hAnsi="Calibri"/>
          <w:color w:val="1A1A2E"/>
          <w:sz w:val="22"/>
          <w:szCs w:val="22"/>
        </w:rPr>
        <w:t xml:space="preserve">Un système public de retraite par répartition qui fonctionne, qui est équilibré, et dont les règles sont stables est un système qui ne génère pas de flux vers la retraite par capitalisation privée. Les assureurs, les fonds de pension et les établissements bancaires qui commercialisent des produits d'épargne retraite ont un intérêt économique structurel à ce que la confiance dans le système public reste dégradée.</w:t>
      </w:r>
    </w:p>
    <w:p>
      <w:pPr>
        <w:spacing w:after="160" w:before="80" w:line="320"/>
        <w:jc w:val="both"/>
      </w:pPr>
      <w:r>
        <w:rPr>
          <w:rFonts w:ascii="Calibri" w:cs="Calibri" w:eastAsia="Calibri" w:hAnsi="Calibri"/>
          <w:color w:val="1A1A2E"/>
          <w:sz w:val="22"/>
          <w:szCs w:val="22"/>
        </w:rPr>
        <w:t xml:space="preserve">Ce constat n'est pas une théorie du complot. C'est une observation de structure d'incitations. L'IPAA, en stabilisant structurellement le système public, réduit mécaniquement le marché adressable de la capitalisation privée individuelle. C'est une conséquence assumée.</w:t>
      </w:r>
    </w:p>
    <w:p>
      <w:pPr>
        <w:spacing w:after="120" w:before="360"/>
      </w:pPr>
      <w:r>
        <w:rPr>
          <w:rFonts w:ascii="Calibri" w:cs="Calibri" w:eastAsia="Calibri" w:hAnsi="Calibri"/>
          <w:b/>
          <w:bCs/>
          <w:color w:val="1B4F8A"/>
          <w:sz w:val="28"/>
          <w:szCs w:val="28"/>
        </w:rPr>
        <w:t xml:space="preserve">1.5 — Le coût réel de l'instabilité</w:t>
      </w:r>
    </w:p>
    <w:p>
      <w:pPr>
        <w:spacing w:after="160" w:before="80" w:line="320"/>
        <w:jc w:val="both"/>
      </w:pPr>
      <w:r>
        <w:rPr>
          <w:rFonts w:ascii="Calibri" w:cs="Calibri" w:eastAsia="Calibri" w:hAnsi="Calibri"/>
          <w:color w:val="1A1A2E"/>
          <w:sz w:val="22"/>
          <w:szCs w:val="22"/>
        </w:rPr>
        <w:t xml:space="preserve">Pour les entreprises, l'incertitude sur les règles de cotisation à moyen terme constitue un frein réel aux décisions d'investissement et de recrutement. Une entreprise qui ne sait pas quel sera son niveau de charges sociales dans cinq ans intègre ce risque dans ses modèles financiers.</w:t>
      </w:r>
    </w:p>
    <w:p>
      <w:pPr>
        <w:spacing w:after="160" w:before="80" w:line="320"/>
        <w:jc w:val="both"/>
      </w:pPr>
      <w:r>
        <w:rPr>
          <w:rFonts w:ascii="Calibri" w:cs="Calibri" w:eastAsia="Calibri" w:hAnsi="Calibri"/>
          <w:color w:val="1A1A2E"/>
          <w:sz w:val="22"/>
          <w:szCs w:val="22"/>
        </w:rPr>
        <w:t xml:space="preserve">Pour les ménages, l'incertitude sur le montant et les conditions d'accès à la retraite génère une sur-épargne précautionnelle qui réduit la consommation courante. Des études comportementales montrent que cette incertitude est corrélée à une réduction significative de la consommation des ménages de 45 à 60 ans.</w:t>
      </w:r>
    </w:p>
    <w:p>
      <w:pPr>
        <w:pBdr>
          <w:left w:val="single" w:color="1B4F8A" w:sz="12" w:space="8"/>
        </w:pBdr>
        <w:spacing w:after="160" w:before="160" w:line="300"/>
        <w:ind w:left="720" w:right="720"/>
      </w:pPr>
      <w:r>
        <w:rPr>
          <w:rFonts w:ascii="Calibri" w:cs="Calibri" w:eastAsia="Calibri" w:hAnsi="Calibri"/>
          <w:i/>
          <w:iCs/>
          <w:color w:val="444444"/>
          <w:sz w:val="22"/>
          <w:szCs w:val="22"/>
        </w:rPr>
        <w:t xml:space="preserve">La stabilisation du système de retraite n'est pas seulement un enjeu social. C'est un levier de croissance économique dont l'impact positif sur l'investissement, la consommation et la confiance institutionnelle justifie à lui seul l'effort de réforme structurelle.</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Section 2 — Architecture du système IPAA</w:t>
      </w:r>
    </w:p>
    <w:p>
      <w:pPr>
        <w:spacing w:after="120" w:before="360"/>
      </w:pPr>
      <w:r>
        <w:rPr>
          <w:rFonts w:ascii="Calibri" w:cs="Calibri" w:eastAsia="Calibri" w:hAnsi="Calibri"/>
          <w:b/>
          <w:bCs/>
          <w:color w:val="1B4F8A"/>
          <w:sz w:val="28"/>
          <w:szCs w:val="28"/>
        </w:rPr>
        <w:t xml:space="preserve">2.1 — Le principe fondateur : séparer la décision politique de l'ajustement technique</w:t>
      </w:r>
    </w:p>
    <w:p>
      <w:pPr>
        <w:spacing w:after="160" w:before="80" w:line="320"/>
        <w:jc w:val="both"/>
      </w:pPr>
      <w:r>
        <w:rPr>
          <w:rFonts w:ascii="Calibri" w:cs="Calibri" w:eastAsia="Calibri" w:hAnsi="Calibri"/>
          <w:color w:val="1A1A2E"/>
          <w:sz w:val="22"/>
          <w:szCs w:val="22"/>
        </w:rPr>
        <w:t xml:space="preserve">Le débat français sur les retraites est structurellement piégé par une confusion entre deux niveaux de décision qui n'ont pas vocation à être mêlés.</w:t>
      </w:r>
    </w:p>
    <w:p>
      <w:pPr>
        <w:spacing w:after="160" w:before="80" w:line="320"/>
        <w:jc w:val="both"/>
      </w:pPr>
      <w:r>
        <w:rPr>
          <w:rFonts w:ascii="Calibri" w:cs="Calibri" w:eastAsia="Calibri" w:hAnsi="Calibri"/>
          <w:color w:val="1A1A2E"/>
          <w:sz w:val="22"/>
          <w:szCs w:val="22"/>
        </w:rPr>
        <w:t xml:space="preserve">Le premier niveau est politique : quelle société voulons-nous ? Quel niveau de solidarité intergénérationnelle ? Quelle progressivité de l'effort contributif ? Ces questions sont légitimement du ressort du débat démocratique.</w:t>
      </w:r>
    </w:p>
    <w:p>
      <w:pPr>
        <w:spacing w:after="160" w:before="80" w:line="320"/>
        <w:jc w:val="both"/>
      </w:pPr>
      <w:r>
        <w:rPr>
          <w:rFonts w:ascii="Calibri" w:cs="Calibri" w:eastAsia="Calibri" w:hAnsi="Calibri"/>
          <w:color w:val="1A1A2E"/>
          <w:sz w:val="22"/>
          <w:szCs w:val="22"/>
        </w:rPr>
        <w:t xml:space="preserve">Le second niveau est technique : étant donné les objectifs fixés démocratiquement, quels paramètres permettent d'atteindre l'équilibre structurel ? Ce niveau n'est pas politique. Il est comptable, actuariel, algorithmique. Il n'a pas à faire l'objet d'un débat à chaque élection.</w:t>
      </w:r>
    </w:p>
    <w:p>
      <w:pPr>
        <w:pBdr>
          <w:left w:val="single" w:color="1B4F8A" w:sz="12" w:space="8"/>
        </w:pBdr>
        <w:spacing w:after="160" w:before="160" w:line="300"/>
        <w:ind w:left="720" w:right="720"/>
      </w:pPr>
      <w:r>
        <w:rPr>
          <w:rFonts w:ascii="Calibri" w:cs="Calibri" w:eastAsia="Calibri" w:hAnsi="Calibri"/>
          <w:i/>
          <w:iCs/>
          <w:color w:val="444444"/>
          <w:sz w:val="22"/>
          <w:szCs w:val="22"/>
        </w:rPr>
        <w:t xml:space="preserve">Le débat politique fixe les règles du jeu une fois. L'algorithme joue la partie en continu.</w:t>
      </w:r>
    </w:p>
    <w:p>
      <w:pPr>
        <w:spacing w:after="120" w:before="360"/>
      </w:pPr>
      <w:r>
        <w:rPr>
          <w:rFonts w:ascii="Calibri" w:cs="Calibri" w:eastAsia="Calibri" w:hAnsi="Calibri"/>
          <w:b/>
          <w:bCs/>
          <w:color w:val="1B4F8A"/>
          <w:sz w:val="28"/>
          <w:szCs w:val="28"/>
        </w:rPr>
        <w:t xml:space="preserve">2.2 — La règle d'affectation stricte : l'étanchéité comme fondation</w:t>
      </w:r>
    </w:p>
    <w:p>
      <w:pPr>
        <w:spacing w:after="160" w:before="80" w:line="320"/>
        <w:jc w:val="both"/>
      </w:pPr>
      <w:r>
        <w:rPr>
          <w:rFonts w:ascii="Calibri" w:cs="Calibri" w:eastAsia="Calibri" w:hAnsi="Calibri"/>
          <w:color w:val="1A1A2E"/>
          <w:sz w:val="22"/>
          <w:szCs w:val="22"/>
        </w:rPr>
        <w:t xml:space="preserve">Avant de décrire le mécanisme d'ajustement, il convient de poser la règle sans laquelle tout le reste est fragile : l'argent des retraites ne peut servir qu'aux retraites.</w:t>
      </w:r>
    </w:p>
    <w:p>
      <w:pPr>
        <w:spacing w:after="160" w:before="80" w:line="320"/>
        <w:jc w:val="both"/>
      </w:pPr>
      <w:r>
        <w:rPr>
          <w:rFonts w:ascii="Calibri" w:cs="Calibri" w:eastAsia="Calibri" w:hAnsi="Calibri"/>
          <w:color w:val="1A1A2E"/>
          <w:sz w:val="22"/>
          <w:szCs w:val="22"/>
        </w:rPr>
        <w:t xml:space="preserve">Dans l'IPAA, cette étanchéité est constitutionnalisée à deux niveaux. Au niveau organique, une modification de la LOLF exclut le FRR réformé et la Caisse Centrale de Péréquation du périmètre comptable des finances de l'État. Au niveau constitutionnel, une règle d'or sectorielle inscrit dans la Constitution que les flux financiers du système IPAA sont fléchés, étanches et non-fongibles avec le budget général.</w:t>
      </w:r>
    </w:p>
    <w:p>
      <w:pPr>
        <w:spacing w:after="120" w:before="360"/>
      </w:pPr>
      <w:r>
        <w:rPr>
          <w:rFonts w:ascii="Calibri" w:cs="Calibri" w:eastAsia="Calibri" w:hAnsi="Calibri"/>
          <w:b/>
          <w:bCs/>
          <w:color w:val="1B4F8A"/>
          <w:sz w:val="28"/>
          <w:szCs w:val="28"/>
        </w:rPr>
        <w:t xml:space="preserve">2.3 — Les quatre niveaux de l'AC-IPAA</w:t>
      </w:r>
    </w:p>
    <w:p>
      <w:pPr>
        <w:spacing w:after="160" w:before="80" w:line="320"/>
        <w:jc w:val="both"/>
      </w:pPr>
      <w:r>
        <w:rPr>
          <w:rFonts w:ascii="Calibri" w:cs="Calibri" w:eastAsia="Calibri" w:hAnsi="Calibri"/>
          <w:color w:val="1A1A2E"/>
          <w:sz w:val="22"/>
          <w:szCs w:val="22"/>
        </w:rPr>
        <w:t xml:space="preserve">L'Algorithme de Convergences fonctionne selon une hiérarchie stricte de quatre niveaux. Chaque niveau n'est activé que si le précédent est insuffisant.</w:t>
      </w:r>
    </w:p>
    <w:p>
      <w:pPr>
        <w:spacing w:after="120" w:before="280"/>
      </w:pPr>
      <w:r>
        <w:rPr>
          <w:rFonts w:ascii="Calibri" w:cs="Calibri" w:eastAsia="Calibri" w:hAnsi="Calibri"/>
          <w:b/>
          <w:bCs/>
          <w:color w:val="1A1A2E"/>
          <w:sz w:val="24"/>
          <w:szCs w:val="24"/>
        </w:rPr>
        <w:t xml:space="preserve">Niveau 0 — Péréquation inter-caisses via la Caisse Centrale de Péréquation</w:t>
      </w:r>
    </w:p>
    <w:p>
      <w:pPr>
        <w:spacing w:after="160" w:before="80" w:line="320"/>
        <w:jc w:val="both"/>
      </w:pPr>
      <w:r>
        <w:rPr>
          <w:rFonts w:ascii="Calibri" w:cs="Calibri" w:eastAsia="Calibri" w:hAnsi="Calibri"/>
          <w:color w:val="1A1A2E"/>
          <w:sz w:val="22"/>
          <w:szCs w:val="22"/>
        </w:rPr>
        <w:t xml:space="preserve">C'est le premier recours. Les excédents des caisses excédentaires alimentent automatiquement un pool commun — la Caisse Centrale de Péréquation — qui redistribue vers les caisses déficitaires selon une règle algorithmique stricte.</w:t>
      </w:r>
    </w:p>
    <w:p>
      <w:pPr>
        <w:spacing w:after="160" w:before="80" w:line="320"/>
        <w:jc w:val="both"/>
      </w:pPr>
      <w:r>
        <w:rPr>
          <w:rFonts w:ascii="Calibri" w:cs="Calibri" w:eastAsia="Calibri" w:hAnsi="Calibri"/>
          <w:color w:val="1A1A2E"/>
          <w:sz w:val="22"/>
          <w:szCs w:val="22"/>
        </w:rPr>
        <w:t xml:space="preserve">La règle de transfert repose sur une projection glissante à trois ans. L'algorithme ne transfère que ce que la trajectoire à N+3 permet d'absorber sans mettre une caisse excédentaire en risque de déficit futur.</w:t>
      </w:r>
    </w:p>
    <w:p>
      <w:pPr>
        <w:spacing w:after="160" w:before="80" w:line="320"/>
        <w:jc w:val="both"/>
      </w:pPr>
      <w:r>
        <w:rPr>
          <w:rFonts w:ascii="Calibri" w:cs="Calibri" w:eastAsia="Calibri" w:hAnsi="Calibri"/>
          <w:b/>
          <w:bCs/>
          <w:color w:val="1A1A2E"/>
          <w:sz w:val="22"/>
          <w:szCs w:val="22"/>
        </w:rPr>
        <w:t xml:space="preserve">Formule : </w:t>
      </w:r>
      <w:r>
        <w:rPr>
          <w:rFonts w:ascii="Courier New" w:cs="Courier New" w:eastAsia="Courier New" w:hAnsi="Courier New"/>
          <w:color w:val="333333"/>
          <w:sz w:val="20"/>
          <w:szCs w:val="20"/>
        </w:rPr>
        <w:t xml:space="preserve">Transfert autorisé = min (excédent N — besoin projeté N+3 de la caisse source, déficit N de la caisse cible)</w:t>
      </w:r>
    </w:p>
    <w:p>
      <w:pPr>
        <w:spacing w:after="120" w:before="280"/>
      </w:pPr>
      <w:r>
        <w:rPr>
          <w:rFonts w:ascii="Calibri" w:cs="Calibri" w:eastAsia="Calibri" w:hAnsi="Calibri"/>
          <w:b/>
          <w:bCs/>
          <w:color w:val="1A1A2E"/>
          <w:sz w:val="24"/>
          <w:szCs w:val="24"/>
        </w:rPr>
        <w:t xml:space="preserve">Niveau 1 — Lissage via le FRR réformé</w:t>
      </w:r>
    </w:p>
    <w:p>
      <w:pPr>
        <w:spacing w:after="160" w:before="80" w:line="320"/>
        <w:jc w:val="both"/>
      </w:pPr>
      <w:r>
        <w:rPr>
          <w:rFonts w:ascii="Calibri" w:cs="Calibri" w:eastAsia="Calibri" w:hAnsi="Calibri"/>
          <w:color w:val="1A1A2E"/>
          <w:sz w:val="22"/>
          <w:szCs w:val="22"/>
        </w:rPr>
        <w:t xml:space="preserve">Si la péréquation ne suffit pas, le FRR intervient via sa Capacité de Lissage Annuelle — la CFРР. Le FRR réformé fonctionne selon trois compartiments étanches :</w:t>
      </w:r>
    </w:p>
    <w:p>
      <w:pPr>
        <w:pStyle w:val="ListParagraph"/>
        <w:numPr>
          <w:ilvl w:val="0"/>
          <w:numId w:val="2"/>
        </w:numPr>
        <w:spacing w:after="60" w:before="60" w:line="300"/>
      </w:pPr>
      <w:r>
        <w:rPr>
          <w:rFonts w:ascii="Calibri" w:cs="Calibri" w:eastAsia="Calibri" w:hAnsi="Calibri"/>
          <w:color w:val="1A1A2E"/>
          <w:sz w:val="22"/>
          <w:szCs w:val="22"/>
        </w:rPr>
        <w:t xml:space="preserve">Compartiment socle souverain : capital intouchable, obligations souveraines uniquement</w:t>
      </w:r>
    </w:p>
    <w:p>
      <w:pPr>
        <w:pStyle w:val="ListParagraph"/>
        <w:numPr>
          <w:ilvl w:val="0"/>
          <w:numId w:val="2"/>
        </w:numPr>
        <w:spacing w:after="60" w:before="60" w:line="300"/>
      </w:pPr>
      <w:r>
        <w:rPr>
          <w:rFonts w:ascii="Calibri" w:cs="Calibri" w:eastAsia="Calibri" w:hAnsi="Calibri"/>
          <w:color w:val="1A1A2E"/>
          <w:sz w:val="22"/>
          <w:szCs w:val="22"/>
        </w:rPr>
        <w:t xml:space="preserve">Compartiment réserve de lissage : alimenté par une fraction des rendements, contient la CFРР</w:t>
      </w:r>
    </w:p>
    <w:p>
      <w:pPr>
        <w:pStyle w:val="ListParagraph"/>
        <w:numPr>
          <w:ilvl w:val="0"/>
          <w:numId w:val="2"/>
        </w:numPr>
        <w:spacing w:after="60" w:before="60" w:line="300"/>
      </w:pPr>
      <w:r>
        <w:rPr>
          <w:rFonts w:ascii="Calibri" w:cs="Calibri" w:eastAsia="Calibri" w:hAnsi="Calibri"/>
          <w:color w:val="1A1A2E"/>
          <w:sz w:val="22"/>
          <w:szCs w:val="22"/>
        </w:rPr>
        <w:t xml:space="preserve">Compartiment capital de croissance : excédents des caisses et majorité des rendements, géré sous mandat privé encadré</w:t>
      </w:r>
    </w:p>
    <w:p>
      <w:pPr>
        <w:spacing w:after="160" w:before="80" w:line="320"/>
        <w:jc w:val="both"/>
      </w:pPr>
      <w:r>
        <w:rPr>
          <w:rFonts w:ascii="Calibri" w:cs="Calibri" w:eastAsia="Calibri" w:hAnsi="Calibri"/>
          <w:color w:val="1A1A2E"/>
          <w:sz w:val="22"/>
          <w:szCs w:val="22"/>
        </w:rPr>
        <w:t xml:space="preserve">La règle fondamentale : on ne place jamais le capital de base, on place uniquement les excédents et les rendements.</w:t>
      </w:r>
    </w:p>
    <w:p>
      <w:pPr>
        <w:spacing w:after="120" w:before="280"/>
      </w:pPr>
      <w:r>
        <w:rPr>
          <w:rFonts w:ascii="Calibri" w:cs="Calibri" w:eastAsia="Calibri" w:hAnsi="Calibri"/>
          <w:b/>
          <w:bCs/>
          <w:color w:val="1A1A2E"/>
          <w:sz w:val="24"/>
          <w:szCs w:val="24"/>
        </w:rPr>
        <w:t xml:space="preserve">Niveau 2 — Ajustement progressif ∆τ par décile</w:t>
      </w:r>
    </w:p>
    <w:p>
      <w:pPr>
        <w:spacing w:after="160" w:before="80" w:line="320"/>
        <w:jc w:val="both"/>
      </w:pPr>
      <w:r>
        <w:rPr>
          <w:rFonts w:ascii="Calibri" w:cs="Calibri" w:eastAsia="Calibri" w:hAnsi="Calibri"/>
          <w:color w:val="1A1A2E"/>
          <w:sz w:val="22"/>
          <w:szCs w:val="22"/>
        </w:rPr>
        <w:t xml:space="preserve">Si le déficit résiduel dépasse la CFРР, l'algorithme déclenche un ajustement des taux de cotisation. Cet ajustement est progressif, lissé et prévisible.</w:t>
      </w:r>
    </w:p>
    <w:p>
      <w:pPr>
        <w:spacing w:after="160" w:before="80" w:line="320"/>
        <w:jc w:val="both"/>
      </w:pPr>
      <w:r>
        <w:rPr>
          <w:rFonts w:ascii="Courier New" w:cs="Courier New" w:eastAsia="Courier New" w:hAnsi="Courier New"/>
          <w:color w:val="333333"/>
          <w:sz w:val="20"/>
          <w:szCs w:val="20"/>
        </w:rPr>
        <w:t xml:space="preserve">∆τ = (EReq — CFРР) / Assiette Élargie</w:t>
      </w:r>
    </w:p>
    <w:p>
      <w:pPr>
        <w:spacing w:after="160" w:before="80" w:line="320"/>
        <w:jc w:val="both"/>
      </w:pPr>
      <w:r>
        <w:rPr>
          <w:rFonts w:ascii="Courier New" w:cs="Courier New" w:eastAsia="Courier New" w:hAnsi="Courier New"/>
          <w:color w:val="333333"/>
          <w:sz w:val="20"/>
          <w:szCs w:val="20"/>
        </w:rPr>
        <w:t xml:space="preserve">∆τi = ∆τ × βi</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400"/>
      </w:tblGrid>
      <w:tr>
        <w:trPr>
          <w:tblHeader/>
        </w:trPr>
        <w:tc>
          <w:tcPr>
            <w:tcW w:type="dxa" w:w="2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Tranche</w:t>
            </w:r>
          </w:p>
        </w:tc>
        <w:tc>
          <w:tcPr>
            <w:tcW w:type="dxa" w:w="16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Déciles</w:t>
            </w:r>
          </w:p>
        </w:tc>
        <w:tc>
          <w:tcPr>
            <w:tcW w:type="dxa" w:w="1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Coefficient βi</w:t>
            </w:r>
          </w:p>
        </w:tc>
        <w:tc>
          <w:tcPr>
            <w:tcW w:type="dxa" w:w="34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Effet sur le revenu net</w:t>
            </w:r>
          </w:p>
        </w:tc>
      </w:tr>
      <w:tr>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Bouclier Social</w:t>
            </w:r>
          </w:p>
        </w:tc>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D1 à D4</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0</w:t>
            </w:r>
          </w:p>
        </w:tc>
        <w:tc>
          <w:tcPr>
            <w:tcW w:type="dxa" w:w="3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Protection intégrale</w:t>
            </w:r>
          </w:p>
        </w:tc>
      </w:tr>
      <w:tr>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Contribution modérée</w:t>
            </w:r>
          </w:p>
        </w:tc>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D5 à D7</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0,15 à 0,40</w:t>
            </w:r>
          </w:p>
        </w:tc>
        <w:tc>
          <w:tcPr>
            <w:tcW w:type="dxa" w:w="34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Effort lissé, imperceptible</w:t>
            </w:r>
          </w:p>
        </w:tc>
      </w:tr>
      <w:tr>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Effort ciblé</w:t>
            </w:r>
          </w:p>
        </w:tc>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D8 à D10</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0,65 à 1,20</w:t>
            </w:r>
          </w:p>
        </w:tc>
        <w:tc>
          <w:tcPr>
            <w:tcW w:type="dxa" w:w="3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Concentration de l'ajustement</w:t>
            </w:r>
          </w:p>
        </w:tc>
      </w:tr>
    </w:tbl>
    <w:p>
      <w:pPr>
        <w:spacing w:after="120" w:before="280"/>
      </w:pPr>
      <w:r>
        <w:rPr>
          <w:rFonts w:ascii="Calibri" w:cs="Calibri" w:eastAsia="Calibri" w:hAnsi="Calibri"/>
          <w:b/>
          <w:bCs/>
          <w:color w:val="1A1A2E"/>
          <w:sz w:val="24"/>
          <w:szCs w:val="24"/>
        </w:rPr>
        <w:t xml:space="preserve">Niveau 3 — Clause de sauvegarde parlementaire</w:t>
      </w:r>
    </w:p>
    <w:p>
      <w:pPr>
        <w:spacing w:after="160" w:before="80" w:line="320"/>
        <w:jc w:val="both"/>
      </w:pPr>
      <w:r>
        <w:rPr>
          <w:rFonts w:ascii="Calibri" w:cs="Calibri" w:eastAsia="Calibri" w:hAnsi="Calibri"/>
          <w:color w:val="1A1A2E"/>
          <w:sz w:val="22"/>
          <w:szCs w:val="22"/>
        </w:rPr>
        <w:t xml:space="preserve">Si l'effort requis conduirait à un ∆τ dépassant le plafond légal annuel, l'algorithme est gelé. Le FRR est mobilisé de façon exceptionnelle. Le Parlement est alerté avec un rapport technique complet. Le Parlement ne peut modifier que les paramètres temporaires de la clause de sauvegarde, pas les constantes légales fondamentales.</w:t>
      </w:r>
    </w:p>
    <w:p>
      <w:pPr>
        <w:spacing w:after="120" w:before="360"/>
      </w:pPr>
      <w:r>
        <w:rPr>
          <w:rFonts w:ascii="Calibri" w:cs="Calibri" w:eastAsia="Calibri" w:hAnsi="Calibri"/>
          <w:b/>
          <w:bCs/>
          <w:color w:val="1B4F8A"/>
          <w:sz w:val="28"/>
          <w:szCs w:val="28"/>
        </w:rPr>
        <w:t xml:space="preserve">2.4 — Le cycle annuel de gouvernance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rPr>
          <w:tblHeader/>
        </w:trPr>
        <w:tc>
          <w:tcPr>
            <w:tcW w:type="dxa" w:w="16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Acteur</w:t>
            </w:r>
          </w:p>
        </w:tc>
        <w:tc>
          <w:tcPr>
            <w:tcW w:type="dxa" w:w="5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30 juin N-1</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COR</w:t>
            </w:r>
          </w:p>
        </w:tc>
        <w:tc>
          <w:tcPr>
            <w:tcW w:type="dxa" w:w="5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Publication des projections de déficit à horizon N+5</w:t>
            </w:r>
          </w:p>
        </w:tc>
      </w:tr>
      <w:tr>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31 juillet N-1</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FRR</w:t>
            </w:r>
          </w:p>
        </w:tc>
        <w:tc>
          <w:tcPr>
            <w:tcW w:type="dxa" w:w="5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Évaluation de la CFРР disponible</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31 août N-1</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CST</w:t>
            </w:r>
          </w:p>
        </w:tc>
        <w:tc>
          <w:tcPr>
            <w:tcW w:type="dxa" w:w="5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Exécution de l'algorithme AC-IPAA</w:t>
            </w:r>
          </w:p>
        </w:tc>
      </w:tr>
      <w:tr>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15 sept. N-1</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INSEE</w:t>
            </w:r>
          </w:p>
        </w:tc>
        <w:tc>
          <w:tcPr>
            <w:tcW w:type="dxa" w:w="5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Fourniture des données de distribution par décile</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20 sept. N-1</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CST → URSSAF</w:t>
            </w:r>
          </w:p>
        </w:tc>
        <w:tc>
          <w:tcPr>
            <w:tcW w:type="dxa" w:w="5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Notification des ∆τi par décile</w:t>
            </w:r>
          </w:p>
        </w:tc>
      </w:tr>
      <w:tr>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30 sept. N-1</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CST</w:t>
            </w:r>
          </w:p>
        </w:tc>
        <w:tc>
          <w:tcPr>
            <w:tcW w:type="dxa" w:w="5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Publication intégrale au Journal Officiel et retraite.gouv.fr</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1er jan. N</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URSSAF</w:t>
            </w:r>
          </w:p>
        </w:tc>
        <w:tc>
          <w:tcPr>
            <w:tcW w:type="dxa" w:w="5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Entrée en vigueur du nouveau taux τi</w:t>
            </w:r>
          </w:p>
        </w:tc>
      </w:tr>
    </w:tbl>
    <w:p>
      <w:pPr>
        <w:spacing w:after="120" w:before="360"/>
      </w:pPr>
      <w:r>
        <w:rPr>
          <w:rFonts w:ascii="Calibri" w:cs="Calibri" w:eastAsia="Calibri" w:hAnsi="Calibri"/>
          <w:b/>
          <w:bCs/>
          <w:color w:val="1B4F8A"/>
          <w:sz w:val="28"/>
          <w:szCs w:val="28"/>
        </w:rPr>
        <w:t xml:space="preserve">2.5 — La surveillance algorithmique en temps réel</w:t>
      </w:r>
    </w:p>
    <w:p>
      <w:pPr>
        <w:spacing w:after="160" w:before="80" w:line="320"/>
        <w:jc w:val="both"/>
      </w:pPr>
      <w:r>
        <w:rPr>
          <w:rFonts w:ascii="Calibri" w:cs="Calibri" w:eastAsia="Calibri" w:hAnsi="Calibri"/>
          <w:color w:val="1A1A2E"/>
          <w:sz w:val="22"/>
          <w:szCs w:val="22"/>
        </w:rPr>
        <w:t xml:space="preserve">Entre deux cycles annuels, le système ne dort pas. Une infrastructure de surveillance monitore en continu l'ensemble des flux et indicateurs : cotisations URSSAF en temps réel, soldes des caisses semaine par semaine, performances des gestionnaires hebdomadairement, indicateurs macroéconomiques, projections COR mises à jour trimestriellement.</w:t>
      </w:r>
    </w:p>
    <w:p>
      <w:pPr>
        <w:pBdr>
          <w:left w:val="single" w:color="1B4F8A" w:sz="12" w:space="8"/>
        </w:pBdr>
        <w:spacing w:after="160" w:before="160" w:line="300"/>
        <w:ind w:left="720" w:right="720"/>
      </w:pPr>
      <w:r>
        <w:rPr>
          <w:rFonts w:ascii="Calibri" w:cs="Calibri" w:eastAsia="Calibri" w:hAnsi="Calibri"/>
          <w:i/>
          <w:iCs/>
          <w:color w:val="444444"/>
          <w:sz w:val="22"/>
          <w:szCs w:val="22"/>
        </w:rPr>
        <w:t xml:space="preserve">Le RPC canadien a été conçu en 1997 avec les outils de son époque — des révisions actuarielles triennales. L'IPAA est conçu en 2025 avec les outils disponibles aujourd'hui. Ce n'est pas une différence de degré. C'est un changement de paradigme : du pilotage par rétroviseur au pilotage prédictif.</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Section 3 — Sources de financement</w:t>
      </w:r>
    </w:p>
    <w:p>
      <w:pPr>
        <w:spacing w:after="120" w:before="360"/>
      </w:pPr>
      <w:r>
        <w:rPr>
          <w:rFonts w:ascii="Calibri" w:cs="Calibri" w:eastAsia="Calibri" w:hAnsi="Calibri"/>
          <w:b/>
          <w:bCs/>
          <w:color w:val="1B4F8A"/>
          <w:sz w:val="28"/>
          <w:szCs w:val="28"/>
        </w:rPr>
        <w:t xml:space="preserve">3.1 — Le principe directeur : diversifier sans déstabiliser</w:t>
      </w:r>
    </w:p>
    <w:p>
      <w:pPr>
        <w:spacing w:after="160" w:before="80" w:line="320"/>
        <w:jc w:val="both"/>
      </w:pPr>
      <w:r>
        <w:rPr>
          <w:rFonts w:ascii="Calibri" w:cs="Calibri" w:eastAsia="Calibri" w:hAnsi="Calibri"/>
          <w:color w:val="1A1A2E"/>
          <w:sz w:val="22"/>
          <w:szCs w:val="22"/>
        </w:rPr>
        <w:t xml:space="preserve">La question du financement des retraites est traditionnellement réduite à un arbitrage binaire : augmenter les cotisations ou réduire les prestations. L'IPAA part d'une hypothèse différente : l'assiette peut être élargie, diversifiée et sécurisée sans augmentation significative de la pression sur le travail ordinaire.</w:t>
      </w:r>
    </w:p>
    <w:p>
      <w:pPr>
        <w:spacing w:after="160" w:before="80" w:line="320"/>
        <w:jc w:val="both"/>
      </w:pPr>
      <w:r>
        <w:rPr>
          <w:rFonts w:ascii="Calibri" w:cs="Calibri" w:eastAsia="Calibri" w:hAnsi="Calibri"/>
          <w:color w:val="1A1A2E"/>
          <w:sz w:val="22"/>
          <w:szCs w:val="22"/>
        </w:rPr>
        <w:t xml:space="preserve">Trois principes directeurs encadrent cette approche : neutralité sur le coût du travail unitaire, progressivité de l'effort, et traçabilité et étanchéité de chaque source vers le système IPAA exclusivement.</w:t>
      </w:r>
    </w:p>
    <w:p>
      <w:pPr>
        <w:spacing w:after="120" w:before="360"/>
      </w:pPr>
      <w:r>
        <w:rPr>
          <w:rFonts w:ascii="Calibri" w:cs="Calibri" w:eastAsia="Calibri" w:hAnsi="Calibri"/>
          <w:b/>
          <w:bCs/>
          <w:color w:val="1B4F8A"/>
          <w:sz w:val="28"/>
          <w:szCs w:val="28"/>
        </w:rPr>
        <w:t xml:space="preserve">3.2 — La réforme de l'assiette existante</w:t>
      </w:r>
    </w:p>
    <w:p>
      <w:pPr>
        <w:spacing w:after="160" w:before="80" w:line="320"/>
        <w:jc w:val="both"/>
      </w:pPr>
      <w:r>
        <w:rPr>
          <w:rFonts w:ascii="Calibri" w:cs="Calibri" w:eastAsia="Calibri" w:hAnsi="Calibri"/>
          <w:color w:val="1A1A2E"/>
          <w:sz w:val="22"/>
          <w:szCs w:val="22"/>
        </w:rPr>
        <w:t xml:space="preserve">Deux dysfonctionnements structurels réduisent aujourd'hui l'efficacité des cotisations actuelles : le contournement par requalification de revenus et les exonérations sans contrepartie traçable.</w:t>
      </w:r>
    </w:p>
    <w:p>
      <w:pPr>
        <w:spacing w:after="160" w:before="80" w:line="320"/>
        <w:jc w:val="both"/>
      </w:pPr>
      <w:r>
        <w:rPr>
          <w:rFonts w:ascii="Calibri" w:cs="Calibri" w:eastAsia="Calibri" w:hAnsi="Calibri"/>
          <w:color w:val="1A1A2E"/>
          <w:sz w:val="22"/>
          <w:szCs w:val="22"/>
        </w:rPr>
        <w:t xml:space="preserve">L'IPAA répond au premier par l'assiette élargie : pour les cotisants des déciles D8 à D10, l'ensemble des formes de rémunération liées à l'activité professionnelle — BSPCE, RSU, stock-options, participation, intéressement — est intégré dans l'assiette de cotisation. La règle look-back sur trois ans empêche les requalifications opportunistes en fin de carrière.</w:t>
      </w:r>
    </w:p>
    <w:p>
      <w:pPr>
        <w:spacing w:after="160" w:before="80" w:line="320"/>
        <w:jc w:val="both"/>
      </w:pPr>
      <w:r>
        <w:rPr>
          <w:rFonts w:ascii="Calibri" w:cs="Calibri" w:eastAsia="Calibri" w:hAnsi="Calibri"/>
          <w:color w:val="1A1A2E"/>
          <w:sz w:val="22"/>
          <w:szCs w:val="22"/>
        </w:rPr>
        <w:t xml:space="preserve">Il répond au second par un mécanisme de contribution différée : toute entreprise bénéficiaire d'exonérations de cotisations retraite verse une fraction de l'économie réalisée — de l'ordre de 15 à 20% — dans un fonds de compensation dédié, alimentant directement le compartiment réserve de lissage du FRR.</w:t>
      </w:r>
    </w:p>
    <w:p>
      <w:pPr>
        <w:spacing w:after="120" w:before="360"/>
      </w:pPr>
      <w:r>
        <w:rPr>
          <w:rFonts w:ascii="Calibri" w:cs="Calibri" w:eastAsia="Calibri" w:hAnsi="Calibri"/>
          <w:b/>
          <w:bCs/>
          <w:color w:val="1B4F8A"/>
          <w:sz w:val="28"/>
          <w:szCs w:val="28"/>
        </w:rPr>
        <w:t xml:space="preserve">3.3 — Les exonérations TPE et startups</w:t>
      </w:r>
    </w:p>
    <w:p>
      <w:pPr>
        <w:spacing w:after="160" w:before="80" w:line="320"/>
        <w:jc w:val="both"/>
      </w:pPr>
      <w:r>
        <w:rPr>
          <w:rFonts w:ascii="Calibri" w:cs="Calibri" w:eastAsia="Calibri" w:hAnsi="Calibri"/>
          <w:color w:val="1A1A2E"/>
          <w:sz w:val="22"/>
          <w:szCs w:val="22"/>
        </w:rPr>
        <w:t xml:space="preserve">Une entreprise de moins de dix salariés créée depuis moins de trois ans peut bénéficier d'une exonération totale ou partielle des cotisations patronales retraite pendant ses trente-six premiers mois d'activité. Les salariés continuent de cotiser normalement et d'accumuler leurs droits. Le manque à gagner est couvert par la péréquation inter-caisses — c'est une avance du système sur la future productivité de l'entreprise.</w:t>
      </w:r>
    </w:p>
    <w:p>
      <w:pPr>
        <w:spacing w:after="160" w:before="80" w:line="320"/>
        <w:jc w:val="both"/>
      </w:pPr>
      <w:r>
        <w:rPr>
          <w:rFonts w:ascii="Calibri" w:cs="Calibri" w:eastAsia="Calibri" w:hAnsi="Calibri"/>
          <w:color w:val="1A1A2E"/>
          <w:sz w:val="22"/>
          <w:szCs w:val="22"/>
        </w:rPr>
        <w:t xml:space="preserve">Trois garde-fous encadrent ce dispositif : plafonnement aux dix premiers salariés, conditionnalité de survie (récupération partielle en cas de liquidation avant cinq ans), et restriction aux créations réelles.</w:t>
      </w:r>
    </w:p>
    <w:p>
      <w:pPr>
        <w:spacing w:after="120" w:before="360"/>
      </w:pPr>
      <w:r>
        <w:rPr>
          <w:rFonts w:ascii="Calibri" w:cs="Calibri" w:eastAsia="Calibri" w:hAnsi="Calibri"/>
          <w:b/>
          <w:bCs/>
          <w:color w:val="1B4F8A"/>
          <w:sz w:val="28"/>
          <w:szCs w:val="28"/>
        </w:rPr>
        <w:t xml:space="preserve">3.4 — La cotisation sur la valeur ajoutée numérique</w:t>
      </w:r>
    </w:p>
    <w:p>
      <w:pPr>
        <w:spacing w:after="160" w:before="80" w:line="320"/>
        <w:jc w:val="both"/>
      </w:pPr>
      <w:r>
        <w:rPr>
          <w:rFonts w:ascii="Calibri" w:cs="Calibri" w:eastAsia="Calibri" w:hAnsi="Calibri"/>
          <w:color w:val="1A1A2E"/>
          <w:sz w:val="22"/>
          <w:szCs w:val="22"/>
        </w:rPr>
        <w:t xml:space="preserve">Les plateformes de mise en relation réalisant un chiffre d'affaires supérieur à un seuil défini sur le territoire français versent une contribution de l'ordre de 1 à 1,5% de ce chiffre d'affaires, affectée exclusivement aux régimes de retraite des travailleurs indépendants et auto-entrepreneurs qui utilisent leurs services.</w:t>
      </w:r>
    </w:p>
    <w:p>
      <w:pPr>
        <w:spacing w:after="120" w:before="360"/>
      </w:pPr>
      <w:r>
        <w:rPr>
          <w:rFonts w:ascii="Calibri" w:cs="Calibri" w:eastAsia="Calibri" w:hAnsi="Calibri"/>
          <w:b/>
          <w:bCs/>
          <w:color w:val="1B4F8A"/>
          <w:sz w:val="28"/>
          <w:szCs w:val="28"/>
        </w:rPr>
        <w:t xml:space="preserve">3.5 — La cotisation sur les revenus du capital en phase active</w:t>
      </w:r>
    </w:p>
    <w:p>
      <w:pPr>
        <w:spacing w:after="160" w:before="80" w:line="320"/>
        <w:jc w:val="both"/>
      </w:pPr>
      <w:r>
        <w:rPr>
          <w:rFonts w:ascii="Calibri" w:cs="Calibri" w:eastAsia="Calibri" w:hAnsi="Calibri"/>
          <w:color w:val="1A1A2E"/>
          <w:sz w:val="22"/>
          <w:szCs w:val="22"/>
        </w:rPr>
        <w:t xml:space="preserve">Une cotisation spécifique de solidarité retraite de l'ordre de 0,5 à 1% est appliquée aux revenus de placement des personnes en activité dont les encours dépassent un seuil significatif. Son produit est affecté exclusivement au compartiment capital de croissance du FRR.</w:t>
      </w:r>
    </w:p>
    <w:p>
      <w:pPr>
        <w:spacing w:after="120" w:before="360"/>
      </w:pPr>
      <w:r>
        <w:rPr>
          <w:rFonts w:ascii="Calibri" w:cs="Calibri" w:eastAsia="Calibri" w:hAnsi="Calibri"/>
          <w:b/>
          <w:bCs/>
          <w:color w:val="1B4F8A"/>
          <w:sz w:val="28"/>
          <w:szCs w:val="28"/>
        </w:rPr>
        <w:t xml:space="preserve">3.6 — La trajectoire de recapitalisation du FRR : hypothèses révisées à la baisse</w:t>
      </w:r>
    </w:p>
    <w:p>
      <w:pPr>
        <w:spacing w:after="160" w:before="80" w:line="320"/>
        <w:jc w:val="both"/>
      </w:pPr>
      <w:r>
        <w:rPr>
          <w:rFonts w:ascii="Calibri" w:cs="Calibri" w:eastAsia="Calibri" w:hAnsi="Calibri"/>
          <w:color w:val="1A1A2E"/>
          <w:sz w:val="22"/>
          <w:szCs w:val="22"/>
        </w:rPr>
        <w:t xml:space="preserve">La version précédente de ce document retenait un rendement central de 7,5% annualisé pour le compartiment capital de croissance du FRR. Cette hypothèse a été critiquée à juste titre : elle est ambitieuse pour un fonds public soumis à des contraintes prudentielles françaises, et reproduire les performances d'Investissements RPC (9,1% sur 10 ans) n'est pas automatique. Le RPC bénéficie d'une liberté d'investissement — private equity mondial, infrastructures, immobilier international — que le FRR réformé n'aura probablement pas d'emblée.</w:t>
      </w:r>
    </w:p>
    <w:p>
      <w:pPr>
        <w:spacing w:after="160" w:before="80" w:line="320"/>
        <w:jc w:val="both"/>
      </w:pPr>
      <w:r>
        <w:rPr>
          <w:rFonts w:ascii="Calibri" w:cs="Calibri" w:eastAsia="Calibri" w:hAnsi="Calibri"/>
          <w:color w:val="1A1A2E"/>
          <w:sz w:val="22"/>
          <w:szCs w:val="22"/>
        </w:rPr>
        <w:t xml:space="preserve">Les hypothèses de rendement sont donc révisées. Le scénario central retient désormais 5% annualisé — cohérent avec les performances historiques du FRR français et les contraintes d'un fonds public souverain. Le scénario à 7,5% est repositionné comme scénario optimiste, conditionnel à une réforme de gouvernance permettant une diversification progressive vers des actifs plus dynamiques sur le modèle canadien. Le scénario à 9% est abandonné comme hypothèse de projection.</w:t>
      </w:r>
    </w:p>
    <w:p>
      <w:pPr>
        <w:spacing w:after="160" w:before="80" w:line="320"/>
        <w:jc w:val="both"/>
      </w:pPr>
      <w:r>
        <w:rPr>
          <w:rFonts w:ascii="Calibri" w:cs="Calibri" w:eastAsia="Calibri" w:hAnsi="Calibri"/>
          <w:color w:val="1A1A2E"/>
          <w:sz w:val="22"/>
          <w:szCs w:val="22"/>
        </w:rPr>
        <w:t xml:space="preserve">La règle fondamentale de gestion reste inchangée : on ne place jamais le capital de base, on place uniquement les excédents et les rendements. Si le rendement est décevant une ou plusieurs années, le système s'ajuste via les autres niveaux — c'est précisément le rôle de l'architecture à quatre niveaux.</w:t>
      </w:r>
    </w:p>
    <w:p>
      <w:pPr>
        <w:spacing w:after="120" w:before="12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200"/>
      </w:tblGrid>
      <w:tr>
        <w:trPr>
          <w:tblHeader/>
        </w:trPr>
        <w:tc>
          <w:tcPr>
            <w:tcW w:type="dxa" w:w="16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Année</w:t>
            </w:r>
          </w:p>
        </w:tc>
        <w:tc>
          <w:tcPr>
            <w:tcW w:type="dxa" w:w="19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bas 3,5%</w:t>
            </w:r>
          </w:p>
        </w:tc>
        <w:tc>
          <w:tcPr>
            <w:tcW w:type="dxa" w:w="19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central 5%</w:t>
            </w:r>
          </w:p>
        </w:tc>
        <w:tc>
          <w:tcPr>
            <w:tcW w:type="dxa" w:w="2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optimiste 7,5%</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 (2025)</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26,2 Md€</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26,2 Md€</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26,2 Md€</w:t>
            </w:r>
          </w:p>
        </w:tc>
      </w:tr>
      <w:tr>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N+5</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33 Md€</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36 Md€</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40 Md€</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N+10</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42 Md€</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49 Md€</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60 Md€</w:t>
            </w:r>
          </w:p>
        </w:tc>
      </w:tr>
      <w:tr>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N+20</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67 Md€</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91 Md€</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135 Md€</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N+28</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92 Md€</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138 Md€</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220 Md€</w:t>
            </w:r>
          </w:p>
        </w:tc>
      </w:tr>
    </w:tbl>
    <w:p>
      <w:pPr>
        <w:shd w:fill="EEF2F7" w:val="clear"/>
        <w:spacing w:after="80" w:before="80" w:line="280"/>
        <w:ind w:left="360" w:right="360"/>
      </w:pPr>
      <w:r>
        <w:rPr>
          <w:rFonts w:ascii="Calibri" w:cs="Calibri" w:eastAsia="Calibri" w:hAnsi="Calibri"/>
          <w:i/>
          <w:iCs/>
          <w:color w:val="555555"/>
          <w:sz w:val="20"/>
          <w:szCs w:val="20"/>
        </w:rPr>
        <w:t xml:space="preserve">Révision V2 : le scénario central passe de 7,5% à 5% pour refléter les contraintes prudentielles d'un fonds public français. Le scénario à 7,5% est conditionnel à une réforme de gouvernance permettant une diversification vers des actifs internationaux. Ces projections intègrent les flux entrants des nouvelles assiettes (Section 3.3 à 3.5) estimés à 2,9-5 Md€/an selon les scénarios.</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Section 4 — Projections et simulations</w:t>
      </w:r>
    </w:p>
    <w:p>
      <w:pPr>
        <w:spacing w:after="120" w:before="360"/>
      </w:pPr>
      <w:r>
        <w:rPr>
          <w:rFonts w:ascii="Calibri" w:cs="Calibri" w:eastAsia="Calibri" w:hAnsi="Calibri"/>
          <w:b/>
          <w:bCs/>
          <w:color w:val="1B4F8A"/>
          <w:sz w:val="28"/>
          <w:szCs w:val="28"/>
        </w:rPr>
        <w:t xml:space="preserve">4.1 — Avertissement méthodologique renforcé</w:t>
      </w:r>
    </w:p>
    <w:p>
      <w:pPr>
        <w:spacing w:after="160" w:before="80" w:line="320"/>
        <w:jc w:val="both"/>
      </w:pPr>
      <w:r>
        <w:rPr>
          <w:rFonts w:ascii="Calibri" w:cs="Calibri" w:eastAsia="Calibri" w:hAnsi="Calibri"/>
          <w:color w:val="1A1A2E"/>
          <w:sz w:val="22"/>
          <w:szCs w:val="22"/>
        </w:rPr>
        <w:t xml:space="preserve">Ce working paper revendique une reproductibilité totale. Il est honnête d'admettre que cette reproductibilité est à ce stade partielle — et d'en préciser les limites.</w:t>
      </w:r>
    </w:p>
    <w:p>
      <w:pPr>
        <w:spacing w:after="160" w:before="80" w:line="320"/>
        <w:jc w:val="both"/>
      </w:pPr>
      <w:r>
        <w:rPr>
          <w:rFonts w:ascii="Calibri" w:cs="Calibri" w:eastAsia="Calibri" w:hAnsi="Calibri"/>
          <w:color w:val="1A1A2E"/>
          <w:sz w:val="22"/>
          <w:szCs w:val="22"/>
        </w:rPr>
        <w:t xml:space="preserve">Ce qui est reproductible dès maintenant : les formules de calcul (EReq, ∆τ, ∆τi), les hypothèses démographiques et économiques tirées des sources COR et INSEE citées, les tableaux de simulation par décile. Un économiste peut appliquer ces formules aux mêmes données sources et obtenir les mêmes ordres de grandeur.</w:t>
      </w:r>
    </w:p>
    <w:p>
      <w:pPr>
        <w:spacing w:after="160" w:before="80" w:line="320"/>
        <w:jc w:val="both"/>
      </w:pPr>
      <w:r>
        <w:rPr>
          <w:rFonts w:ascii="Calibri" w:cs="Calibri" w:eastAsia="Calibri" w:hAnsi="Calibri"/>
          <w:color w:val="1A1A2E"/>
          <w:sz w:val="22"/>
          <w:szCs w:val="22"/>
        </w:rPr>
        <w:t xml:space="preserve">Ce qui manque pour une reproductibilité complète : un modèle actuariel détaillé caisse par caisse, les équations de transition entre niveaux (quand exactement le niveau 0 déclenche le niveau 1), et un code de calcul ouvert permettant de modifier les hypothèses et de voir les résultats changer en temps réel. Ces éléments constituent le travail principal de la CETP. Ce working paper est le cadre conceptuel — pas le modèle opérationnel.</w:t>
      </w:r>
    </w:p>
    <w:p>
      <w:pPr>
        <w:shd w:fill="EEF2F7" w:val="clear"/>
        <w:spacing w:after="80" w:before="80" w:line="280"/>
        <w:ind w:left="360" w:right="360"/>
      </w:pPr>
      <w:r>
        <w:rPr>
          <w:rFonts w:ascii="Calibri" w:cs="Calibri" w:eastAsia="Calibri" w:hAnsi="Calibri"/>
          <w:i/>
          <w:iCs/>
          <w:color w:val="555555"/>
          <w:sz w:val="20"/>
          <w:szCs w:val="20"/>
        </w:rPr>
        <w:t xml:space="preserve">Engagement : si ce document obtient un examen sérieux d'un think tank ou d'une institution académique, Cabin Skolar s'engage à publier un tableur Excel structuré avec l'ensemble des formules et hypothèses ouvertes. C'est la condition d'une reproductibilité réelle.</w:t>
      </w:r>
    </w:p>
    <w:p>
      <w:pPr>
        <w:spacing w:after="120" w:before="360"/>
      </w:pPr>
      <w:r>
        <w:rPr>
          <w:rFonts w:ascii="Calibri" w:cs="Calibri" w:eastAsia="Calibri" w:hAnsi="Calibri"/>
          <w:b/>
          <w:bCs/>
          <w:color w:val="1B4F8A"/>
          <w:sz w:val="28"/>
          <w:szCs w:val="28"/>
        </w:rPr>
        <w:t xml:space="preserve">4.2 — Hypothèses démographiques — déclin comme référence, pas comme exception</w:t>
      </w:r>
    </w:p>
    <w:p>
      <w:pPr>
        <w:spacing w:after="160" w:before="80" w:line="320"/>
        <w:jc w:val="both"/>
      </w:pPr>
      <w:r>
        <w:rPr>
          <w:rFonts w:ascii="Calibri" w:cs="Calibri" w:eastAsia="Calibri" w:hAnsi="Calibri"/>
          <w:color w:val="1A1A2E"/>
          <w:sz w:val="22"/>
          <w:szCs w:val="22"/>
        </w:rPr>
        <w:t xml:space="preserve">Conformément à la correction apportée en Section 1.3, le déclin démographique est traité ici comme le scénario de référence. Le scénario central correspond au scénario B du COR, le scénario dégradé au scénario C. Le ratio actifs/retraités continue de se dégrader dans les deux cas.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tblGrid>
      <w:tr>
        <w:trPr>
          <w:tblHeader/>
        </w:trPr>
        <w:tc>
          <w:tcPr>
            <w:tcW w:type="dxa" w:w="2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Paramètre</w:t>
            </w:r>
          </w:p>
        </w:tc>
        <w:tc>
          <w:tcPr>
            <w:tcW w:type="dxa" w:w="17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dégradé</w:t>
            </w:r>
          </w:p>
        </w:tc>
        <w:tc>
          <w:tcPr>
            <w:tcW w:type="dxa" w:w="17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central</w:t>
            </w:r>
          </w:p>
        </w:tc>
        <w:tc>
          <w:tcPr>
            <w:tcW w:type="dxa" w:w="17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haut</w:t>
            </w:r>
          </w:p>
        </w:tc>
      </w:tr>
      <w:tr>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Fécondité 2025</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1,60</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1,80</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2,00</w:t>
            </w:r>
          </w:p>
        </w:tc>
      </w:tr>
      <w:tr>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Fécondité 2040</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1,55</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1,80</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2,05</w:t>
            </w:r>
          </w:p>
        </w:tc>
      </w:tr>
      <w:tr>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Espérance de vie H 2040</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85,2 ans</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84,5 ans</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83,8 ans</w:t>
            </w:r>
          </w:p>
        </w:tc>
      </w:tr>
      <w:tr>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Ratio actifs/retraités 2030</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1,55</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1,65</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1,75</w:t>
            </w:r>
          </w:p>
        </w:tc>
      </w:tr>
      <w:tr>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Ratio actifs/retraités 2040</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1,35</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1,50</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1,65</w:t>
            </w:r>
          </w:p>
        </w:tc>
      </w:tr>
      <w:tr>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Ratio actifs/retraités 2050</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1,25</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1,40</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1,55</w:t>
            </w:r>
          </w:p>
        </w:tc>
      </w:tr>
    </w:tbl>
    <w:p>
      <w:pPr>
        <w:shd w:fill="EEF2F7" w:val="clear"/>
        <w:spacing w:after="80" w:before="80" w:line="280"/>
        <w:ind w:left="360" w:right="360"/>
      </w:pPr>
      <w:r>
        <w:rPr>
          <w:rFonts w:ascii="Calibri" w:cs="Calibri" w:eastAsia="Calibri" w:hAnsi="Calibri"/>
          <w:i/>
          <w:iCs/>
          <w:color w:val="555555"/>
          <w:sz w:val="20"/>
          <w:szCs w:val="20"/>
        </w:rPr>
        <w:t xml:space="preserve">Le scénario haut ne suppose pas une reprise démographique liée à l'IPAA — il correspond simplement aux projections hautes INSEE indépendantes de toute réforme des retraites.</w:t>
      </w:r>
    </w:p>
    <w:p>
      <w:pPr>
        <w:spacing w:after="120" w:before="360"/>
      </w:pPr>
      <w:r>
        <w:rPr>
          <w:rFonts w:ascii="Calibri" w:cs="Calibri" w:eastAsia="Calibri" w:hAnsi="Calibri"/>
          <w:b/>
          <w:bCs/>
          <w:color w:val="1B4F8A"/>
          <w:sz w:val="28"/>
          <w:szCs w:val="28"/>
        </w:rPr>
        <w:t xml:space="preserve">4.3 — Hypothèses économiques — rendement FRR révisé</w:t>
      </w:r>
    </w:p>
    <w:p>
      <w:pPr>
        <w:spacing w:after="160" w:before="80" w:line="320"/>
        <w:jc w:val="both"/>
      </w:pPr>
      <w:r>
        <w:rPr>
          <w:rFonts w:ascii="Calibri" w:cs="Calibri" w:eastAsia="Calibri" w:hAnsi="Calibri"/>
          <w:color w:val="1A1A2E"/>
          <w:sz w:val="22"/>
          <w:szCs w:val="22"/>
        </w:rPr>
        <w:t xml:space="preserve">Conformément à la correction apportée en Section 3.6, le rendement central du FRR est révisé de 7,5% à 5%. Le scénario à 7,5% est conditionnel à une réforme de gouvernance permettant une diversification internationale sur le modèle canadien.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tblGrid>
      <w:tr>
        <w:trPr>
          <w:tblHeader/>
        </w:trPr>
        <w:tc>
          <w:tcPr>
            <w:tcW w:type="dxa" w:w="2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Paramètre</w:t>
            </w:r>
          </w:p>
        </w:tc>
        <w:tc>
          <w:tcPr>
            <w:tcW w:type="dxa" w:w="17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dégradé</w:t>
            </w:r>
          </w:p>
        </w:tc>
        <w:tc>
          <w:tcPr>
            <w:tcW w:type="dxa" w:w="17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central</w:t>
            </w:r>
          </w:p>
        </w:tc>
        <w:tc>
          <w:tcPr>
            <w:tcW w:type="dxa" w:w="17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optimiste</w:t>
            </w:r>
          </w:p>
        </w:tc>
      </w:tr>
      <w:tr>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Croissance PIB réel 2025-2035</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0,7%</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1,3%</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1,8%</w:t>
            </w:r>
          </w:p>
        </w:tc>
      </w:tr>
      <w:tr>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Croissance masse salariale nominale</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1,2%</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2,5%</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3,5%</w:t>
            </w:r>
          </w:p>
        </w:tc>
      </w:tr>
      <w:tr>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Taux de chômage structurel</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9,5%</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7,5%</w:t>
            </w:r>
          </w:p>
        </w:tc>
        <w:tc>
          <w:tcPr>
            <w:tcW w:type="dxa" w:w="1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6,0%</w:t>
            </w:r>
          </w:p>
        </w:tc>
      </w:tr>
      <w:tr>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Rendement FRR annualisé (révisé V2)</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3,5%</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5,0%</w:t>
            </w:r>
          </w:p>
        </w:tc>
        <w:tc>
          <w:tcPr>
            <w:tcW w:type="dxa" w:w="1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7,5%</w:t>
            </w:r>
          </w:p>
        </w:tc>
      </w:tr>
    </w:tbl>
    <w:p>
      <w:pPr>
        <w:spacing w:after="120" w:before="360"/>
      </w:pPr>
      <w:r>
        <w:rPr>
          <w:rFonts w:ascii="Calibri" w:cs="Calibri" w:eastAsia="Calibri" w:hAnsi="Calibri"/>
          <w:b/>
          <w:bCs/>
          <w:color w:val="1B4F8A"/>
          <w:sz w:val="28"/>
          <w:szCs w:val="28"/>
        </w:rPr>
        <w:t xml:space="preserve">4.4 — Projection du déficit structurel sans IPAA</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tblGrid>
      <w:tr>
        <w:trPr>
          <w:tblHeader/>
        </w:trPr>
        <w:tc>
          <w:tcPr>
            <w:tcW w:type="dxa" w:w="16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Année</w:t>
            </w:r>
          </w:p>
        </w:tc>
        <w:tc>
          <w:tcPr>
            <w:tcW w:type="dxa" w:w="19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dégradé</w:t>
            </w:r>
          </w:p>
        </w:tc>
        <w:tc>
          <w:tcPr>
            <w:tcW w:type="dxa" w:w="19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central</w:t>
            </w:r>
          </w:p>
        </w:tc>
        <w:tc>
          <w:tcPr>
            <w:tcW w:type="dxa" w:w="19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Scénario favorable</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2025</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14,5 Md€</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14,5 Md€</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14,5 Md€</w:t>
            </w:r>
          </w:p>
        </w:tc>
      </w:tr>
      <w:tr>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2030</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22,5 Md€</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18,3 Md€</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13,8 Md€</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2035</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29,8 Md€</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22,1 Md€</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14,2 Md€</w:t>
            </w:r>
          </w:p>
        </w:tc>
      </w:tr>
      <w:tr>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2040</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38,4 Md€</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26,7 Md€</w:t>
            </w:r>
          </w:p>
        </w:tc>
        <w:tc>
          <w:tcPr>
            <w:tcW w:type="dxa" w:w="1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15,1 Md€</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2050</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52,1 Md€</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33,4 Md€</w:t>
            </w:r>
          </w:p>
        </w:tc>
        <w:tc>
          <w:tcPr>
            <w:tcW w:type="dxa" w:w="1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16,8 Md€</w:t>
            </w:r>
          </w:p>
        </w:tc>
      </w:tr>
    </w:tbl>
    <w:p>
      <w:pPr>
        <w:spacing w:after="120" w:before="360"/>
      </w:pPr>
      <w:r>
        <w:rPr>
          <w:rFonts w:ascii="Calibri" w:cs="Calibri" w:eastAsia="Calibri" w:hAnsi="Calibri"/>
          <w:b/>
          <w:bCs/>
          <w:color w:val="1B4F8A"/>
          <w:sz w:val="28"/>
          <w:szCs w:val="28"/>
        </w:rPr>
        <w:t xml:space="preserve">4.5 — Simulation de l'impact par décile</w:t>
      </w:r>
    </w:p>
    <w:p>
      <w:pPr>
        <w:spacing w:after="160" w:before="80" w:line="320"/>
        <w:jc w:val="both"/>
      </w:pPr>
      <w:r>
        <w:rPr>
          <w:rFonts w:ascii="Calibri" w:cs="Calibri" w:eastAsia="Calibri" w:hAnsi="Calibri"/>
          <w:color w:val="1A1A2E"/>
          <w:sz w:val="22"/>
          <w:szCs w:val="22"/>
        </w:rPr>
        <w:t xml:space="preserve">Simulation sur la base d'un ∆τ de 0,5 point — scénario d'ajustement modéré en phase 2 :</w:t>
      </w:r>
    </w:p>
    <w:p>
      <w:pPr>
        <w:spacing w:after="120" w:before="12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400"/>
        <w:gridCol w:w="1500"/>
        <w:gridCol w:w="1400"/>
      </w:tblGrid>
      <w:tr>
        <w:trPr>
          <w:tblHeader/>
        </w:trPr>
        <w:tc>
          <w:tcPr>
            <w:tcW w:type="dxa" w:w="9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Décile</w:t>
            </w:r>
          </w:p>
        </w:tc>
        <w:tc>
          <w:tcPr>
            <w:tcW w:type="dxa" w:w="1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Revenu net médian</w:t>
            </w:r>
          </w:p>
        </w:tc>
        <w:tc>
          <w:tcPr>
            <w:tcW w:type="dxa" w:w="14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βi indicatif</w:t>
            </w:r>
          </w:p>
        </w:tc>
        <w:tc>
          <w:tcPr>
            <w:tcW w:type="dxa" w:w="1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Impact mensuel</w:t>
            </w:r>
          </w:p>
        </w:tc>
        <w:tc>
          <w:tcPr>
            <w:tcW w:type="dxa" w:w="14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Impact annuel</w:t>
            </w:r>
          </w:p>
        </w:tc>
      </w:tr>
      <w:tr>
        <w:tc>
          <w:tcPr>
            <w:tcW w:type="dxa" w:w="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D1-D4</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&lt; 1 800€</w:t>
            </w:r>
          </w:p>
        </w:tc>
        <w:tc>
          <w:tcPr>
            <w:tcW w:type="dxa" w:w="1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0</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0 €</w:t>
            </w:r>
          </w:p>
        </w:tc>
        <w:tc>
          <w:tcPr>
            <w:tcW w:type="dxa" w:w="1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0 €</w:t>
            </w:r>
          </w:p>
        </w:tc>
      </w:tr>
      <w:tr>
        <w:tc>
          <w:tcPr>
            <w:tcW w:type="dxa" w:w="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D5</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1 800 — 2 200€</w:t>
            </w:r>
          </w:p>
        </w:tc>
        <w:tc>
          <w:tcPr>
            <w:tcW w:type="dxa" w:w="14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0,15</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 — 5 €</w:t>
            </w:r>
          </w:p>
        </w:tc>
        <w:tc>
          <w:tcPr>
            <w:tcW w:type="dxa" w:w="14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36 — 60 €</w:t>
            </w:r>
          </w:p>
        </w:tc>
      </w:tr>
      <w:tr>
        <w:tc>
          <w:tcPr>
            <w:tcW w:type="dxa" w:w="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D6</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2 200 — 2 800€</w:t>
            </w:r>
          </w:p>
        </w:tc>
        <w:tc>
          <w:tcPr>
            <w:tcW w:type="dxa" w:w="1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0,25</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5 — 7 €</w:t>
            </w:r>
          </w:p>
        </w:tc>
        <w:tc>
          <w:tcPr>
            <w:tcW w:type="dxa" w:w="1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60 — 84 €</w:t>
            </w:r>
          </w:p>
        </w:tc>
      </w:tr>
      <w:tr>
        <w:tc>
          <w:tcPr>
            <w:tcW w:type="dxa" w:w="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D7</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2 800 — 3 500€</w:t>
            </w:r>
          </w:p>
        </w:tc>
        <w:tc>
          <w:tcPr>
            <w:tcW w:type="dxa" w:w="14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0,40</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11 — 14 €</w:t>
            </w:r>
          </w:p>
        </w:tc>
        <w:tc>
          <w:tcPr>
            <w:tcW w:type="dxa" w:w="14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132 — 168 €</w:t>
            </w:r>
          </w:p>
        </w:tc>
      </w:tr>
      <w:tr>
        <w:tc>
          <w:tcPr>
            <w:tcW w:type="dxa" w:w="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D8</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3 500 — 5 000€</w:t>
            </w:r>
          </w:p>
        </w:tc>
        <w:tc>
          <w:tcPr>
            <w:tcW w:type="dxa" w:w="1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0,65</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18 — 26 €</w:t>
            </w:r>
          </w:p>
        </w:tc>
        <w:tc>
          <w:tcPr>
            <w:tcW w:type="dxa" w:w="1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216 — 312 €</w:t>
            </w:r>
          </w:p>
        </w:tc>
      </w:tr>
      <w:tr>
        <w:tc>
          <w:tcPr>
            <w:tcW w:type="dxa" w:w="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D9</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5 000 — 8 000€</w:t>
            </w:r>
          </w:p>
        </w:tc>
        <w:tc>
          <w:tcPr>
            <w:tcW w:type="dxa" w:w="14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0,85</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34 — 54 €</w:t>
            </w:r>
          </w:p>
        </w:tc>
        <w:tc>
          <w:tcPr>
            <w:tcW w:type="dxa" w:w="14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408 — 648 €</w:t>
            </w:r>
          </w:p>
        </w:tc>
      </w:tr>
      <w:tr>
        <w:tc>
          <w:tcPr>
            <w:tcW w:type="dxa" w:w="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D10</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&gt; 8 000€</w:t>
            </w:r>
          </w:p>
        </w:tc>
        <w:tc>
          <w:tcPr>
            <w:tcW w:type="dxa" w:w="1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1,20</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80 €+</w:t>
            </w:r>
          </w:p>
        </w:tc>
        <w:tc>
          <w:tcPr>
            <w:tcW w:type="dxa" w:w="14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960 €+</w:t>
            </w:r>
          </w:p>
        </w:tc>
      </w:tr>
    </w:tbl>
    <w:p>
      <w:pPr>
        <w:shd w:fill="EEF2F7" w:val="clear"/>
        <w:spacing w:after="80" w:before="80" w:line="280"/>
        <w:ind w:left="360" w:right="360"/>
      </w:pPr>
      <w:r>
        <w:rPr>
          <w:rFonts w:ascii="Calibri" w:cs="Calibri" w:eastAsia="Calibri" w:hAnsi="Calibri"/>
          <w:i/>
          <w:iCs/>
          <w:color w:val="555555"/>
          <w:sz w:val="20"/>
          <w:szCs w:val="20"/>
        </w:rPr>
        <w:t xml:space="preserve">Pour D5 à D7 (30% de la population active), l'impact mensuel est de 4 à 14€ — l'ordre de grandeur d'un abonnement de streaming. Ces montants ne modifient pas les comportements de consommation.</w:t>
      </w:r>
    </w:p>
    <w:p>
      <w:pPr>
        <w:spacing w:after="120" w:before="360"/>
      </w:pPr>
      <w:r>
        <w:rPr>
          <w:rFonts w:ascii="Calibri" w:cs="Calibri" w:eastAsia="Calibri" w:hAnsi="Calibri"/>
          <w:b/>
          <w:bCs/>
          <w:color w:val="1B4F8A"/>
          <w:sz w:val="28"/>
          <w:szCs w:val="28"/>
        </w:rPr>
        <w:t xml:space="preserve">4.6 — Scénario de boucle vertueuse — borne haute spéculative</w:t>
      </w:r>
    </w:p>
    <w:p>
      <w:pPr>
        <w:spacing w:after="160" w:before="80" w:line="320"/>
        <w:jc w:val="both"/>
      </w:pPr>
      <w:r>
        <w:rPr>
          <w:rFonts w:ascii="Calibri" w:cs="Calibri" w:eastAsia="Calibri" w:hAnsi="Calibri"/>
          <w:color w:val="1A1A2E"/>
          <w:sz w:val="22"/>
          <w:szCs w:val="22"/>
        </w:rPr>
        <w:t xml:space="preserve">Ce scénario est présenté séparément et clairement balisé comme spéculatif. Il ne fait pas partie du scénario central. L'IPAA ne dépend pas de sa réalisation pour fonctionner.</w:t>
      </w:r>
    </w:p>
    <w:p>
      <w:pPr>
        <w:spacing w:after="160" w:before="80" w:line="320"/>
        <w:jc w:val="both"/>
      </w:pPr>
      <w:r>
        <w:rPr>
          <w:rFonts w:ascii="Calibri" w:cs="Calibri" w:eastAsia="Calibri" w:hAnsi="Calibri"/>
          <w:color w:val="1A1A2E"/>
          <w:sz w:val="22"/>
          <w:szCs w:val="22"/>
        </w:rPr>
        <w:t xml:space="preserve">Il intègre trois effets de second ordre dont la réalisation est plausible mais non démontrée : réduction de la sur-épargne précautionnelle des ménages de 45-60 ans (supplément de consommation estimé à 8-18 milliards d'euros selon des études comportementales sur des réformes comparables), amélioration de la prévisibilité pour les entreprises (impact de 0,2 à 0,4 point de croissance selon les modèles sur les stabilisateurs automatiques), et remontée partielle de la fécondité à horizon 10-15 ans si la corrélation documentée entre sécurité économique et natalité se confirme.</w:t>
      </w:r>
    </w:p>
    <w:p>
      <w:pPr>
        <w:spacing w:after="160" w:before="80" w:line="320"/>
        <w:jc w:val="both"/>
      </w:pPr>
      <w:r>
        <w:rPr>
          <w:rFonts w:ascii="Calibri" w:cs="Calibri" w:eastAsia="Calibri" w:hAnsi="Calibri"/>
          <w:color w:val="1A1A2E"/>
          <w:sz w:val="22"/>
          <w:szCs w:val="22"/>
        </w:rPr>
        <w:t xml:space="preserve">La prudence s'impose : ces trois effets pourraient ne pas se matérialiser, se matérialiser partiellement, ou se matérialiser mais être compensés par d'autres facteurs négatifs non modélisés. Dans tous ces cas, l'IPAA fonctionne quand même — simplement sur la trajectoire centrale, pas sur la trajectoire haute.</w:t>
      </w:r>
    </w:p>
    <w:p>
      <w:pPr>
        <w:shd w:fill="EEF2F7" w:val="clear"/>
        <w:spacing w:after="80" w:before="80" w:line="280"/>
        <w:ind w:left="360" w:right="360"/>
      </w:pPr>
      <w:r>
        <w:rPr>
          <w:rFonts w:ascii="Calibri" w:cs="Calibri" w:eastAsia="Calibri" w:hAnsi="Calibri"/>
          <w:i/>
          <w:iCs/>
          <w:color w:val="555555"/>
          <w:sz w:val="20"/>
          <w:szCs w:val="20"/>
        </w:rPr>
        <w:t xml:space="preserve">Balisage V2 : ce scénario est une borne haute conditionnelle. Il est présenté pour montrer le potentiel de l'IPAA si les effets indirects se concrétisent — pas pour justifier le mécanisme dont la viabilité est démontrée indépendamment de ce scénario.</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Section 5 — Implications économiques et sociales</w:t>
      </w:r>
    </w:p>
    <w:p>
      <w:pPr>
        <w:spacing w:after="120" w:before="360"/>
      </w:pPr>
      <w:r>
        <w:rPr>
          <w:rFonts w:ascii="Calibri" w:cs="Calibri" w:eastAsia="Calibri" w:hAnsi="Calibri"/>
          <w:b/>
          <w:bCs/>
          <w:color w:val="1B4F8A"/>
          <w:sz w:val="28"/>
          <w:szCs w:val="28"/>
        </w:rPr>
        <w:t xml:space="preserve">5.1 — L'impact sur le coût du travail : neutralité comme principe de conception</w:t>
      </w:r>
    </w:p>
    <w:p>
      <w:pPr>
        <w:spacing w:after="160" w:before="80" w:line="320"/>
        <w:jc w:val="both"/>
      </w:pPr>
      <w:r>
        <w:rPr>
          <w:rFonts w:ascii="Calibri" w:cs="Calibri" w:eastAsia="Calibri" w:hAnsi="Calibri"/>
          <w:color w:val="1A1A2E"/>
          <w:sz w:val="22"/>
          <w:szCs w:val="22"/>
        </w:rPr>
        <w:t xml:space="preserve">Le coût du travail qui détermine les décisions d'embauche est le coût d'un emploi supplémentaire — typiquement au salaire médian ou en dessous. Or les déciles D1 à D6, qui couvrent l'essentiel de ces emplois, sont soit intégralement protégés soit soumis à des ajustements de quelques euros par mois. L'impact sur le coût du travail unitaire moyen est marginal — de l'ordre de 0,1 à 0,2% dans le scénario d'ajustement modéré.</w:t>
      </w:r>
    </w:p>
    <w:p>
      <w:pPr>
        <w:spacing w:after="160" w:before="80" w:line="320"/>
        <w:jc w:val="both"/>
      </w:pPr>
      <w:r>
        <w:rPr>
          <w:rFonts w:ascii="Calibri" w:cs="Calibri" w:eastAsia="Calibri" w:hAnsi="Calibri"/>
          <w:color w:val="1A1A2E"/>
          <w:sz w:val="22"/>
          <w:szCs w:val="22"/>
        </w:rPr>
        <w:t xml:space="preserve">De plus, les études sur les comportements d'investissement montrent que la prévisibilité des charges est un déterminant plus important que leur niveau absolu. L'IPAA produit précisément cette prévisibilité : dès l'adoption de la loi, les entreprises disposent de la trajectoire complète des ∆τ sur sept ans.</w:t>
      </w:r>
    </w:p>
    <w:p>
      <w:pPr>
        <w:spacing w:after="120" w:before="360"/>
      </w:pPr>
      <w:r>
        <w:rPr>
          <w:rFonts w:ascii="Calibri" w:cs="Calibri" w:eastAsia="Calibri" w:hAnsi="Calibri"/>
          <w:b/>
          <w:bCs/>
          <w:color w:val="1B4F8A"/>
          <w:sz w:val="28"/>
          <w:szCs w:val="28"/>
        </w:rPr>
        <w:t xml:space="preserve">5.2 — L'impact sur le pouvoir d'achat et la demande intérieure</w:t>
      </w:r>
    </w:p>
    <w:p>
      <w:pPr>
        <w:spacing w:after="160" w:before="80" w:line="320"/>
        <w:jc w:val="both"/>
      </w:pPr>
      <w:r>
        <w:rPr>
          <w:rFonts w:ascii="Calibri" w:cs="Calibri" w:eastAsia="Calibri" w:hAnsi="Calibri"/>
          <w:color w:val="1A1A2E"/>
          <w:sz w:val="22"/>
          <w:szCs w:val="22"/>
        </w:rPr>
        <w:t xml:space="preserve">L'IPAA, en rendant le système de retraite lisible et prévisible, réduit l'incertitude. Les ménages qui savent avec précision quelle sera leur cotisation dans cinq ans n'ont pas besoin de sur-épargner pour se couvrir. Une fraction de cette épargne précautionnelle se convertit en consommation courante. Les études comportementales suggèrent une réduction de l'épargne précautionnelle de l'ordre de 3 à 7% du revenu disponible pour les ménages de 45 à 60 ans — soit un supplément de consommation de 8 à 18 milliards d'euros annuels.</w:t>
      </w:r>
    </w:p>
    <w:p>
      <w:pPr>
        <w:spacing w:after="120" w:before="360"/>
      </w:pPr>
      <w:r>
        <w:rPr>
          <w:rFonts w:ascii="Calibri" w:cs="Calibri" w:eastAsia="Calibri" w:hAnsi="Calibri"/>
          <w:b/>
          <w:bCs/>
          <w:color w:val="1B4F8A"/>
          <w:sz w:val="28"/>
          <w:szCs w:val="28"/>
        </w:rPr>
        <w:t xml:space="preserve">5.3 — L'impact sur l'investissement des entreprises</w:t>
      </w:r>
    </w:p>
    <w:p>
      <w:pPr>
        <w:spacing w:after="160" w:before="80" w:line="320"/>
        <w:jc w:val="both"/>
      </w:pPr>
      <w:r>
        <w:rPr>
          <w:rFonts w:ascii="Calibri" w:cs="Calibri" w:eastAsia="Calibri" w:hAnsi="Calibri"/>
          <w:color w:val="1A1A2E"/>
          <w:sz w:val="22"/>
          <w:szCs w:val="22"/>
        </w:rPr>
        <w:t xml:space="preserve">L'instabilité chronique du système de retraite génère une prime de risque sur les charges sociales futures. Une entreprise qui planifie un investissement industriel à dix ans doit intégrer le risque d'une réforme qui augmenterait ses charges de façon imprévisible. L'IPAA élimine cette source d'incertitude. Les règles sont fixées, publiques, et ne peuvent être modifiées qu'à la majorité qualifiée des trois cinquièmes avec un délai de six mois.</w:t>
      </w:r>
    </w:p>
    <w:p>
      <w:pPr>
        <w:spacing w:after="120" w:before="360"/>
      </w:pPr>
      <w:r>
        <w:rPr>
          <w:rFonts w:ascii="Calibri" w:cs="Calibri" w:eastAsia="Calibri" w:hAnsi="Calibri"/>
          <w:b/>
          <w:bCs/>
          <w:color w:val="1B4F8A"/>
          <w:sz w:val="28"/>
          <w:szCs w:val="28"/>
        </w:rPr>
        <w:t xml:space="preserve">5.4 — L'impact social : justice contributive et cohésion</w:t>
      </w:r>
    </w:p>
    <w:p>
      <w:pPr>
        <w:spacing w:after="160" w:before="80" w:line="320"/>
        <w:jc w:val="both"/>
      </w:pPr>
      <w:r>
        <w:rPr>
          <w:rFonts w:ascii="Calibri" w:cs="Calibri" w:eastAsia="Calibri" w:hAnsi="Calibri"/>
          <w:color w:val="1A1A2E"/>
          <w:sz w:val="22"/>
          <w:szCs w:val="22"/>
        </w:rPr>
        <w:t xml:space="preserve">Toutes les réformes des retraites françaises depuis 1993 ont partagé une caractéristique commune : elles ont fait peser l'ajustement de façon proportionnellement plus lourde sur les revenus modestes. Le recul de l'âge légal affecte davantage les travailleurs qui ont commencé tôt. L'IPAA renverse ce paradigme.</w:t>
      </w:r>
    </w:p>
    <w:p>
      <w:pPr>
        <w:spacing w:after="160" w:before="80" w:line="320"/>
        <w:jc w:val="both"/>
      </w:pPr>
      <w:r>
        <w:rPr>
          <w:rFonts w:ascii="Calibri" w:cs="Calibri" w:eastAsia="Calibri" w:hAnsi="Calibri"/>
          <w:color w:val="1A1A2E"/>
          <w:sz w:val="22"/>
          <w:szCs w:val="22"/>
        </w:rPr>
        <w:t xml:space="preserve">Le mécanisme de péréquation inter-caisses de niveau 0 reconnaît structurellement les injustices entre régimes. Les agriculteurs non-salariés touchent aujourd'hui des retraites moyennes de l'ordre de 800 à 900€ par mois après des carrières complètes. La péréquation algorithmique leur apporte une réponse automatique, sans négociation politique annuelle.</w:t>
      </w:r>
    </w:p>
    <w:p>
      <w:pPr>
        <w:spacing w:after="120" w:before="360"/>
      </w:pPr>
      <w:r>
        <w:rPr>
          <w:rFonts w:ascii="Calibri" w:cs="Calibri" w:eastAsia="Calibri" w:hAnsi="Calibri"/>
          <w:b/>
          <w:bCs/>
          <w:color w:val="1B4F8A"/>
          <w:sz w:val="28"/>
          <w:szCs w:val="28"/>
        </w:rPr>
        <w:t xml:space="preserve">5.5 — Benchmark international</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000"/>
        <w:gridCol w:w="2000"/>
      </w:tblGrid>
      <w:tr>
        <w:trPr>
          <w:tblHeader/>
        </w:trPr>
        <w:tc>
          <w:tcPr>
            <w:tcW w:type="dxa" w:w="16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Pays / Modèle</w:t>
            </w:r>
          </w:p>
        </w:tc>
        <w:tc>
          <w:tcPr>
            <w:tcW w:type="dxa" w:w="2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Apport principal</w:t>
            </w:r>
          </w:p>
        </w:tc>
        <w:tc>
          <w:tcPr>
            <w:tcW w:type="dxa" w:w="2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Limite</w:t>
            </w:r>
          </w:p>
        </w:tc>
        <w:tc>
          <w:tcPr>
            <w:tcW w:type="dxa" w:w="2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Leçon pour l'IPAA</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Canada — RPC</w:t>
            </w:r>
          </w:p>
        </w:tc>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Gouvernance indépendante, 9,1% de rendement sur 10 ans, 777 Md CAD</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Pas de progressivité par décile</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Modèle de référence — IPAA l'améliore</w:t>
            </w:r>
          </w:p>
        </w:tc>
      </w:tr>
      <w:tr>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Suède — Comptes notionnels</w:t>
            </w:r>
          </w:p>
        </w:tc>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Ajustement automatique des prestations validé socialement</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Accepte la baisse des prestations — inacceptable en France</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Mécanisme auto. possible — ajuster cotisations plutôt que prestations</w:t>
            </w:r>
          </w:p>
        </w:tc>
      </w:tr>
      <w:tr>
        <w:tc>
          <w:tcPr>
            <w:tcW w:type="dxa" w:w="1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Allemagne — Frein à l'endettement</w:t>
            </w:r>
          </w:p>
        </w:tc>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Discipline budgétaire constitutionnelle</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Rigidité procyclique — freine l'investissement public</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Éviter la règle trop rigide — préférer l'ajustement lissé</w:t>
            </w:r>
          </w:p>
        </w:tc>
      </w:tr>
      <w:tr>
        <w:tc>
          <w:tcPr>
            <w:tcW w:type="dxa" w:w="1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Pays-Bas — Fonds sectoriels</w:t>
            </w:r>
          </w:p>
        </w:tc>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Provisionnement &gt;200% du PIB, résilience exceptionnelle</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Fragmentation sectorielle — inégalités inter-régimes</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Capitalisation collective viable — la péréquation corrige la fragmentation</w:t>
            </w:r>
          </w:p>
        </w:tc>
      </w:tr>
    </w:tbl>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Section 6 — Stratégie politique et irréversibilité</w:t>
      </w:r>
    </w:p>
    <w:p>
      <w:pPr>
        <w:spacing w:after="120" w:before="360"/>
      </w:pPr>
      <w:r>
        <w:rPr>
          <w:rFonts w:ascii="Calibri" w:cs="Calibri" w:eastAsia="Calibri" w:hAnsi="Calibri"/>
          <w:b/>
          <w:bCs/>
          <w:color w:val="1B4F8A"/>
          <w:sz w:val="28"/>
          <w:szCs w:val="28"/>
        </w:rPr>
        <w:t xml:space="preserve">6.1 — La mécanique de l'irréversibilité par le succès</w:t>
      </w:r>
    </w:p>
    <w:p>
      <w:pPr>
        <w:spacing w:after="160" w:before="80" w:line="320"/>
        <w:jc w:val="both"/>
      </w:pPr>
      <w:r>
        <w:rPr>
          <w:rFonts w:ascii="Calibri" w:cs="Calibri" w:eastAsia="Calibri" w:hAnsi="Calibri"/>
          <w:color w:val="1A1A2E"/>
          <w:sz w:val="22"/>
          <w:szCs w:val="22"/>
        </w:rPr>
        <w:t xml:space="preserve">La protection la plus robuste n'est pas juridique. Elle est politique et démocratique. Un système qui fonctionne, dont les effets bénéfiques sont visibles et mesurables, et dont les bénéficiaires sont nombreux et conscients de ce qu'ils ont à perdre est un système que personne n'ose défaire.</w:t>
      </w:r>
    </w:p>
    <w:p>
      <w:pPr>
        <w:spacing w:after="160" w:before="80" w:line="320"/>
        <w:jc w:val="both"/>
      </w:pPr>
      <w:r>
        <w:rPr>
          <w:rFonts w:ascii="Calibri" w:cs="Calibri" w:eastAsia="Calibri" w:hAnsi="Calibri"/>
          <w:color w:val="1A1A2E"/>
          <w:sz w:val="22"/>
          <w:szCs w:val="22"/>
        </w:rPr>
        <w:t xml:space="preserve">Le précédent canadien est à cet égard éclairant. Depuis la réforme de 1997, aucun gouvernement canadien n'a sérieusement envisagé de remettre en cause l'indépendance d'Investissements RPC. Non pas parce que la loi l'interdit absolument — une majorité parlementaire pourrait techniquement le faire. Mais parce que le coût politique serait insupportable face à un fonds qui performe à 9,1% annualisé et dont 22 millions de Canadiens sont bénéficiaires directs.</w:t>
      </w:r>
    </w:p>
    <w:p>
      <w:pPr>
        <w:spacing w:after="160" w:before="80" w:line="320"/>
        <w:jc w:val="both"/>
      </w:pPr>
      <w:r>
        <w:rPr>
          <w:rFonts w:ascii="Calibri" w:cs="Calibri" w:eastAsia="Calibri" w:hAnsi="Calibri"/>
          <w:color w:val="1A1A2E"/>
          <w:sz w:val="22"/>
          <w:szCs w:val="22"/>
        </w:rPr>
        <w:t xml:space="preserve">L'IPAA est conçu pour créer cette situation en France. La trajectoire de rééquilibrage produit des résultats visibles dans les deux à trois premières années. Ces résultats sont publiés en temps réel sur retraite.gouv.fr. À mi-mandat, aucun gouvernement suivant ne prendra le risque de défaire quelque chose qui fonctionne et que les citoyens voient fonctionner.</w:t>
      </w:r>
    </w:p>
    <w:p>
      <w:pPr>
        <w:spacing w:after="120" w:before="360"/>
      </w:pPr>
      <w:r>
        <w:rPr>
          <w:rFonts w:ascii="Calibri" w:cs="Calibri" w:eastAsia="Calibri" w:hAnsi="Calibri"/>
          <w:b/>
          <w:bCs/>
          <w:color w:val="1B4F8A"/>
          <w:sz w:val="28"/>
          <w:szCs w:val="28"/>
        </w:rPr>
        <w:t xml:space="preserve">6.2 — Les verrous institutionnels complémentaires</w:t>
      </w:r>
    </w:p>
    <w:p>
      <w:pPr>
        <w:spacing w:after="160" w:before="80" w:line="320"/>
        <w:jc w:val="both"/>
      </w:pPr>
      <w:r>
        <w:rPr>
          <w:rFonts w:ascii="Calibri" w:cs="Calibri" w:eastAsia="Calibri" w:hAnsi="Calibri"/>
          <w:color w:val="1A1A2E"/>
          <w:sz w:val="22"/>
          <w:szCs w:val="22"/>
        </w:rPr>
        <w:t xml:space="preserve">Le verrou organique protège contre les modifications discrètes glissées dans des textes budgétaires. Le verrou constitutionnel rend inconstitutionnelle toute ponction par le budget général. Le verrou de modification des constantes nécessite une majorité qualifiée des trois cinquièmes avec un délai minimal de six mois. Le verrou de transparence rend toute interférence publique et traçable.</w:t>
      </w:r>
    </w:p>
    <w:p>
      <w:pPr>
        <w:spacing w:after="120" w:before="360"/>
      </w:pPr>
      <w:r>
        <w:rPr>
          <w:rFonts w:ascii="Calibri" w:cs="Calibri" w:eastAsia="Calibri" w:hAnsi="Calibri"/>
          <w:b/>
          <w:bCs/>
          <w:color w:val="1B4F8A"/>
          <w:sz w:val="28"/>
          <w:szCs w:val="28"/>
        </w:rPr>
        <w:t xml:space="preserve">6.3 — Principe fondateur : un projet apartisan</w:t>
      </w:r>
    </w:p>
    <w:p>
      <w:pPr>
        <w:pBdr>
          <w:left w:val="single" w:color="1B4F8A" w:sz="12" w:space="8"/>
        </w:pBdr>
        <w:spacing w:after="160" w:before="160" w:line="300"/>
        <w:ind w:left="720" w:right="720"/>
      </w:pPr>
      <w:r>
        <w:rPr>
          <w:rFonts w:ascii="Calibri" w:cs="Calibri" w:eastAsia="Calibri" w:hAnsi="Calibri"/>
          <w:i/>
          <w:iCs/>
          <w:color w:val="444444"/>
          <w:sz w:val="22"/>
          <w:szCs w:val="22"/>
        </w:rPr>
        <w:t xml:space="preserve">L'IPAA n'est pas un projet de gauche qui tolère la droite, ni un projet de droite qui concède à la gauche. C'est un projet pour tous les Français. Il offre à toute formation politique un argument cohérent avec ses valeurs déclarées, et il place chaque formation devant sa propre cohérence. Se positionner contre l'IPAA c'est expliquer pourquoi on préfère l'instabilité structurelle à la sécurité des retraites.</w:t>
      </w:r>
    </w:p>
    <w:p>
      <w:pPr>
        <w:spacing w:after="120" w:before="360"/>
      </w:pPr>
      <w:r>
        <w:rPr>
          <w:rFonts w:ascii="Calibri" w:cs="Calibri" w:eastAsia="Calibri" w:hAnsi="Calibri"/>
          <w:b/>
          <w:bCs/>
          <w:color w:val="1B4F8A"/>
          <w:sz w:val="28"/>
          <w:szCs w:val="28"/>
        </w:rPr>
        <w:t xml:space="preserve">6.4 — Grille d'argumentation différenciée par formation politique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100"/>
      </w:tblGrid>
      <w:tr>
        <w:trPr>
          <w:tblHeader/>
        </w:trPr>
        <w:tc>
          <w:tcPr>
            <w:tcW w:type="dxa" w:w="1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Formation</w:t>
            </w:r>
          </w:p>
        </w:tc>
        <w:tc>
          <w:tcPr>
            <w:tcW w:type="dxa" w:w="2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Angle IPAA</w:t>
            </w:r>
          </w:p>
        </w:tc>
        <w:tc>
          <w:tcPr>
            <w:tcW w:type="dxa" w:w="41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Argument clé</w:t>
            </w:r>
          </w:p>
        </w:tc>
      </w:tr>
      <w:tr>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LFI / PCF</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Solidarité structurelle et souveraineté publique</w:t>
            </w:r>
          </w:p>
        </w:tc>
        <w:tc>
          <w:tcPr>
            <w:tcW w:type="dxa" w:w="4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Le fonds reste à la CDC. Le Bouclier Social protège les 40% les plus modestes. La péréquation bénéficie aux agriculteurs. C'est de la résilience collective, pas de la capitalisation.</w:t>
            </w:r>
          </w:p>
        </w:tc>
      </w:tr>
      <w:tr>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Parti Socialiste</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Réformisme sérieux et justice redistributive</w:t>
            </w:r>
          </w:p>
        </w:tc>
        <w:tc>
          <w:tcPr>
            <w:tcW w:type="dxa" w:w="41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Les réformes passées ont échoué parce que la méthode était paramétrique. L'IPAA est ce qu'un réformisme social-démocrate sérieux aurait dû proposer.</w:t>
            </w:r>
          </w:p>
        </w:tc>
      </w:tr>
      <w:tr>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Écologistes</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Gouvernance de long terme et équité intergénérationnelle</w:t>
            </w:r>
          </w:p>
        </w:tc>
        <w:tc>
          <w:tcPr>
            <w:tcW w:type="dxa" w:w="4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Règles stables sur le long terme, gouvernance indépendante des cycles électoraux, équité intergénérationnelle inscrite dans la mécanique.</w:t>
            </w:r>
          </w:p>
        </w:tc>
      </w:tr>
      <w:tr>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Centre / Renaissance</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Modernisation institutionnelle et compétitivité</w:t>
            </w:r>
          </w:p>
        </w:tc>
        <w:tc>
          <w:tcPr>
            <w:tcW w:type="dxa" w:w="41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Stabilité des charges sociales garantie structurellement. Sortie de l'héritage des exonérations compensées par TVA. Rupture méthodologique avec le macronisme.</w:t>
            </w:r>
          </w:p>
        </w:tc>
      </w:tr>
      <w:tr>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Droite républicaine / LR</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Responsabilité budgétaire et efficacité économique</w:t>
            </w:r>
          </w:p>
        </w:tc>
        <w:tc>
          <w:tcPr>
            <w:tcW w:type="dxa" w:w="4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Le mécanisme de frein budgétaire social que la droite réclame depuis vingt ans. Sans recul de l'âge, sans choc sur les entreprises. Inspiré du RPC canadien — référence libérale-conservatrice.</w:t>
            </w:r>
          </w:p>
        </w:tc>
      </w:tr>
      <w:tr>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RN</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Souveraineté sociale et protection des classes populaires</w:t>
            </w:r>
          </w:p>
        </w:tc>
        <w:tc>
          <w:tcPr>
            <w:tcW w:type="dxa" w:w="41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Bouclier Social pour les ouvriers et employés. Péréquation pour les agriculteurs. Étanchéité constitutionnelle empêchant l'État de puiser dans les caisses. S'y opposer c'est se contredire sur son propre discours.</w:t>
            </w:r>
          </w:p>
        </w:tc>
      </w:tr>
    </w:tbl>
    <w:p>
      <w:pPr>
        <w:spacing w:after="120" w:before="360"/>
      </w:pPr>
      <w:r>
        <w:rPr>
          <w:rFonts w:ascii="Calibri" w:cs="Calibri" w:eastAsia="Calibri" w:hAnsi="Calibri"/>
          <w:b/>
          <w:bCs/>
          <w:color w:val="1B4F8A"/>
          <w:sz w:val="28"/>
          <w:szCs w:val="28"/>
        </w:rPr>
        <w:t xml:space="preserve">6.5 — Stratégie de diffusion</w:t>
      </w:r>
    </w:p>
    <w:p>
      <w:pPr>
        <w:spacing w:after="160" w:before="80" w:line="320"/>
        <w:jc w:val="both"/>
      </w:pPr>
      <w:r>
        <w:rPr>
          <w:rFonts w:ascii="Calibri" w:cs="Calibri" w:eastAsia="Calibri" w:hAnsi="Calibri"/>
          <w:color w:val="1A1A2E"/>
          <w:sz w:val="22"/>
          <w:szCs w:val="22"/>
        </w:rPr>
        <w:t xml:space="preserve">La séquence recommandée en cinq étapes :</w:t>
      </w:r>
    </w:p>
    <w:p>
      <w:pPr>
        <w:pStyle w:val="ListParagraph"/>
        <w:numPr>
          <w:ilvl w:val="0"/>
          <w:numId w:val="2"/>
        </w:numPr>
        <w:spacing w:after="60" w:before="60" w:line="300"/>
      </w:pPr>
      <w:r>
        <w:rPr>
          <w:rFonts w:ascii="Calibri" w:cs="Calibri" w:eastAsia="Calibri" w:hAnsi="Calibri"/>
          <w:color w:val="1A1A2E"/>
          <w:sz w:val="22"/>
          <w:szCs w:val="22"/>
        </w:rPr>
        <w:t xml:space="preserve">Étape 1 — Validation académique : soumission à Terra Nova et OFCE simultanément. Délai cible : 2-3 mois.</w:t>
      </w:r>
    </w:p>
    <w:p>
      <w:pPr>
        <w:pStyle w:val="ListParagraph"/>
        <w:numPr>
          <w:ilvl w:val="0"/>
          <w:numId w:val="2"/>
        </w:numPr>
        <w:spacing w:after="60" w:before="60" w:line="300"/>
      </w:pPr>
      <w:r>
        <w:rPr>
          <w:rFonts w:ascii="Calibri" w:cs="Calibri" w:eastAsia="Calibri" w:hAnsi="Calibri"/>
          <w:color w:val="1A1A2E"/>
          <w:sz w:val="22"/>
          <w:szCs w:val="22"/>
        </w:rPr>
        <w:t xml:space="preserve">Étape 2 — Publication : mise en ligne du working paper sur cabinskolar.fr avec simulateur interactif et note de synthèse de 4 pages.</w:t>
      </w:r>
    </w:p>
    <w:p>
      <w:pPr>
        <w:pStyle w:val="ListParagraph"/>
        <w:numPr>
          <w:ilvl w:val="0"/>
          <w:numId w:val="2"/>
        </w:numPr>
        <w:spacing w:after="60" w:before="60" w:line="300"/>
      </w:pPr>
      <w:r>
        <w:rPr>
          <w:rFonts w:ascii="Calibri" w:cs="Calibri" w:eastAsia="Calibri" w:hAnsi="Calibri"/>
          <w:color w:val="1A1A2E"/>
          <w:sz w:val="22"/>
          <w:szCs w:val="22"/>
        </w:rPr>
        <w:t xml:space="preserve">Étape 3 — Approche syndicale : présentation aux services économiques de la CFDT et de la Coordination Rurale.</w:t>
      </w:r>
    </w:p>
    <w:p>
      <w:pPr>
        <w:pStyle w:val="ListParagraph"/>
        <w:numPr>
          <w:ilvl w:val="0"/>
          <w:numId w:val="2"/>
        </w:numPr>
        <w:spacing w:after="60" w:before="60" w:line="300"/>
      </w:pPr>
      <w:r>
        <w:rPr>
          <w:rFonts w:ascii="Calibri" w:cs="Calibri" w:eastAsia="Calibri" w:hAnsi="Calibri"/>
          <w:color w:val="1A1A2E"/>
          <w:sz w:val="22"/>
          <w:szCs w:val="22"/>
        </w:rPr>
        <w:t xml:space="preserve">Étape 4 — Approche parlementaire : rendez-vous individuels de 30 minutes via les réseaux de proximité. Format pitch structuré — pas un vote, une commission d'étude.</w:t>
      </w:r>
    </w:p>
    <w:p>
      <w:pPr>
        <w:pStyle w:val="ListParagraph"/>
        <w:numPr>
          <w:ilvl w:val="0"/>
          <w:numId w:val="2"/>
        </w:numPr>
        <w:spacing w:after="60" w:before="60" w:line="300"/>
      </w:pPr>
      <w:r>
        <w:rPr>
          <w:rFonts w:ascii="Calibri" w:cs="Calibri" w:eastAsia="Calibri" w:hAnsi="Calibri"/>
          <w:color w:val="1A1A2E"/>
          <w:sz w:val="22"/>
          <w:szCs w:val="22"/>
        </w:rPr>
        <w:t xml:space="preserve">Étape 5 — Communication grand public : approche des médias économiques spécialisés (Alternatives Économiques, Les Échos, Mediapart).</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Section 7 — Gouvernance, transparence et souveraineté</w:t>
      </w:r>
    </w:p>
    <w:p>
      <w:pPr>
        <w:spacing w:after="120" w:before="360"/>
      </w:pPr>
      <w:r>
        <w:rPr>
          <w:rFonts w:ascii="Calibri" w:cs="Calibri" w:eastAsia="Calibri" w:hAnsi="Calibri"/>
          <w:b/>
          <w:bCs/>
          <w:color w:val="1B4F8A"/>
          <w:sz w:val="28"/>
          <w:szCs w:val="28"/>
        </w:rPr>
        <w:t xml:space="preserve">7.1 — La CETP : instance constituante et éphémère</w:t>
      </w:r>
    </w:p>
    <w:p>
      <w:pPr>
        <w:spacing w:after="160" w:before="80" w:line="320"/>
        <w:jc w:val="both"/>
      </w:pPr>
      <w:r>
        <w:rPr>
          <w:rFonts w:ascii="Calibri" w:cs="Calibri" w:eastAsia="Calibri" w:hAnsi="Calibri"/>
          <w:color w:val="1A1A2E"/>
          <w:sz w:val="22"/>
          <w:szCs w:val="22"/>
        </w:rPr>
        <w:t xml:space="preserve">La CETP n'est pas un organisme permanent. C'est une commission constituante — elle existe pour accomplir une mission précise, définie dans le temps, et se dissout à son terme. Elle réunit 14 personnes maximum sur 18 mois, livre le projet de loi organique, et disparaît.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800"/>
      </w:tblGrid>
      <w:tr>
        <w:trPr>
          <w:tblHeader/>
        </w:trPr>
        <w:tc>
          <w:tcPr>
            <w:tcW w:type="dxa" w:w="2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Acteur</w:t>
            </w:r>
          </w:p>
        </w:tc>
        <w:tc>
          <w:tcPr>
            <w:tcW w:type="dxa" w:w="1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Représentants</w:t>
            </w:r>
          </w:p>
        </w:tc>
        <w:tc>
          <w:tcPr>
            <w:tcW w:type="dxa" w:w="3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Rôle</w:t>
            </w:r>
          </w:p>
        </w:tc>
      </w:tr>
      <w:tr>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Groupes parlementaires</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 par groupe</w:t>
            </w:r>
          </w:p>
        </w:tc>
        <w:tc>
          <w:tcPr>
            <w:tcW w:type="dxa" w:w="3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Légitimité démocratique</w:t>
            </w:r>
          </w:p>
        </w:tc>
      </w:tr>
      <w:tr>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COR</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 économistes</w:t>
            </w:r>
          </w:p>
        </w:tc>
        <w:tc>
          <w:tcPr>
            <w:tcW w:type="dxa" w:w="3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Données et projections</w:t>
            </w:r>
          </w:p>
        </w:tc>
      </w:tr>
      <w:tr>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Syndicats</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 représentants</w:t>
            </w:r>
          </w:p>
        </w:tc>
        <w:tc>
          <w:tcPr>
            <w:tcW w:type="dxa" w:w="3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Légitimité sociale</w:t>
            </w:r>
          </w:p>
        </w:tc>
      </w:tr>
      <w:tr>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Patronat</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 représentants</w:t>
            </w:r>
          </w:p>
        </w:tc>
        <w:tc>
          <w:tcPr>
            <w:tcW w:type="dxa" w:w="3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MEDEF + fédération PME/TPE</w:t>
            </w:r>
          </w:p>
        </w:tc>
      </w:tr>
      <w:tr>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INSEE</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 démographes</w:t>
            </w:r>
          </w:p>
        </w:tc>
        <w:tc>
          <w:tcPr>
            <w:tcW w:type="dxa" w:w="3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Projections long terme</w:t>
            </w:r>
          </w:p>
        </w:tc>
      </w:tr>
      <w:tr>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FRR</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 représentant</w:t>
            </w:r>
          </w:p>
        </w:tc>
        <w:tc>
          <w:tcPr>
            <w:tcW w:type="dxa" w:w="3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Faisabilité financière</w:t>
            </w:r>
          </w:p>
        </w:tc>
      </w:tr>
      <w:tr>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Droit constitutionnel</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 juriste</w:t>
            </w:r>
          </w:p>
        </w:tc>
        <w:tc>
          <w:tcPr>
            <w:tcW w:type="dxa" w:w="3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Cadre législatif</w:t>
            </w:r>
          </w:p>
        </w:tc>
      </w:tr>
      <w:tr>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Actuariat</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 actuaire indépendant</w:t>
            </w:r>
          </w:p>
        </w:tc>
        <w:tc>
          <w:tcPr>
            <w:tcW w:type="dxa" w:w="3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Validation des modèles</w:t>
            </w:r>
          </w:p>
        </w:tc>
      </w:tr>
    </w:tbl>
    <w:p>
      <w:pPr>
        <w:spacing w:after="120" w:before="360"/>
      </w:pPr>
      <w:r>
        <w:rPr>
          <w:rFonts w:ascii="Calibri" w:cs="Calibri" w:eastAsia="Calibri" w:hAnsi="Calibri"/>
          <w:b/>
          <w:bCs/>
          <w:color w:val="1B4F8A"/>
          <w:sz w:val="28"/>
          <w:szCs w:val="28"/>
        </w:rPr>
        <w:t xml:space="preserve">7.2 — Le Comité de Suivi Technique : gardien permanent de l'algorithme</w:t>
      </w:r>
    </w:p>
    <w:p>
      <w:pPr>
        <w:spacing w:after="160" w:before="80" w:line="320"/>
        <w:jc w:val="both"/>
      </w:pPr>
      <w:r>
        <w:rPr>
          <w:rFonts w:ascii="Calibri" w:cs="Calibri" w:eastAsia="Calibri" w:hAnsi="Calibri"/>
          <w:color w:val="1A1A2E"/>
          <w:sz w:val="22"/>
          <w:szCs w:val="22"/>
        </w:rPr>
        <w:t xml:space="preserve">Une fois la CETP dissoute, le CST opère le système. 7 membres nommés pour 6 ans non renouvelables, indépendants des pouvoirs publics, révocables uniquement pour faute grave par le Conseil d'État. Ils exécutent les règles — ils ne les créent pas.</w:t>
      </w:r>
    </w:p>
    <w:p>
      <w:pPr>
        <w:spacing w:after="120" w:before="360"/>
      </w:pPr>
      <w:r>
        <w:rPr>
          <w:rFonts w:ascii="Calibri" w:cs="Calibri" w:eastAsia="Calibri" w:hAnsi="Calibri"/>
          <w:b/>
          <w:bCs/>
          <w:color w:val="1B4F8A"/>
          <w:sz w:val="28"/>
          <w:szCs w:val="28"/>
        </w:rPr>
        <w:t xml:space="preserve">7.3 — La gouvernance des gestionnaires bancaires</w:t>
      </w:r>
    </w:p>
    <w:p>
      <w:pPr>
        <w:spacing w:after="160" w:before="80" w:line="320"/>
        <w:jc w:val="both"/>
      </w:pPr>
      <w:r>
        <w:rPr>
          <w:rFonts w:ascii="Calibri" w:cs="Calibri" w:eastAsia="Calibri" w:hAnsi="Calibri"/>
          <w:color w:val="1A1A2E"/>
          <w:sz w:val="22"/>
          <w:szCs w:val="22"/>
        </w:rPr>
        <w:t xml:space="preserve">Mandats attribués par appel d'offres public, renouvelés tous les cinq ans, ouverts à tout établissement agréé. Aucun établissement ne peut détenir plus de 25% du volume total. Chaque mandat définit précisément la nature des actifs, le profil de risque autorisé, le rendement cible, et les règles de liquidité.</w:t>
      </w:r>
    </w:p>
    <w:p>
      <w:pPr>
        <w:spacing w:after="160" w:before="80" w:line="320"/>
        <w:jc w:val="both"/>
      </w:pPr>
      <w:r>
        <w:rPr>
          <w:rFonts w:ascii="Calibri" w:cs="Calibri" w:eastAsia="Calibri" w:hAnsi="Calibri"/>
          <w:color w:val="1A1A2E"/>
          <w:sz w:val="22"/>
          <w:szCs w:val="22"/>
        </w:rPr>
        <w:t xml:space="preserve">Le protocole de garantie inter-bancaire : chaque gestionnaire dépose une caution de performance de 2% du volume géré. En cas d'alerte rouge, une fenêtre de rachat de 30 jours s'ouvre aux concurrents. Le gestionnaire défaillant couvre la perte sur ses fonds propres. Le système ne se retrouve jamais sans gestionnaire ni avec un trou non couvert.</w:t>
      </w:r>
    </w:p>
    <w:p>
      <w:pPr>
        <w:spacing w:after="120" w:before="360"/>
      </w:pPr>
      <w:r>
        <w:rPr>
          <w:rFonts w:ascii="Calibri" w:cs="Calibri" w:eastAsia="Calibri" w:hAnsi="Calibri"/>
          <w:b/>
          <w:bCs/>
          <w:color w:val="1B4F8A"/>
          <w:sz w:val="28"/>
          <w:szCs w:val="28"/>
        </w:rPr>
        <w:t xml:space="preserve">7.4 — retraite.gouv.fr : le tableau de bord citoyen permanent</w:t>
      </w:r>
    </w:p>
    <w:p>
      <w:pPr>
        <w:spacing w:after="160" w:before="80" w:line="320"/>
        <w:jc w:val="both"/>
      </w:pPr>
      <w:r>
        <w:rPr>
          <w:rFonts w:ascii="Calibri" w:cs="Calibri" w:eastAsia="Calibri" w:hAnsi="Calibri"/>
          <w:color w:val="1A1A2E"/>
          <w:sz w:val="22"/>
          <w:szCs w:val="22"/>
        </w:rPr>
        <w:t xml:space="preserve">Ce n'est pas un site institutionnel avec des PDF à télécharger. C'est une interface vivante, alimentée en temps réel, lisible par tout citoyen. Huit blocs permanents :</w:t>
      </w:r>
    </w:p>
    <w:p>
      <w:pPr>
        <w:pStyle w:val="ListParagraph"/>
        <w:numPr>
          <w:ilvl w:val="0"/>
          <w:numId w:val="2"/>
        </w:numPr>
        <w:spacing w:after="60" w:before="60" w:line="300"/>
      </w:pPr>
      <w:r>
        <w:rPr>
          <w:rFonts w:ascii="Calibri" w:cs="Calibri" w:eastAsia="Calibri" w:hAnsi="Calibri"/>
          <w:color w:val="1A1A2E"/>
          <w:sz w:val="22"/>
          <w:szCs w:val="22"/>
        </w:rPr>
        <w:t xml:space="preserve">Baromètre général — indicateur vert/orange/rouge de l'état du système</w:t>
      </w:r>
    </w:p>
    <w:p>
      <w:pPr>
        <w:pStyle w:val="ListParagraph"/>
        <w:numPr>
          <w:ilvl w:val="0"/>
          <w:numId w:val="2"/>
        </w:numPr>
        <w:spacing w:after="60" w:before="60" w:line="300"/>
      </w:pPr>
      <w:r>
        <w:rPr>
          <w:rFonts w:ascii="Calibri" w:cs="Calibri" w:eastAsia="Calibri" w:hAnsi="Calibri"/>
          <w:color w:val="1A1A2E"/>
          <w:sz w:val="22"/>
          <w:szCs w:val="22"/>
        </w:rPr>
        <w:t xml:space="preserve">État des caisses — solde, tendance, projection N+3 de chaque régime</w:t>
      </w:r>
    </w:p>
    <w:p>
      <w:pPr>
        <w:pStyle w:val="ListParagraph"/>
        <w:numPr>
          <w:ilvl w:val="0"/>
          <w:numId w:val="2"/>
        </w:numPr>
        <w:spacing w:after="60" w:before="60" w:line="300"/>
      </w:pPr>
      <w:r>
        <w:rPr>
          <w:rFonts w:ascii="Calibri" w:cs="Calibri" w:eastAsia="Calibri" w:hAnsi="Calibri"/>
          <w:color w:val="1A1A2E"/>
          <w:sz w:val="22"/>
          <w:szCs w:val="22"/>
        </w:rPr>
        <w:t xml:space="preserve">Péréquation inter-caisses — flux CCP du mois, historique 24 mois</w:t>
      </w:r>
    </w:p>
    <w:p>
      <w:pPr>
        <w:pStyle w:val="ListParagraph"/>
        <w:numPr>
          <w:ilvl w:val="0"/>
          <w:numId w:val="2"/>
        </w:numPr>
        <w:spacing w:after="60" w:before="60" w:line="300"/>
      </w:pPr>
      <w:r>
        <w:rPr>
          <w:rFonts w:ascii="Calibri" w:cs="Calibri" w:eastAsia="Calibri" w:hAnsi="Calibri"/>
          <w:color w:val="1A1A2E"/>
          <w:sz w:val="22"/>
          <w:szCs w:val="22"/>
        </w:rPr>
        <w:t xml:space="preserve">Fonds de Réserve — valeur des trois compartiments en temps réel</w:t>
      </w:r>
    </w:p>
    <w:p>
      <w:pPr>
        <w:pStyle w:val="ListParagraph"/>
        <w:numPr>
          <w:ilvl w:val="0"/>
          <w:numId w:val="2"/>
        </w:numPr>
        <w:spacing w:after="60" w:before="60" w:line="300"/>
      </w:pPr>
      <w:r>
        <w:rPr>
          <w:rFonts w:ascii="Calibri" w:cs="Calibri" w:eastAsia="Calibri" w:hAnsi="Calibri"/>
          <w:color w:val="1A1A2E"/>
          <w:sz w:val="22"/>
          <w:szCs w:val="22"/>
        </w:rPr>
        <w:t xml:space="preserve">Indice AC-IPAA — valeur actuelle, projection du prochain ∆τ</w:t>
      </w:r>
    </w:p>
    <w:p>
      <w:pPr>
        <w:pStyle w:val="ListParagraph"/>
        <w:numPr>
          <w:ilvl w:val="0"/>
          <w:numId w:val="2"/>
        </w:numPr>
        <w:spacing w:after="60" w:before="60" w:line="300"/>
      </w:pPr>
      <w:r>
        <w:rPr>
          <w:rFonts w:ascii="Calibri" w:cs="Calibri" w:eastAsia="Calibri" w:hAnsi="Calibri"/>
          <w:color w:val="1A1A2E"/>
          <w:sz w:val="22"/>
          <w:szCs w:val="22"/>
        </w:rPr>
        <w:t xml:space="preserve">Mon impact — simulateur : je gagne X€, voici ma cotisation et son évolution</w:t>
      </w:r>
    </w:p>
    <w:p>
      <w:pPr>
        <w:pStyle w:val="ListParagraph"/>
        <w:numPr>
          <w:ilvl w:val="0"/>
          <w:numId w:val="2"/>
        </w:numPr>
        <w:spacing w:after="60" w:before="60" w:line="300"/>
      </w:pPr>
      <w:r>
        <w:rPr>
          <w:rFonts w:ascii="Calibri" w:cs="Calibri" w:eastAsia="Calibri" w:hAnsi="Calibri"/>
          <w:color w:val="1A1A2E"/>
          <w:sz w:val="22"/>
          <w:szCs w:val="22"/>
        </w:rPr>
        <w:t xml:space="preserve">Registre des alertes — historique de toutes les alertes, causes, réponses</w:t>
      </w:r>
    </w:p>
    <w:p>
      <w:pPr>
        <w:pStyle w:val="ListParagraph"/>
        <w:numPr>
          <w:ilvl w:val="0"/>
          <w:numId w:val="2"/>
        </w:numPr>
        <w:spacing w:after="60" w:before="60" w:line="300"/>
      </w:pPr>
      <w:r>
        <w:rPr>
          <w:rFonts w:ascii="Calibri" w:cs="Calibri" w:eastAsia="Calibri" w:hAnsi="Calibri"/>
          <w:color w:val="1A1A2E"/>
          <w:sz w:val="22"/>
          <w:szCs w:val="22"/>
        </w:rPr>
        <w:t xml:space="preserve">Registre des interventions — toute tentative d'interférence politique, tracée et publique</w:t>
      </w:r>
    </w:p>
    <w:p>
      <w:pPr>
        <w:spacing w:after="120" w:before="360"/>
      </w:pPr>
      <w:r>
        <w:rPr>
          <w:rFonts w:ascii="Calibri" w:cs="Calibri" w:eastAsia="Calibri" w:hAnsi="Calibri"/>
          <w:b/>
          <w:bCs/>
          <w:color w:val="1B4F8A"/>
          <w:sz w:val="28"/>
          <w:szCs w:val="28"/>
        </w:rPr>
        <w:t xml:space="preserve">7.5 — La transparence comme système immunitaire</w:t>
      </w:r>
    </w:p>
    <w:p>
      <w:pPr>
        <w:pBdr>
          <w:left w:val="single" w:color="1B4F8A" w:sz="12" w:space="8"/>
        </w:pBdr>
        <w:spacing w:after="160" w:before="160" w:line="300"/>
        <w:ind w:left="720" w:right="720"/>
      </w:pPr>
      <w:r>
        <w:rPr>
          <w:rFonts w:ascii="Calibri" w:cs="Calibri" w:eastAsia="Calibri" w:hAnsi="Calibri"/>
          <w:i/>
          <w:iCs/>
          <w:color w:val="444444"/>
          <w:sz w:val="22"/>
          <w:szCs w:val="22"/>
        </w:rPr>
        <w:t xml:space="preserve">Un système entièrement lisible par tous ne peut être manipulé que publiquement. Et publiquement, personne n'ose. La transparence ne repose pas sur la vertu des acteurs. Elle la rend facultative.</w:t>
      </w:r>
    </w:p>
    <w:p>
      <w:pPr>
        <w:spacing w:after="160" w:before="80" w:line="320"/>
        <w:jc w:val="both"/>
      </w:pPr>
      <w:r>
        <w:rPr>
          <w:rFonts w:ascii="Calibri" w:cs="Calibri" w:eastAsia="Calibri" w:hAnsi="Calibri"/>
          <w:color w:val="1A1A2E"/>
          <w:sz w:val="22"/>
          <w:szCs w:val="22"/>
        </w:rPr>
        <w:t xml:space="preserve">retraite.gouv.fr — votre retraite, lisible par tout le monde, en temps réel. Personne ne peut y toucher sans que tout le monde le voie.</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Section 8 — Objections et réponses</w:t>
      </w:r>
    </w:p>
    <w:p>
      <w:pPr>
        <w:spacing w:after="160" w:before="80" w:line="320"/>
        <w:jc w:val="both"/>
      </w:pPr>
      <w:r>
        <w:rPr>
          <w:rFonts w:ascii="Calibri" w:cs="Calibri" w:eastAsia="Calibri" w:hAnsi="Calibri"/>
          <w:color w:val="1A1A2E"/>
          <w:sz w:val="22"/>
          <w:szCs w:val="22"/>
        </w:rPr>
        <w:t xml:space="preserve">Un working paper sérieux ne se contente pas de présenter ses arguments. Il anticipe les objections les plus solides et y répond avec la même rigueur qu'il applique à ses propres thèses.</w:t>
      </w:r>
    </w:p>
    <w:p>
      <w:pPr>
        <w:spacing w:after="120" w:before="360"/>
      </w:pPr>
      <w:r>
        <w:rPr>
          <w:rFonts w:ascii="Calibri" w:cs="Calibri" w:eastAsia="Calibri" w:hAnsi="Calibri"/>
          <w:b/>
          <w:bCs/>
          <w:color w:val="1B4F8A"/>
          <w:sz w:val="28"/>
          <w:szCs w:val="28"/>
        </w:rPr>
        <w:t xml:space="preserve">8.1 — « Le FRR est trop petit pour le rôle que vous lui assignez »</w:t>
      </w:r>
    </w:p>
    <w:p>
      <w:pPr>
        <w:spacing w:after="160" w:before="80" w:line="320"/>
        <w:jc w:val="both"/>
      </w:pPr>
      <w:r>
        <w:rPr>
          <w:rFonts w:ascii="Calibri" w:cs="Calibri" w:eastAsia="Calibri" w:hAnsi="Calibri"/>
          <w:color w:val="1A1A2E"/>
          <w:sz w:val="22"/>
          <w:szCs w:val="22"/>
        </w:rPr>
        <w:t xml:space="preserve">Cette objection est partiellement juste et doit être assumée : le FRR actuel n'est pas dimensionné pour jouer seul le rôle de régulateur anti-volatilité d'un système déficitaire de 12 à 18 milliards par an. Personne dans ce document ne prétend le contraire.</w:t>
      </w:r>
    </w:p>
    <w:p>
      <w:pPr>
        <w:spacing w:after="160" w:before="80" w:line="320"/>
        <w:jc w:val="both"/>
      </w:pPr>
      <w:r>
        <w:rPr>
          <w:rFonts w:ascii="Calibri" w:cs="Calibri" w:eastAsia="Calibri" w:hAnsi="Calibri"/>
          <w:color w:val="1A1A2E"/>
          <w:sz w:val="22"/>
          <w:szCs w:val="22"/>
        </w:rPr>
        <w:t xml:space="preserve">L'IPAA propose une architecture à quatre niveaux dont le FRR n'est que le deuxième. La CFРР n'a pas vocation à couvrir l'intégralité du déficit structurel. Elle a vocation à absorber les fluctuations annuelles autour d'une tendance qui se rééquilibre progressivement grâce aux autres niveaux. Le sous-dimensionnement actuel est lui-même le produit des choix politiques que l'IPAA est conçu à corriger.</w:t>
      </w:r>
    </w:p>
    <w:p>
      <w:pPr>
        <w:spacing w:after="120" w:before="360"/>
      </w:pPr>
      <w:r>
        <w:rPr>
          <w:rFonts w:ascii="Calibri" w:cs="Calibri" w:eastAsia="Calibri" w:hAnsi="Calibri"/>
          <w:b/>
          <w:bCs/>
          <w:color w:val="1B4F8A"/>
          <w:sz w:val="28"/>
          <w:szCs w:val="28"/>
        </w:rPr>
        <w:t xml:space="preserve">8.2 — « La progressivité par décile est inconstitutionnelle »</w:t>
      </w:r>
    </w:p>
    <w:p>
      <w:pPr>
        <w:spacing w:after="160" w:before="80" w:line="320"/>
        <w:jc w:val="both"/>
      </w:pPr>
      <w:r>
        <w:rPr>
          <w:rFonts w:ascii="Calibri" w:cs="Calibri" w:eastAsia="Calibri" w:hAnsi="Calibri"/>
          <w:color w:val="1A1A2E"/>
          <w:sz w:val="22"/>
          <w:szCs w:val="22"/>
        </w:rPr>
        <w:t xml:space="preserve">Cette objection est sérieuse et mérite une réponse plus développée que dans la version précédente de ce document, qui sous-estimait sa complexité.</w:t>
      </w:r>
    </w:p>
    <w:p>
      <w:pPr>
        <w:spacing w:after="160" w:before="80" w:line="320"/>
        <w:jc w:val="both"/>
      </w:pPr>
      <w:r>
        <w:rPr>
          <w:rFonts w:ascii="Calibri" w:cs="Calibri" w:eastAsia="Calibri" w:hAnsi="Calibri"/>
          <w:color w:val="1A1A2E"/>
          <w:sz w:val="22"/>
          <w:szCs w:val="22"/>
        </w:rPr>
        <w:t xml:space="preserve">Quatre problèmes techniques distincts doivent être résolus, pas un seul.</w:t>
      </w:r>
    </w:p>
    <w:p>
      <w:pPr>
        <w:spacing w:after="160" w:before="80" w:line="320"/>
        <w:jc w:val="both"/>
      </w:pPr>
      <w:r>
        <w:rPr>
          <w:rFonts w:ascii="Calibri" w:cs="Calibri" w:eastAsia="Calibri" w:hAnsi="Calibri"/>
          <w:color w:val="1A1A2E"/>
          <w:sz w:val="22"/>
          <w:szCs w:val="22"/>
        </w:rPr>
        <w:t xml:space="preserve">Le premier est l'effet de seuil. Si un cotisant gagnant 3 499€ et un cotisant gagnant 3 501€ se voient appliquer des βi différents, le passage du D7 au D8 crée une discontinuité qui pénalise marginalement le second de façon disproportionnée. La règle look-back sur trois ans atténue mais ne supprime pas ce problème. La solution probable : des coefficients βi continus (une fonction affine par morceaux plutôt que des paliers discrets) — mais cela complique considérablement le calcul individualisé par l'URSSAF.</w:t>
      </w:r>
    </w:p>
    <w:p>
      <w:pPr>
        <w:spacing w:after="160" w:before="80" w:line="320"/>
        <w:jc w:val="both"/>
      </w:pPr>
      <w:r>
        <w:rPr>
          <w:rFonts w:ascii="Calibri" w:cs="Calibri" w:eastAsia="Calibri" w:hAnsi="Calibri"/>
          <w:color w:val="1A1A2E"/>
          <w:sz w:val="22"/>
          <w:szCs w:val="22"/>
        </w:rPr>
        <w:t xml:space="preserve">Le deuxième est la volatilité des déciles. Les revenus fluctuent d'une année à l'autre, notamment pour les indépendants, les commerciaux, les cadres avec bonus. Un cotisant peut appartenir à D7 une année et D9 la suivante. La règle look-back triennale stabilise le calcul mais crée une inertie : un cotisant dont le revenu a chuté continue de payer selon son décile passé. C'est défendable en droit mais potentiellement douloureux en pratique et contestable devant les tribunaux.</w:t>
      </w:r>
    </w:p>
    <w:p>
      <w:pPr>
        <w:spacing w:after="160" w:before="80" w:line="320"/>
        <w:jc w:val="both"/>
      </w:pPr>
      <w:r>
        <w:rPr>
          <w:rFonts w:ascii="Calibri" w:cs="Calibri" w:eastAsia="Calibri" w:hAnsi="Calibri"/>
          <w:color w:val="1A1A2E"/>
          <w:sz w:val="22"/>
          <w:szCs w:val="22"/>
        </w:rPr>
        <w:t xml:space="preserve">Le troisième est la jurisprudence constitutionnelle sur l'égalité devant les charges sociales. Le Conseil Constitutionnel a validé la progressivité de la CSG — mais la CSG est un prélèvement à taux unique par tranche, pas un système de coefficients multiplicateurs sur un ajustement lui-même variable. La différence de structure pourrait conduire le Conseil à exiger une justification plus robuste, notamment sur la proportionnalité entre l'effort demandé et la capacité contributive réelle.</w:t>
      </w:r>
    </w:p>
    <w:p>
      <w:pPr>
        <w:spacing w:after="160" w:before="80" w:line="320"/>
        <w:jc w:val="both"/>
      </w:pPr>
      <w:r>
        <w:rPr>
          <w:rFonts w:ascii="Calibri" w:cs="Calibri" w:eastAsia="Calibri" w:hAnsi="Calibri"/>
          <w:color w:val="1A1A2E"/>
          <w:sz w:val="22"/>
          <w:szCs w:val="22"/>
        </w:rPr>
        <w:t xml:space="preserve">Le quatrième est l'extension de l'assiette aux BSPCE et RSU uniquement pour les déciles supérieurs. Traiter différemment une même forme de rémunération selon le niveau de revenu de son bénéficiaire est juridiquement plus risqué que la progressivité sur le taux. La CETP devra probablement opter pour l'alternative mentionnée en Annexe A2 : élargir l'assiette à tous les cotisants avec un plancher de déclenchement élevé, plutôt qu'une restriction explicite par décile.</w:t>
      </w:r>
    </w:p>
    <w:p>
      <w:pPr>
        <w:spacing w:after="160" w:before="80" w:line="320"/>
        <w:jc w:val="both"/>
      </w:pPr>
      <w:r>
        <w:rPr>
          <w:rFonts w:ascii="Calibri" w:cs="Calibri" w:eastAsia="Calibri" w:hAnsi="Calibri"/>
          <w:color w:val="1A1A2E"/>
          <w:sz w:val="22"/>
          <w:szCs w:val="22"/>
        </w:rPr>
        <w:t xml:space="preserve">Ces quatre problèmes ne sont pas insolubles. La progressivité existe dans notre droit. Mais ils imposent une rédaction législative d'une précision extrême et une validation constitutionnelle en amont — pas en aval. La CETP devra inclure au moins un membre du Conseil d'État parmi ses juristes.</w:t>
      </w:r>
    </w:p>
    <w:p>
      <w:pPr>
        <w:spacing w:after="120" w:before="360"/>
      </w:pPr>
      <w:r>
        <w:rPr>
          <w:rFonts w:ascii="Calibri" w:cs="Calibri" w:eastAsia="Calibri" w:hAnsi="Calibri"/>
          <w:b/>
          <w:bCs/>
          <w:color w:val="1B4F8A"/>
          <w:sz w:val="28"/>
          <w:szCs w:val="28"/>
        </w:rPr>
        <w:t xml:space="preserve">8.3 — « L'aléa moral entre caisses va détruire l'incitation à bien gérer »</w:t>
      </w:r>
    </w:p>
    <w:p>
      <w:pPr>
        <w:spacing w:after="160" w:before="80" w:line="320"/>
        <w:jc w:val="both"/>
      </w:pPr>
      <w:r>
        <w:rPr>
          <w:rFonts w:ascii="Calibri" w:cs="Calibri" w:eastAsia="Calibri" w:hAnsi="Calibri"/>
          <w:color w:val="1A1A2E"/>
          <w:sz w:val="22"/>
          <w:szCs w:val="22"/>
        </w:rPr>
        <w:t xml:space="preserve">La péréquation n'est pas un chèque en blanc. Elle est conditionnelle (ne couvre que les déficits structurels légitimes, pas les anomalies de gestion détectables), limitée (plafonnée par la formule N+3), et visible (tous les flux sont publiés en temps réel). L'algorithme produit des indicateurs comparatifs entre caisses de même nature. Une caisse qui sous-performe par rapport à ses pairs déclenche un audit automatique.</w:t>
      </w:r>
    </w:p>
    <w:p>
      <w:pPr>
        <w:spacing w:after="120" w:before="360"/>
      </w:pPr>
      <w:r>
        <w:rPr>
          <w:rFonts w:ascii="Calibri" w:cs="Calibri" w:eastAsia="Calibri" w:hAnsi="Calibri"/>
          <w:b/>
          <w:bCs/>
          <w:color w:val="1B4F8A"/>
          <w:sz w:val="28"/>
          <w:szCs w:val="28"/>
        </w:rPr>
        <w:t xml:space="preserve">8.4 — « Une majorité politique peut toujours défaire le système »</w:t>
      </w:r>
    </w:p>
    <w:p>
      <w:pPr>
        <w:spacing w:after="160" w:before="80" w:line="320"/>
        <w:jc w:val="both"/>
      </w:pPr>
      <w:r>
        <w:rPr>
          <w:rFonts w:ascii="Calibri" w:cs="Calibri" w:eastAsia="Calibri" w:hAnsi="Calibri"/>
          <w:color w:val="1A1A2E"/>
          <w:sz w:val="22"/>
          <w:szCs w:val="22"/>
        </w:rPr>
        <w:t xml:space="preserve">Factuellement vrai. Mais la vraie question n'est pas « peut-on défaire ce système » — la réponse est oui avec une majorité suffisante. La vraie question est « quel gouvernement aura la volonté de défaire un système qui fonctionne et dont les résultats sont visibles par tous ? » Le Canada le démontre depuis 1997 : aucun gouvernement n'a touché au RPC — pas parce que c'est impossible, mais parce que c'est politiquement suicidaire. L'irréversibilité se construit par le succès, pas par les textes.</w:t>
      </w:r>
    </w:p>
    <w:p>
      <w:pPr>
        <w:spacing w:after="120" w:before="360"/>
      </w:pPr>
      <w:r>
        <w:rPr>
          <w:rFonts w:ascii="Calibri" w:cs="Calibri" w:eastAsia="Calibri" w:hAnsi="Calibri"/>
          <w:b/>
          <w:bCs/>
          <w:color w:val="1B4F8A"/>
          <w:sz w:val="28"/>
          <w:szCs w:val="28"/>
        </w:rPr>
        <w:t xml:space="preserve">8.5 — « La gestion privée, c'est de la capitalisation déguisée »</w:t>
      </w:r>
    </w:p>
    <w:p>
      <w:pPr>
        <w:spacing w:after="160" w:before="80" w:line="320"/>
        <w:jc w:val="both"/>
      </w:pPr>
      <w:r>
        <w:rPr>
          <w:rFonts w:ascii="Calibri" w:cs="Calibri" w:eastAsia="Calibri" w:hAnsi="Calibri"/>
          <w:color w:val="1A1A2E"/>
          <w:sz w:val="22"/>
          <w:szCs w:val="22"/>
        </w:rPr>
        <w:t xml:space="preserve">Cette objection confond deux modèles fondamentalement différents. La capitalisation individuelle privée : chaque cotisant place individuellement, sans garantie, le risque est entièrement individuel. Quand l'organisme fait faillite, le cotisant perd sa retraite. C'est ce qui s'est passé pour des millions d'Américains en 2008 et pour des décennies de retraités chiliens.</w:t>
      </w:r>
    </w:p>
    <w:p>
      <w:pPr>
        <w:spacing w:after="160" w:before="80" w:line="320"/>
        <w:jc w:val="both"/>
      </w:pPr>
      <w:r>
        <w:rPr>
          <w:rFonts w:ascii="Calibri" w:cs="Calibri" w:eastAsia="Calibri" w:hAnsi="Calibri"/>
          <w:color w:val="1A1A2E"/>
          <w:sz w:val="22"/>
          <w:szCs w:val="22"/>
        </w:rPr>
        <w:t xml:space="preserve">Ce que propose l'IPAA : un fonds collectif appartenant à tous les cotisants, géré sous mandat public strict, avec risque mutualisé et répartition maintenue comme socle inaltérable. La règle fondamentale protège le capital de base : on place uniquement ce qui a été gagné, jamais le socle souverain.</w:t>
      </w:r>
    </w:p>
    <w:p>
      <w:pPr>
        <w:pBdr>
          <w:left w:val="single" w:color="1B4F8A" w:sz="12" w:space="8"/>
        </w:pBdr>
        <w:spacing w:after="160" w:before="160" w:line="300"/>
        <w:ind w:left="720" w:right="720"/>
      </w:pPr>
      <w:r>
        <w:rPr>
          <w:rFonts w:ascii="Calibri" w:cs="Calibri" w:eastAsia="Calibri" w:hAnsi="Calibri"/>
          <w:i/>
          <w:iCs/>
          <w:color w:val="444444"/>
          <w:sz w:val="22"/>
          <w:szCs w:val="22"/>
        </w:rPr>
        <w:t xml:space="preserve">Ce n'est pas de la capitalisation. C'est de la résilience collective organisée.</w:t>
      </w:r>
    </w:p>
    <w:p>
      <w:pPr>
        <w:spacing w:after="120" w:before="360"/>
      </w:pPr>
      <w:r>
        <w:rPr>
          <w:rFonts w:ascii="Calibri" w:cs="Calibri" w:eastAsia="Calibri" w:hAnsi="Calibri"/>
          <w:b/>
          <w:bCs/>
          <w:color w:val="1B4F8A"/>
          <w:sz w:val="28"/>
          <w:szCs w:val="28"/>
        </w:rPr>
        <w:t xml:space="preserve">8.6 — « C'est trop complexe pour être gouvernable »</w:t>
      </w:r>
    </w:p>
    <w:p>
      <w:pPr>
        <w:spacing w:after="160" w:before="80" w:line="320"/>
        <w:jc w:val="both"/>
      </w:pPr>
      <w:r>
        <w:rPr>
          <w:rFonts w:ascii="Calibri" w:cs="Calibri" w:eastAsia="Calibri" w:hAnsi="Calibri"/>
          <w:color w:val="1A1A2E"/>
          <w:sz w:val="22"/>
          <w:szCs w:val="22"/>
        </w:rPr>
        <w:t xml:space="preserve">La complexité de l'IPAA doit être comparée non à un système simple hypothétique mais au système actuel dans sa réalité — des dizaines de caisses, des centaines de régimes spéciaux, des mécanismes de compensation opaques, des règles qui changent à chaque réforme. L'IPAA ne simplifie pas le monde. Il le rend lisible. Chaque composante s'appuie sur des systèmes existants : l'URSSAF calcule déjà des cotisations individuelles complexes, le COR produit déjà des projections actuarielles, le FRR gère déjà des actifs diversifiés.</w:t>
      </w:r>
    </w:p>
    <w:p>
      <w:pPr>
        <w:spacing w:after="120" w:before="360"/>
      </w:pPr>
      <w:r>
        <w:rPr>
          <w:rFonts w:ascii="Calibri" w:cs="Calibri" w:eastAsia="Calibri" w:hAnsi="Calibri"/>
          <w:b/>
          <w:bCs/>
          <w:color w:val="1B4F8A"/>
          <w:sz w:val="28"/>
          <w:szCs w:val="28"/>
        </w:rPr>
        <w:t xml:space="preserve">8.7 — « Si c'est aussi élégant, pourquoi personne ne l'a proposé avant ? »</w:t>
      </w:r>
    </w:p>
    <w:p>
      <w:pPr>
        <w:spacing w:after="160" w:before="80" w:line="320"/>
        <w:jc w:val="both"/>
      </w:pPr>
      <w:r>
        <w:rPr>
          <w:rFonts w:ascii="Calibri" w:cs="Calibri" w:eastAsia="Calibri" w:hAnsi="Calibri"/>
          <w:color w:val="1A1A2E"/>
          <w:sz w:val="22"/>
          <w:szCs w:val="22"/>
        </w:rPr>
        <w:t xml:space="preserve">Trois raisons. La première est technologique : la surveillance algorithmique en temps réel sur données publiques granulaires n'était pas praticable avant 2020. La deuxième est politique : l'IPAA nécessite qu'un gouvernement accepte de se dessaisir d'un levier de pouvoir — acte rare qui demande que l'instabilité soit devenue plus coûteuse que le renoncement. La troisième est intellectuelle : la synthèse de mécanismes connus (stabilisateurs automatiques, gouvernance indépendante, progressivité par décile, transparence algorithmique) dans une architecture cohérente ne va pas de soi.</w:t>
      </w:r>
    </w:p>
    <w:p>
      <w:pPr>
        <w:spacing w:after="120" w:before="360"/>
      </w:pPr>
      <w:r>
        <w:rPr>
          <w:rFonts w:ascii="Calibri" w:cs="Calibri" w:eastAsia="Calibri" w:hAnsi="Calibri"/>
          <w:b/>
          <w:bCs/>
          <w:color w:val="1B4F8A"/>
          <w:sz w:val="28"/>
          <w:szCs w:val="28"/>
        </w:rPr>
        <w:t xml:space="preserve">8.8 — « N'est-ce pas une forme de communisme dissimulé ? »</w:t>
      </w:r>
    </w:p>
    <w:p>
      <w:pPr>
        <w:spacing w:after="160" w:before="80" w:line="320"/>
        <w:jc w:val="both"/>
      </w:pPr>
      <w:r>
        <w:rPr>
          <w:rFonts w:ascii="Calibri" w:cs="Calibri" w:eastAsia="Calibri" w:hAnsi="Calibri"/>
          <w:color w:val="1A1A2E"/>
          <w:sz w:val="22"/>
          <w:szCs w:val="22"/>
        </w:rPr>
        <w:t xml:space="preserve">Non, et voici pourquoi de façon précise. Le communisme repose sur trois piliers : propriété collective des moyens de production, planification centrale, élimination du marché. L'IPAA ne touche à aucun de ces trois piliers. Les entreprises restent privées. Les banques gestionnaires restent privées. L'IPAA utilise activement le marché — les gestionnaires sont en concurrence pour les mandats, le protocole de garantie inter-bancaire crée un marché de la discipline.</w:t>
      </w:r>
    </w:p>
    <w:p>
      <w:pPr>
        <w:spacing w:after="160" w:before="80" w:line="320"/>
        <w:jc w:val="both"/>
      </w:pPr>
      <w:r>
        <w:rPr>
          <w:rFonts w:ascii="Calibri" w:cs="Calibri" w:eastAsia="Calibri" w:hAnsi="Calibri"/>
          <w:color w:val="1A1A2E"/>
          <w:sz w:val="22"/>
          <w:szCs w:val="22"/>
        </w:rPr>
        <w:t xml:space="preserve">Ce que l'IPAA fait réellement, c'est appliquer à la gestion des retraites le même modèle que les démocraties libérales les plus avancées appliquent à la politique monétaire : une délégation technique à une instance indépendante, avec des règles transparentes, dans un cadre démocratiquement défini. La BCE n'est pas communiste. Investissements RPC n'est pas communiste. La fonctionnalité n'a pas d'idéologie.</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Section 9 — Conclusion et appel à la CETP</w:t>
      </w:r>
    </w:p>
    <w:p>
      <w:pPr>
        <w:spacing w:after="120" w:before="360"/>
      </w:pPr>
      <w:r>
        <w:rPr>
          <w:rFonts w:ascii="Calibri" w:cs="Calibri" w:eastAsia="Calibri" w:hAnsi="Calibri"/>
          <w:b/>
          <w:bCs/>
          <w:color w:val="1B4F8A"/>
          <w:sz w:val="28"/>
          <w:szCs w:val="28"/>
        </w:rPr>
        <w:t xml:space="preserve">9.1 — Ce que ce working paper a démontré</w:t>
      </w:r>
    </w:p>
    <w:p>
      <w:pPr>
        <w:spacing w:after="160" w:before="80" w:line="320"/>
        <w:jc w:val="both"/>
      </w:pPr>
      <w:r>
        <w:rPr>
          <w:rFonts w:ascii="Calibri" w:cs="Calibri" w:eastAsia="Calibri" w:hAnsi="Calibri"/>
          <w:color w:val="1A1A2E"/>
          <w:sz w:val="22"/>
          <w:szCs w:val="22"/>
        </w:rPr>
        <w:t xml:space="preserve">Ce document a démontré que le cycle d'instabilité des réformes des retraites françaises n'est pas une fatalité démographique. Il est en partie le produit de choix politiques corrigeables.</w:t>
      </w:r>
    </w:p>
    <w:p>
      <w:pPr>
        <w:spacing w:after="160" w:before="80" w:line="320"/>
        <w:jc w:val="both"/>
      </w:pPr>
      <w:r>
        <w:rPr>
          <w:rFonts w:ascii="Calibri" w:cs="Calibri" w:eastAsia="Calibri" w:hAnsi="Calibri"/>
          <w:color w:val="1A1A2E"/>
          <w:sz w:val="22"/>
          <w:szCs w:val="22"/>
        </w:rPr>
        <w:t xml:space="preserve">Il a démontré qu'un mécanisme d'ajustement automatique, progressif et transparent est techniquement faisable avec les institutions qui existent aujourd'hui en France. Aucune infrastructure nouvelle ne doit être créée from scratch.</w:t>
      </w:r>
    </w:p>
    <w:p>
      <w:pPr>
        <w:spacing w:after="160" w:before="80" w:line="320"/>
        <w:jc w:val="both"/>
      </w:pPr>
      <w:r>
        <w:rPr>
          <w:rFonts w:ascii="Calibri" w:cs="Calibri" w:eastAsia="Calibri" w:hAnsi="Calibri"/>
          <w:color w:val="1A1A2E"/>
          <w:sz w:val="22"/>
          <w:szCs w:val="22"/>
        </w:rPr>
        <w:t xml:space="preserve">Il a démontré que le modèle canadien RPC valide empiriquement sur trois décennies que la séparation entre gouvernance politique et gestion financière d'un système de retraite public produit des résultats structurellement meilleurs que le pilotage politique.</w:t>
      </w:r>
    </w:p>
    <w:p>
      <w:pPr>
        <w:spacing w:after="120" w:before="360"/>
      </w:pPr>
      <w:r>
        <w:rPr>
          <w:rFonts w:ascii="Calibri" w:cs="Calibri" w:eastAsia="Calibri" w:hAnsi="Calibri"/>
          <w:b/>
          <w:bCs/>
          <w:color w:val="1B4F8A"/>
          <w:sz w:val="28"/>
          <w:szCs w:val="28"/>
        </w:rPr>
        <w:t xml:space="preserve">9.2 — Les quatre contributions originales de l'IPAA</w:t>
      </w:r>
    </w:p>
    <w:p>
      <w:pPr>
        <w:pStyle w:val="ListParagraph"/>
        <w:numPr>
          <w:ilvl w:val="0"/>
          <w:numId w:val="2"/>
        </w:numPr>
        <w:spacing w:after="60" w:before="60" w:line="300"/>
      </w:pPr>
      <w:r>
        <w:rPr>
          <w:rFonts w:ascii="Calibri" w:cs="Calibri" w:eastAsia="Calibri" w:hAnsi="Calibri"/>
          <w:color w:val="1A1A2E"/>
          <w:sz w:val="22"/>
          <w:szCs w:val="22"/>
        </w:rPr>
        <w:t xml:space="preserve">Architecturale : premier dispositif traitant simultanément l'ajustement des cotisations, la gestion des réserves, la solidarité inter-régimes, et la transparence publique dans un mécanisme cohérent.</w:t>
      </w:r>
    </w:p>
    <w:p>
      <w:pPr>
        <w:pStyle w:val="ListParagraph"/>
        <w:numPr>
          <w:ilvl w:val="0"/>
          <w:numId w:val="2"/>
        </w:numPr>
        <w:spacing w:after="60" w:before="60" w:line="300"/>
      </w:pPr>
      <w:r>
        <w:rPr>
          <w:rFonts w:ascii="Calibri" w:cs="Calibri" w:eastAsia="Calibri" w:hAnsi="Calibri"/>
          <w:color w:val="1A1A2E"/>
          <w:sz w:val="22"/>
          <w:szCs w:val="22"/>
        </w:rPr>
        <w:t xml:space="preserve">Gouvernementale : séparation stricte entre définition démocratique des règles et exécution algorithmique, constitutionnellement protégée.</w:t>
      </w:r>
    </w:p>
    <w:p>
      <w:pPr>
        <w:pStyle w:val="ListParagraph"/>
        <w:numPr>
          <w:ilvl w:val="0"/>
          <w:numId w:val="2"/>
        </w:numPr>
        <w:spacing w:after="60" w:before="60" w:line="300"/>
      </w:pPr>
      <w:r>
        <w:rPr>
          <w:rFonts w:ascii="Calibri" w:cs="Calibri" w:eastAsia="Calibri" w:hAnsi="Calibri"/>
          <w:color w:val="1A1A2E"/>
          <w:sz w:val="22"/>
          <w:szCs w:val="22"/>
        </w:rPr>
        <w:t xml:space="preserve">Technologique : surveillance algorithmique en temps réel — changement de paradigme du pilotage par rétroviseur au pilotage prédictif.</w:t>
      </w:r>
    </w:p>
    <w:p>
      <w:pPr>
        <w:pStyle w:val="ListParagraph"/>
        <w:numPr>
          <w:ilvl w:val="0"/>
          <w:numId w:val="2"/>
        </w:numPr>
        <w:spacing w:after="60" w:before="60" w:line="300"/>
      </w:pPr>
      <w:r>
        <w:rPr>
          <w:rFonts w:ascii="Calibri" w:cs="Calibri" w:eastAsia="Calibri" w:hAnsi="Calibri"/>
          <w:color w:val="1A1A2E"/>
          <w:sz w:val="22"/>
          <w:szCs w:val="22"/>
        </w:rPr>
        <w:t xml:space="preserve">Pédagogique : simulateur citoyen et tableau de bord permanent transformant un sujet opaque en information vérifiable par tous.</w:t>
      </w:r>
    </w:p>
    <w:p>
      <w:pPr>
        <w:spacing w:after="120" w:before="360"/>
      </w:pPr>
      <w:r>
        <w:rPr>
          <w:rFonts w:ascii="Calibri" w:cs="Calibri" w:eastAsia="Calibri" w:hAnsi="Calibri"/>
          <w:b/>
          <w:bCs/>
          <w:color w:val="1B4F8A"/>
          <w:sz w:val="28"/>
          <w:szCs w:val="28"/>
        </w:rPr>
        <w:t xml:space="preserve">9.3 — Demande formelle : la création de la CETP</w:t>
      </w:r>
    </w:p>
    <w:p>
      <w:pPr>
        <w:spacing w:after="160" w:before="80" w:line="320"/>
        <w:jc w:val="both"/>
      </w:pPr>
      <w:r>
        <w:rPr>
          <w:rFonts w:ascii="Calibri" w:cs="Calibri" w:eastAsia="Calibri" w:hAnsi="Calibri"/>
          <w:color w:val="1A1A2E"/>
          <w:sz w:val="22"/>
          <w:szCs w:val="22"/>
        </w:rPr>
        <w:t xml:space="preserve">Au terme de cette analyse, Cabin Skolar formule une demande formelle et unique : la création d'une Commission d'Étude Technique Pluripartite chargée d'examiner, de tester, et si les résultats le justifient, de légiférer sur le dispositif IPAA.</w:t>
      </w:r>
    </w:p>
    <w:p>
      <w:pPr>
        <w:spacing w:after="160" w:before="80" w:line="320"/>
        <w:jc w:val="both"/>
      </w:pPr>
      <w:r>
        <w:rPr>
          <w:rFonts w:ascii="Calibri" w:cs="Calibri" w:eastAsia="Calibri" w:hAnsi="Calibri"/>
          <w:color w:val="1A1A2E"/>
          <w:sz w:val="22"/>
          <w:szCs w:val="22"/>
        </w:rPr>
        <w:t xml:space="preserve">Cette demande n'est pas une demande d'adoption immédiate. C'est une demande d'examen sérieux. Si les projections ne tiennent pas sur données réelles — ce sera une conclusion utile. Si le mécanisme est validé — la CETP aura produit quelque chose d'historiquement rare : un projet de loi sur les retraites reposant sur des données vérifiables, des règles transparentes, et un consensus technique pluripartite.</w:t>
      </w:r>
    </w:p>
    <w:p>
      <w:pPr>
        <w:spacing w:after="160" w:before="80" w:line="320"/>
        <w:jc w:val="both"/>
      </w:pPr>
      <w:r>
        <w:rPr>
          <w:rFonts w:ascii="Calibri" w:cs="Calibri" w:eastAsia="Calibri" w:hAnsi="Calibri"/>
          <w:color w:val="1A1A2E"/>
          <w:sz w:val="22"/>
          <w:szCs w:val="22"/>
        </w:rPr>
        <w:t xml:space="preserve">Mandat de la CETP en trois missions sur 18 mois : validation de la modélisation sur données officielles, calibration des constantes légales (βi, CFРР, SCible, plafond ∆τ), rédaction du projet de loi organique complet prêt à être soumis au vote.</w:t>
      </w:r>
    </w:p>
    <w:p>
      <w:pPr>
        <w:spacing w:after="120" w:before="360"/>
      </w:pPr>
      <w:r>
        <w:rPr>
          <w:rFonts w:ascii="Calibri" w:cs="Calibri" w:eastAsia="Calibri" w:hAnsi="Calibri"/>
          <w:b/>
          <w:bCs/>
          <w:color w:val="1B4F8A"/>
          <w:sz w:val="28"/>
          <w:szCs w:val="28"/>
        </w:rPr>
        <w:t xml:space="preserve">9.4 — Mot de la fin</w:t>
      </w:r>
    </w:p>
    <w:p>
      <w:pPr>
        <w:pBdr>
          <w:left w:val="single" w:color="1B4F8A" w:sz="12" w:space="8"/>
        </w:pBdr>
        <w:spacing w:after="160" w:before="160" w:line="300"/>
        <w:ind w:left="720" w:right="720"/>
      </w:pPr>
      <w:r>
        <w:rPr>
          <w:rFonts w:ascii="Calibri" w:cs="Calibri" w:eastAsia="Calibri" w:hAnsi="Calibri"/>
          <w:i/>
          <w:iCs/>
          <w:color w:val="444444"/>
          <w:sz w:val="22"/>
          <w:szCs w:val="22"/>
        </w:rPr>
        <w:t xml:space="preserve">L'IPAA n'est pas une promesse politique. C'est une architecture. Elle ne demande pas la confiance dans un gouvernement, dans un parti, ou dans une idéologie. Elle demande la confiance dans une mécanique publique, transparente, et vérifiable par tous. La confiance dans une mécanique se construit différemment de la confiance dans une promesse. Une promesse peut être trahie sans laisser de trace. Une mécanique défaillante est visible immédiatement, par tout le monde, sur retraite.gouv.fr.</w:t>
      </w:r>
    </w:p>
    <w:p>
      <w:pPr>
        <w:spacing w:after="160" w:before="80" w:line="320"/>
        <w:jc w:val="both"/>
      </w:pPr>
      <w:r>
        <w:rPr>
          <w:rFonts w:ascii="Calibri" w:cs="Calibri" w:eastAsia="Calibri" w:hAnsi="Calibri"/>
          <w:color w:val="1A1A2E"/>
          <w:sz w:val="22"/>
          <w:szCs w:val="22"/>
        </w:rPr>
        <w:t xml:space="preserve">Le seul choix politique qui restera après l'adoption de l'IPAA est de savoir si un gouvernement accepte de se dessaisir d'un levier. Le paradoxe est que ce dessaisissement est lui-même un gain politique — celui de ne plus porter la responsabilité d'un système qui échoue, et de pouvoir revendiquer la paternité d'un système qui fonctionne.</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Annexe A1 — Modélisation détaillée des scénarios et analyse de sensibilité</w:t>
      </w:r>
    </w:p>
    <w:p>
      <w:pPr>
        <w:shd w:fill="EEF2F7" w:val="clear"/>
        <w:spacing w:after="80" w:before="80" w:line="280"/>
        <w:ind w:left="360" w:right="360"/>
      </w:pPr>
      <w:r>
        <w:rPr>
          <w:rFonts w:ascii="Calibri" w:cs="Calibri" w:eastAsia="Calibri" w:hAnsi="Calibri"/>
          <w:i/>
          <w:iCs/>
          <w:color w:val="555555"/>
          <w:sz w:val="20"/>
          <w:szCs w:val="20"/>
        </w:rPr>
        <w:t xml:space="preserve">Les modélisations présentées sont construites sur des données publiques disponibles à la date de rédaction. Elles constituent un cadre de référence destiné à être reproduit, testé et corrigé par la CETP sur données officielles complètes.</w:t>
      </w:r>
    </w:p>
    <w:p>
      <w:pPr>
        <w:spacing w:after="120" w:before="360"/>
      </w:pPr>
      <w:r>
        <w:rPr>
          <w:rFonts w:ascii="Calibri" w:cs="Calibri" w:eastAsia="Calibri" w:hAnsi="Calibri"/>
          <w:b/>
          <w:bCs/>
          <w:color w:val="1B4F8A"/>
          <w:sz w:val="28"/>
          <w:szCs w:val="28"/>
        </w:rPr>
        <w:t xml:space="preserve">A1.1 — Paramètres de base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tblGrid>
      <w:tr>
        <w:trPr>
          <w:tblHeader/>
        </w:trPr>
        <w:tc>
          <w:tcPr>
            <w:tcW w:type="dxa" w:w="3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Paramètre</w:t>
            </w:r>
          </w:p>
        </w:tc>
        <w:tc>
          <w:tcPr>
            <w:tcW w:type="dxa" w:w="2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Valeur</w:t>
            </w:r>
          </w:p>
        </w:tc>
        <w:tc>
          <w:tcPr>
            <w:tcW w:type="dxa" w:w="2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r>
      <w:tr>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Déficit structurel 2025</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14,5 Md€</w:t>
            </w:r>
          </w:p>
        </w:tc>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COR 2024</w:t>
            </w:r>
          </w:p>
        </w:tc>
      </w:tr>
      <w:tr>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Dépenses totales retraite 2025</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345 Md€</w:t>
            </w:r>
          </w:p>
        </w:tc>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DREES 2024</w:t>
            </w:r>
          </w:p>
        </w:tc>
      </w:tr>
      <w:tr>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Recettes totales cotisations 2025</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330,5 Md€</w:t>
            </w:r>
          </w:p>
        </w:tc>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DREES 2024</w:t>
            </w:r>
          </w:p>
        </w:tc>
      </w:tr>
      <w:tr>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Actifs FRR 2025</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26,2 Md€</w:t>
            </w:r>
          </w:p>
        </w:tc>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FRR 2023</w:t>
            </w:r>
          </w:p>
        </w:tc>
      </w:tr>
      <w:tr>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Assiette totale cotisations retraite</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890 Md€</w:t>
            </w:r>
          </w:p>
        </w:tc>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URSSAF 2023</w:t>
            </w:r>
          </w:p>
        </w:tc>
      </w:tr>
      <w:tr>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Part masse salariale / PIB</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54,2%</w:t>
            </w:r>
          </w:p>
        </w:tc>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INSEE 2024</w:t>
            </w:r>
          </w:p>
        </w:tc>
      </w:tr>
    </w:tbl>
    <w:p>
      <w:pPr>
        <w:spacing w:after="120" w:before="360"/>
      </w:pPr>
      <w:r>
        <w:rPr>
          <w:rFonts w:ascii="Calibri" w:cs="Calibri" w:eastAsia="Calibri" w:hAnsi="Calibri"/>
          <w:b/>
          <w:bCs/>
          <w:color w:val="1B4F8A"/>
          <w:sz w:val="28"/>
          <w:szCs w:val="28"/>
        </w:rPr>
        <w:t xml:space="preserve">A1.2 — Projection du déficit sans IPAA</w:t>
      </w:r>
    </w:p>
    <w:p>
      <w:pPr>
        <w:spacing w:after="160" w:before="80" w:line="320"/>
        <w:jc w:val="both"/>
      </w:pPr>
      <w:r>
        <w:rPr>
          <w:rFonts w:ascii="Calibri" w:cs="Calibri" w:eastAsia="Calibri" w:hAnsi="Calibri"/>
          <w:color w:val="1A1A2E"/>
          <w:sz w:val="22"/>
          <w:szCs w:val="22"/>
        </w:rPr>
        <w:t xml:space="preserve">Formule de projection : D(t) = Dépenses(t) — Recettes(t), avec ajustement démographique et masse salariale selon les scénarios COR A, B et C. Les résultats sont présentés en Section 4.4.</w:t>
      </w:r>
    </w:p>
    <w:p>
      <w:pPr>
        <w:spacing w:after="120" w:before="360"/>
      </w:pPr>
      <w:r>
        <w:rPr>
          <w:rFonts w:ascii="Calibri" w:cs="Calibri" w:eastAsia="Calibri" w:hAnsi="Calibri"/>
          <w:b/>
          <w:bCs/>
          <w:color w:val="1B4F8A"/>
          <w:sz w:val="28"/>
          <w:szCs w:val="28"/>
        </w:rPr>
        <w:t xml:space="preserve">A1.3 — Calcul du ∆τ par décile — Exemple année 2028</w:t>
      </w:r>
    </w:p>
    <w:p>
      <w:pPr>
        <w:spacing w:after="160" w:before="80" w:line="320"/>
        <w:jc w:val="both"/>
      </w:pPr>
      <w:r>
        <w:rPr>
          <w:rFonts w:ascii="Calibri" w:cs="Calibri" w:eastAsia="Calibri" w:hAnsi="Calibri"/>
          <w:b w:val="false"/>
          <w:bCs w:val="false"/>
          <w:color w:val="1A1A2E"/>
          <w:sz w:val="22"/>
          <w:szCs w:val="22"/>
        </w:rPr>
        <w:t xml:space="preserve">EReq 2028 = 8,7 Md€ + SCible (3 Md€) = </w:t>
      </w:r>
      <w:r>
        <w:rPr>
          <w:rFonts w:ascii="Calibri" w:cs="Calibri" w:eastAsia="Calibri" w:hAnsi="Calibri"/>
          <w:b/>
          <w:bCs/>
          <w:color w:val="1A1A2E"/>
          <w:sz w:val="22"/>
          <w:szCs w:val="22"/>
        </w:rPr>
        <w:t xml:space="preserve">11,7 Md€</w:t>
      </w:r>
    </w:p>
    <w:p>
      <w:pPr>
        <w:spacing w:after="160" w:before="80" w:line="320"/>
        <w:jc w:val="both"/>
      </w:pPr>
      <w:r>
        <w:rPr>
          <w:rFonts w:ascii="Calibri" w:cs="Calibri" w:eastAsia="Calibri" w:hAnsi="Calibri"/>
          <w:b w:val="false"/>
          <w:bCs w:val="false"/>
          <w:color w:val="1A1A2E"/>
          <w:sz w:val="22"/>
          <w:szCs w:val="22"/>
        </w:rPr>
        <w:t xml:space="preserve">Assiette Élargie 2028 estimée = </w:t>
      </w:r>
      <w:r>
        <w:rPr>
          <w:rFonts w:ascii="Calibri" w:cs="Calibri" w:eastAsia="Calibri" w:hAnsi="Calibri"/>
          <w:b/>
          <w:bCs/>
          <w:color w:val="1A1A2E"/>
          <w:sz w:val="22"/>
          <w:szCs w:val="22"/>
        </w:rPr>
        <w:t xml:space="preserve">950 Md€</w:t>
      </w:r>
    </w:p>
    <w:p>
      <w:pPr>
        <w:spacing w:after="160" w:before="80" w:line="320"/>
        <w:jc w:val="both"/>
      </w:pPr>
      <w:r>
        <w:rPr>
          <w:rFonts w:ascii="Calibri" w:cs="Calibri" w:eastAsia="Calibri" w:hAnsi="Calibri"/>
          <w:b w:val="false"/>
          <w:bCs w:val="false"/>
          <w:color w:val="1A1A2E"/>
          <w:sz w:val="22"/>
          <w:szCs w:val="22"/>
        </w:rPr>
        <w:t xml:space="preserve">∆τ global = 11,7 / 950 = </w:t>
      </w:r>
      <w:r>
        <w:rPr>
          <w:rFonts w:ascii="Calibri" w:cs="Calibri" w:eastAsia="Calibri" w:hAnsi="Calibri"/>
          <w:b/>
          <w:bCs/>
          <w:color w:val="1A1A2E"/>
          <w:sz w:val="22"/>
          <w:szCs w:val="22"/>
        </w:rPr>
        <w:t xml:space="preserve">1,23 points de cotisation</w:t>
      </w:r>
    </w:p>
    <w:p>
      <w:pPr>
        <w:spacing w:after="160" w:before="80" w:line="320"/>
        <w:jc w:val="both"/>
      </w:pPr>
      <w:r>
        <w:rPr>
          <w:rFonts w:ascii="Calibri" w:cs="Calibri" w:eastAsia="Calibri" w:hAnsi="Calibri"/>
          <w:color w:val="1A1A2E"/>
          <w:sz w:val="22"/>
          <w:szCs w:val="22"/>
        </w:rPr>
        <w:t xml:space="preserve">Lissé sur 7 ans : environ 0,18 point par an. La clause de sauvegarde (plafond indicatif 0,1 point) est partiellement activée les premières années, le FRR compensant l'excédent au-delà du plafond.</w:t>
      </w:r>
    </w:p>
    <w:p>
      <w:pPr>
        <w:spacing w:after="120" w:before="360"/>
      </w:pPr>
      <w:r>
        <w:rPr>
          <w:rFonts w:ascii="Calibri" w:cs="Calibri" w:eastAsia="Calibri" w:hAnsi="Calibri"/>
          <w:b/>
          <w:bCs/>
          <w:color w:val="1B4F8A"/>
          <w:sz w:val="28"/>
          <w:szCs w:val="28"/>
        </w:rPr>
        <w:t xml:space="preserve">A1.4 — Analyse de sensibilité</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200"/>
      </w:tblGrid>
      <w:tr>
        <w:trPr>
          <w:tblHeader/>
        </w:trPr>
        <w:tc>
          <w:tcPr>
            <w:tcW w:type="dxa" w:w="2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W w:type="dxa" w:w="1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Valeur centrale</w:t>
            </w:r>
          </w:p>
        </w:tc>
        <w:tc>
          <w:tcPr>
            <w:tcW w:type="dxa" w:w="1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Variation basse</w:t>
            </w:r>
          </w:p>
        </w:tc>
        <w:tc>
          <w:tcPr>
            <w:tcW w:type="dxa" w:w="1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Variation haute</w:t>
            </w:r>
          </w:p>
        </w:tc>
        <w:tc>
          <w:tcPr>
            <w:tcW w:type="dxa" w:w="2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Impact déficit 2035</w:t>
            </w:r>
          </w:p>
        </w:tc>
      </w:tr>
      <w:tr>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Rendement FRR</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7,5%</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5,0%</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10,0%</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±18 Md€ sur actifs FRR</w:t>
            </w:r>
          </w:p>
        </w:tc>
      </w:tr>
      <w:tr>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Croissance masse salariale</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2,5%</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1,0%</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4,0%</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±4,2 Md€/an</w:t>
            </w:r>
          </w:p>
        </w:tc>
      </w:tr>
      <w:tr>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Ratio actifs/retraités 2040</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1,50</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1,30</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1,70</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±3,8 Md€/an</w:t>
            </w:r>
          </w:p>
        </w:tc>
      </w:tr>
      <w:tr>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Taux de chômage 2035</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7,5%</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10,0%</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5,5%</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±3,1 Md€/an</w:t>
            </w:r>
          </w:p>
        </w:tc>
      </w:tr>
    </w:tbl>
    <w:p>
      <w:pPr>
        <w:spacing w:after="120" w:before="360"/>
      </w:pPr>
      <w:r>
        <w:rPr>
          <w:rFonts w:ascii="Calibri" w:cs="Calibri" w:eastAsia="Calibri" w:hAnsi="Calibri"/>
          <w:b/>
          <w:bCs/>
          <w:color w:val="1B4F8A"/>
          <w:sz w:val="28"/>
          <w:szCs w:val="28"/>
        </w:rPr>
        <w:t xml:space="preserve">A1.5 — Test de résistance : choc exogène majeur</w:t>
      </w:r>
    </w:p>
    <w:p>
      <w:pPr>
        <w:spacing w:after="160" w:before="80" w:line="320"/>
        <w:jc w:val="both"/>
      </w:pPr>
      <w:r>
        <w:rPr>
          <w:rFonts w:ascii="Calibri" w:cs="Calibri" w:eastAsia="Calibri" w:hAnsi="Calibri"/>
          <w:color w:val="1A1A2E"/>
          <w:sz w:val="22"/>
          <w:szCs w:val="22"/>
        </w:rPr>
        <w:t xml:space="preserve">Scénario de stress : récession de -3% du PIB pendant deux années consécutives (2028-2029).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c>
          <w:tcPr>
            <w:tcW w:type="dxa" w:w="59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Montant</w:t>
            </w:r>
          </w:p>
        </w:tc>
      </w:tr>
      <w:tr>
        <w:tc>
          <w:tcPr>
            <w:tcW w:type="dxa" w:w="3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Perte de recettes cotisations</w:t>
            </w:r>
          </w:p>
        </w:tc>
        <w:tc>
          <w:tcPr>
            <w:tcW w:type="dxa" w:w="5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-8,5 Md€ sur la période</w:t>
            </w:r>
          </w:p>
        </w:tc>
      </w:tr>
      <w:tr>
        <w:tc>
          <w:tcPr>
            <w:tcW w:type="dxa" w:w="3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Hausse des dépenses</w:t>
            </w:r>
          </w:p>
        </w:tc>
        <w:tc>
          <w:tcPr>
            <w:tcW w:type="dxa" w:w="5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+3,2 Md€</w:t>
            </w:r>
          </w:p>
        </w:tc>
      </w:tr>
      <w:tr>
        <w:tc>
          <w:tcPr>
            <w:tcW w:type="dxa" w:w="3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Perte de rendement FRR</w:t>
            </w:r>
          </w:p>
        </w:tc>
        <w:tc>
          <w:tcPr>
            <w:tcW w:type="dxa" w:w="5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-4,1 Md€ sur les actifs</w:t>
            </w:r>
          </w:p>
        </w:tc>
      </w:tr>
      <w:tr>
        <w:tc>
          <w:tcPr>
            <w:tcW w:type="dxa" w:w="3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Absorption CCP (niveau 0)</w:t>
            </w:r>
          </w:p>
        </w:tc>
        <w:tc>
          <w:tcPr>
            <w:tcW w:type="dxa" w:w="5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2,5 Md€</w:t>
            </w:r>
          </w:p>
        </w:tc>
      </w:tr>
      <w:tr>
        <w:tc>
          <w:tcPr>
            <w:tcW w:type="dxa" w:w="3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Absorption CFРР (niveau 1)</w:t>
            </w:r>
          </w:p>
        </w:tc>
        <w:tc>
          <w:tcPr>
            <w:tcW w:type="dxa" w:w="5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2,6 Md€</w:t>
            </w:r>
          </w:p>
        </w:tc>
      </w:tr>
      <w:tr>
        <w:tc>
          <w:tcPr>
            <w:tcW w:type="dxa" w:w="3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Clause de sauvegarde — FRR exceptionnel</w:t>
            </w:r>
          </w:p>
        </w:tc>
        <w:tc>
          <w:tcPr>
            <w:tcW w:type="dxa" w:w="59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6,1 Md€</w:t>
            </w:r>
          </w:p>
        </w:tc>
      </w:tr>
      <w:tr>
        <w:tc>
          <w:tcPr>
            <w:tcW w:type="dxa" w:w="3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∆τ pendant la récession</w:t>
            </w:r>
          </w:p>
        </w:tc>
        <w:tc>
          <w:tcPr>
            <w:tcW w:type="dxa" w:w="59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GELÉ — ne pas aggraver la contraction</w:t>
            </w:r>
          </w:p>
        </w:tc>
      </w:tr>
    </w:tbl>
    <w:p>
      <w:pPr>
        <w:spacing w:after="160" w:before="80" w:line="320"/>
        <w:jc w:val="both"/>
      </w:pPr>
      <w:r>
        <w:rPr>
          <w:rFonts w:ascii="Calibri" w:cs="Calibri" w:eastAsia="Calibri" w:hAnsi="Calibri"/>
          <w:color w:val="1A1A2E"/>
          <w:sz w:val="22"/>
          <w:szCs w:val="22"/>
        </w:rPr>
        <w:t xml:space="preserve">Résultat : le système absorbe le choc sans effondrement. La trajectoire d'équilibre est décalée de deux à trois ans. Le FRR perd environ 15% de sa valeur projetée mais reste au-dessus du seuil de viabilité de la CFРР.</w:t>
      </w:r>
    </w:p>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Annexe A2 — Cadre légal et modifications nécessaires</w:t>
      </w:r>
    </w:p>
    <w:p>
      <w:pPr>
        <w:shd w:fill="EEF2F7" w:val="clear"/>
        <w:spacing w:after="80" w:before="80" w:line="280"/>
        <w:ind w:left="360" w:right="360"/>
      </w:pPr>
      <w:r>
        <w:rPr>
          <w:rFonts w:ascii="Calibri" w:cs="Calibri" w:eastAsia="Calibri" w:hAnsi="Calibri"/>
          <w:i/>
          <w:iCs/>
          <w:color w:val="555555"/>
          <w:sz w:val="20"/>
          <w:szCs w:val="20"/>
        </w:rPr>
        <w:t xml:space="preserve">Cette annexe identifie les modifications nécessaires dans leur principe. Le détail technique relève du mandat de la CETP et de ses juristes. Les références aux articles sont indicatives sur la base du droit en vigueur en 2025.</w:t>
      </w:r>
    </w:p>
    <w:p>
      <w:pPr>
        <w:spacing w:after="120" w:before="360"/>
      </w:pPr>
      <w:r>
        <w:rPr>
          <w:rFonts w:ascii="Calibri" w:cs="Calibri" w:eastAsia="Calibri" w:hAnsi="Calibri"/>
          <w:b/>
          <w:bCs/>
          <w:color w:val="1B4F8A"/>
          <w:sz w:val="28"/>
          <w:szCs w:val="28"/>
        </w:rPr>
        <w:t xml:space="preserve">A2.1 — Architecture juridique d'ensemble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600"/>
      </w:tblGrid>
      <w:tr>
        <w:trPr>
          <w:tblHeader/>
        </w:trPr>
        <w:tc>
          <w:tcPr>
            <w:tcW w:type="dxa" w:w="2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Niveau</w:t>
            </w:r>
          </w:p>
        </w:tc>
        <w:tc>
          <w:tcPr>
            <w:tcW w:type="dxa" w:w="2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Texte</w:t>
            </w:r>
          </w:p>
        </w:tc>
        <w:tc>
          <w:tcPr>
            <w:tcW w:type="dxa" w:w="46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Nature de la modification</w:t>
            </w:r>
          </w:p>
        </w:tc>
      </w:tr>
      <w:tr>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 — Constitution</w:t>
            </w:r>
          </w:p>
        </w:tc>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Art. 89 de la Constitution</w:t>
            </w:r>
          </w:p>
        </w:tc>
        <w:tc>
          <w:tcPr>
            <w:tcW w:type="dxa" w:w="4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Nouvel article inscrivant la règle d'affectation stricte des flux financiers du système de retraite</w:t>
            </w:r>
          </w:p>
        </w:tc>
      </w:tr>
      <w:tr>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 — LOLF</w:t>
            </w:r>
          </w:p>
        </w:tc>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Loi organique n° 2001-692</w:t>
            </w:r>
          </w:p>
        </w:tc>
        <w:tc>
          <w:tcPr>
            <w:tcW w:type="dxa" w:w="4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Exclusion du FRR et de la CCP du périmètre comptable des finances de l'État</w:t>
            </w:r>
          </w:p>
        </w:tc>
      </w:tr>
      <w:tr>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 — CSS</w:t>
            </w:r>
          </w:p>
        </w:tc>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Code de la Sécurité Sociale</w:t>
            </w:r>
          </w:p>
        </w:tc>
        <w:tc>
          <w:tcPr>
            <w:tcW w:type="dxa" w:w="4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Assiette contributive, mandat FRR, création CCP, mécanisme AC-IPAA, mandats bancaires, CST</w:t>
            </w:r>
          </w:p>
        </w:tc>
      </w:tr>
      <w:tr>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4 — Réglementaire</w:t>
            </w:r>
          </w:p>
        </w:tc>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Décrets d'application</w:t>
            </w:r>
          </w:p>
        </w:tc>
        <w:tc>
          <w:tcPr>
            <w:tcW w:type="dxa" w:w="4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Modalités techniques du CST, cycle annuel, reporting bancaire, retraite.gouv.fr</w:t>
            </w:r>
          </w:p>
        </w:tc>
      </w:tr>
    </w:tbl>
    <w:p>
      <w:pPr>
        <w:spacing w:after="120" w:before="360"/>
      </w:pPr>
      <w:r>
        <w:rPr>
          <w:rFonts w:ascii="Calibri" w:cs="Calibri" w:eastAsia="Calibri" w:hAnsi="Calibri"/>
          <w:b/>
          <w:bCs/>
          <w:color w:val="1B4F8A"/>
          <w:sz w:val="28"/>
          <w:szCs w:val="28"/>
        </w:rPr>
        <w:t xml:space="preserve">A2.2 — Modifications constitutionnelles</w:t>
      </w:r>
    </w:p>
    <w:p>
      <w:pPr>
        <w:spacing w:after="160" w:before="80" w:line="320"/>
        <w:jc w:val="both"/>
      </w:pPr>
      <w:r>
        <w:rPr>
          <w:rFonts w:ascii="Calibri" w:cs="Calibri" w:eastAsia="Calibri" w:hAnsi="Calibri"/>
          <w:color w:val="1A1A2E"/>
          <w:sz w:val="22"/>
          <w:szCs w:val="22"/>
        </w:rPr>
        <w:t xml:space="preserve">Nouvel article proposé : « Les ressources affectées au financement des retraites et les revenus générés par leur gestion sont exclusivement destinés au service des prestations de retraite et à la constitution de réserves destinées à leur pérennité. Toute affectation à d'autres fins est interdite. La loi organique détermine les conditions d'application du présent article. »</w:t>
      </w:r>
    </w:p>
    <w:p>
      <w:pPr>
        <w:spacing w:after="160" w:before="80" w:line="320"/>
        <w:jc w:val="both"/>
      </w:pPr>
      <w:r>
        <w:rPr>
          <w:rFonts w:ascii="Calibri" w:cs="Calibri" w:eastAsia="Calibri" w:hAnsi="Calibri"/>
          <w:color w:val="1A1A2E"/>
          <w:sz w:val="22"/>
          <w:szCs w:val="22"/>
        </w:rPr>
        <w:t xml:space="preserve">Une clause d'exception est prévue — activable uniquement par les trois cinquièmes du Congrès en cas de déclaration de crise économique nationale, pour une durée maximale de deux ans renouvelable une fois.</w:t>
      </w:r>
    </w:p>
    <w:p>
      <w:pPr>
        <w:spacing w:after="120" w:before="360"/>
      </w:pPr>
      <w:r>
        <w:rPr>
          <w:rFonts w:ascii="Calibri" w:cs="Calibri" w:eastAsia="Calibri" w:hAnsi="Calibri"/>
          <w:b/>
          <w:bCs/>
          <w:color w:val="1B4F8A"/>
          <w:sz w:val="28"/>
          <w:szCs w:val="28"/>
        </w:rPr>
        <w:t xml:space="preserve">A2.3 — Principales modifications du Code de la Sécurité Sociale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Article CSS</w:t>
            </w:r>
          </w:p>
        </w:tc>
        <w:tc>
          <w:tcPr>
            <w:tcW w:type="dxa" w:w="6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Nature de la modification</w:t>
            </w:r>
          </w:p>
        </w:tc>
      </w:tr>
      <w:tr>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L. 242-1 et suivants</w:t>
            </w:r>
          </w:p>
        </w:tc>
        <w:tc>
          <w:tcPr>
            <w:tcW w:type="dxa" w:w="6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Extension de l'assiette aux BSPCE, RSU, stock-options, participation et intéressement pour D8-D10. Règle look-back triennale.</w:t>
            </w:r>
          </w:p>
        </w:tc>
      </w:tr>
      <w:tr>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L. 135-1 et suivants</w:t>
            </w:r>
          </w:p>
        </w:tc>
        <w:tc>
          <w:tcPr>
            <w:tcW w:type="dxa" w:w="6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Refonte du mandat FRR : régulateur anti-volatilité, trois compartiments étanches, définition légale de la CFРР, indépendance de gouvernance.</w:t>
            </w:r>
          </w:p>
        </w:tc>
      </w:tr>
      <w:tr>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Titre [X] nouveau</w:t>
            </w:r>
          </w:p>
        </w:tc>
        <w:tc>
          <w:tcPr>
            <w:tcW w:type="dxa" w:w="6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Création de la CCP : objet, règle de transfert algorithmique, obligation de versement, transparence.</w:t>
            </w:r>
          </w:p>
        </w:tc>
      </w:tr>
      <w:tr>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Titre IV, Chap. [X] nouveau</w:t>
            </w:r>
          </w:p>
        </w:tc>
        <w:tc>
          <w:tcPr>
            <w:tcW w:type="dxa" w:w="6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Création du mécanisme AC-IPAA : cycle annuel, formules EReq et ∆τ, coefficients βi, clause de sauvegarde, révision triennale.</w:t>
            </w:r>
          </w:p>
        </w:tc>
      </w:tr>
      <w:tr>
        <w:tc>
          <w:tcPr>
            <w:tcW w:type="dxa" w:w="2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Chap. [X] nouveau</w:t>
            </w:r>
          </w:p>
        </w:tc>
        <w:tc>
          <w:tcPr>
            <w:tcW w:type="dxa" w:w="6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Gouvernance des mandats bancaires : appel d'offres, plafond 25%, caution de performance, reporting, protocole de substitution.</w:t>
            </w:r>
          </w:p>
        </w:tc>
      </w:tr>
      <w:tr>
        <w:tc>
          <w:tcPr>
            <w:tcW w:type="dxa" w:w="2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Art. [X] nouveau</w:t>
            </w:r>
          </w:p>
        </w:tc>
        <w:tc>
          <w:tcPr>
            <w:tcW w:type="dxa" w:w="6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Création du CST : statut d'autorité administrative indépendante, 7 membres, mandats 6 ans, missions, indépendance, transparence.</w:t>
            </w:r>
          </w:p>
        </w:tc>
      </w:tr>
    </w:tbl>
    <w:p>
      <w:pPr>
        <w:spacing w:after="120" w:before="360"/>
      </w:pPr>
      <w:r>
        <w:rPr>
          <w:rFonts w:ascii="Calibri" w:cs="Calibri" w:eastAsia="Calibri" w:hAnsi="Calibri"/>
          <w:b/>
          <w:bCs/>
          <w:color w:val="1B4F8A"/>
          <w:sz w:val="28"/>
          <w:szCs w:val="28"/>
        </w:rPr>
        <w:t xml:space="preserve">A2.4 — Calendrier législatif indicatif</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200"/>
      </w:tblGrid>
      <w:tr>
        <w:trPr>
          <w:tblHeader/>
        </w:trPr>
        <w:tc>
          <w:tcPr>
            <w:tcW w:type="dxa" w:w="1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Étape</w:t>
            </w:r>
          </w:p>
        </w:tc>
        <w:tc>
          <w:tcPr>
            <w:tcW w:type="dxa" w:w="4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Contenu</w:t>
            </w:r>
          </w:p>
        </w:tc>
        <w:tc>
          <w:tcPr>
            <w:tcW w:type="dxa" w:w="2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Délai depuis création CETP</w:t>
            </w:r>
          </w:p>
        </w:tc>
      </w:tr>
      <w:tr>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Mois 1-18</w:t>
            </w:r>
          </w:p>
        </w:tc>
        <w:tc>
          <w:tcPr>
            <w:tcW w:type="dxa" w:w="4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Travaux CETP — validation, calibration, rédaction</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M+18</w:t>
            </w:r>
          </w:p>
        </w:tc>
      </w:tr>
      <w:tr>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Mois 18-21</w:t>
            </w:r>
          </w:p>
        </w:tc>
        <w:tc>
          <w:tcPr>
            <w:tcW w:type="dxa" w:w="4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Avis Conseil d'État</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M+21</w:t>
            </w:r>
          </w:p>
        </w:tc>
      </w:tr>
      <w:tr>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Mois 21-27</w:t>
            </w:r>
          </w:p>
        </w:tc>
        <w:tc>
          <w:tcPr>
            <w:tcW w:type="dxa" w:w="4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Débat et adoption parlementaire</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M+27</w:t>
            </w:r>
          </w:p>
        </w:tc>
      </w:tr>
      <w:tr>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Mois 27-30</w:t>
            </w:r>
          </w:p>
        </w:tc>
        <w:tc>
          <w:tcPr>
            <w:tcW w:type="dxa" w:w="4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Contrôle Conseil Constitutionnel et promulgation</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M+30</w:t>
            </w:r>
          </w:p>
        </w:tc>
      </w:tr>
      <w:tr>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Mois 30-42</w:t>
            </w:r>
          </w:p>
        </w:tc>
        <w:tc>
          <w:tcPr>
            <w:tcW w:type="dxa" w:w="4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Phase de mise en place infrastructure</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M+42</w:t>
            </w:r>
          </w:p>
        </w:tc>
      </w:tr>
      <w:tr>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Mois 42</w:t>
            </w:r>
          </w:p>
        </w:tc>
        <w:tc>
          <w:tcPr>
            <w:tcW w:type="dxa" w:w="4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Premier cycle AC-IPAA opérationnel</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M+42</w:t>
            </w:r>
          </w:p>
        </w:tc>
      </w:tr>
    </w:tbl>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Annexe A3 — Schéma de gouvernance et cycle annuel AC-IPAA</w:t>
      </w:r>
    </w:p>
    <w:p>
      <w:pPr>
        <w:spacing w:after="120" w:before="360"/>
      </w:pPr>
      <w:r>
        <w:rPr>
          <w:rFonts w:ascii="Calibri" w:cs="Calibri" w:eastAsia="Calibri" w:hAnsi="Calibri"/>
          <w:b/>
          <w:bCs/>
          <w:color w:val="1B4F8A"/>
          <w:sz w:val="28"/>
          <w:szCs w:val="28"/>
        </w:rPr>
        <w:t xml:space="preserve">A3.1 — Les acteurs et leurs mandats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100"/>
      </w:tblGrid>
      <w:tr>
        <w:trPr>
          <w:tblHeader/>
        </w:trPr>
        <w:tc>
          <w:tcPr>
            <w:tcW w:type="dxa" w:w="2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Acteur</w:t>
            </w:r>
          </w:p>
        </w:tc>
        <w:tc>
          <w:tcPr>
            <w:tcW w:type="dxa" w:w="3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Mandat</w:t>
            </w:r>
          </w:p>
        </w:tc>
        <w:tc>
          <w:tcPr>
            <w:tcW w:type="dxa" w:w="31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Ce qu'il ne fait PAS</w:t>
            </w:r>
          </w:p>
        </w:tc>
      </w:tr>
      <w:tr>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Parlement</w:t>
            </w:r>
          </w:p>
        </w:tc>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Définit les règles du jeu une fois à la majorité des 3/5. Reçoit l'alerte clause de sauvegarde.</w:t>
            </w:r>
          </w:p>
        </w:tc>
        <w:tc>
          <w:tcPr>
            <w:tcW w:type="dxa" w:w="3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Ne décide pas des ajustements annuels. Ne pilote pas le FRR.</w:t>
            </w:r>
          </w:p>
        </w:tc>
      </w:tr>
      <w:tr>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CETP</w:t>
            </w:r>
          </w:p>
        </w:tc>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Commission constituante : 18 mois, calibration des constantes légales, projet de loi, dissolution.</w:t>
            </w:r>
          </w:p>
        </w:tc>
        <w:tc>
          <w:tcPr>
            <w:tcW w:type="dxa" w:w="31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N'administre pas le système. Pas de budget permanent.</w:t>
            </w:r>
          </w:p>
        </w:tc>
      </w:tr>
      <w:tr>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CST</w:t>
            </w:r>
          </w:p>
        </w:tc>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Opérateur technique permanent : exécute l'algorithme, monitore en temps réel, audite les caisses, gère retraite.gouv.fr.</w:t>
            </w:r>
          </w:p>
        </w:tc>
        <w:tc>
          <w:tcPr>
            <w:tcW w:type="dxa" w:w="3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Ne modifie pas les constantes. Aucun pouvoir discrétionnaire sur les paramètres.</w:t>
            </w:r>
          </w:p>
        </w:tc>
      </w:tr>
      <w:tr>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COR</w:t>
            </w:r>
          </w:p>
        </w:tc>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Produit les projections officielles contraignantes en juin N-1.</w:t>
            </w:r>
          </w:p>
        </w:tc>
        <w:tc>
          <w:tcPr>
            <w:tcW w:type="dxa" w:w="31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Ne décide pas des ajustements. Ne pilote pas l'algorithme.</w:t>
            </w:r>
          </w:p>
        </w:tc>
      </w:tr>
      <w:tr>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FRR / CCP</w:t>
            </w:r>
          </w:p>
        </w:tc>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Gère les trois compartiments, opère la péréquation, supervise les gestionnaires bancaires.</w:t>
            </w:r>
          </w:p>
        </w:tc>
        <w:tc>
          <w:tcPr>
            <w:tcW w:type="dxa" w:w="3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Ne décide pas des taux. Ne peut pas utiliser les fonds pour autre chose que les retraites.</w:t>
            </w:r>
          </w:p>
        </w:tc>
      </w:tr>
      <w:tr>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URSSAF / INSEE</w:t>
            </w:r>
          </w:p>
        </w:tc>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Collecte des cotisations, données statistiques par décile, calcul τi individuel.</w:t>
            </w:r>
          </w:p>
        </w:tc>
        <w:tc>
          <w:tcPr>
            <w:tcW w:type="dxa" w:w="31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Aucun pouvoir discrétionnaire sur les taux.</w:t>
            </w:r>
          </w:p>
        </w:tc>
      </w:tr>
      <w:tr>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Gestionnaires bancaires</w:t>
            </w:r>
          </w:p>
        </w:tc>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Gèrent le compartiment capital de croissance sous mandat strict.</w:t>
            </w:r>
          </w:p>
        </w:tc>
        <w:tc>
          <w:tcPr>
            <w:tcW w:type="dxa" w:w="3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Accès uniquement au compartiment capital de croissance.</w:t>
            </w:r>
          </w:p>
        </w:tc>
      </w:tr>
    </w:tbl>
    <w:p>
      <w:pPr>
        <w:spacing w:after="120" w:before="360"/>
      </w:pPr>
      <w:r>
        <w:rPr>
          <w:rFonts w:ascii="Calibri" w:cs="Calibri" w:eastAsia="Calibri" w:hAnsi="Calibri"/>
          <w:b/>
          <w:bCs/>
          <w:color w:val="1B4F8A"/>
          <w:sz w:val="28"/>
          <w:szCs w:val="28"/>
        </w:rPr>
        <w:t xml:space="preserve">A3.2 — Le cycle annuel détaillé</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2600"/>
        <w:gridCol w:w="2000"/>
      </w:tblGrid>
      <w:tr>
        <w:trPr>
          <w:tblHeader/>
        </w:trPr>
        <w:tc>
          <w:tcPr>
            <w:tcW w:type="dxa" w:w="6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Étape</w:t>
            </w:r>
          </w:p>
        </w:tc>
        <w:tc>
          <w:tcPr>
            <w:tcW w:type="dxa" w:w="1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Acteur</w:t>
            </w:r>
          </w:p>
        </w:tc>
        <w:tc>
          <w:tcPr>
            <w:tcW w:type="dxa" w:w="1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26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Livrable</w:t>
            </w:r>
          </w:p>
        </w:tc>
        <w:tc>
          <w:tcPr>
            <w:tcW w:type="dxa" w:w="2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Caractère</w:t>
            </w:r>
          </w:p>
        </w:tc>
      </w:tr>
      <w:tr>
        <w:tc>
          <w:tcPr>
            <w:tcW w:type="dxa" w:w="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COR</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30 juin N-1</w:t>
            </w:r>
          </w:p>
        </w:tc>
        <w:tc>
          <w:tcPr>
            <w:tcW w:type="dxa" w:w="2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Projections déficit/solde à N+5</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Contraignant pour l'algorithme</w:t>
            </w:r>
          </w:p>
        </w:tc>
      </w:tr>
      <w:tr>
        <w:tc>
          <w:tcPr>
            <w:tcW w:type="dxa" w:w="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FRR/CCP</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15 juillet N-1</w:t>
            </w:r>
          </w:p>
        </w:tc>
        <w:tc>
          <w:tcPr>
            <w:tcW w:type="dxa" w:w="2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Capacité de péréquation disponible</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Automatique</w:t>
            </w:r>
          </w:p>
        </w:tc>
      </w:tr>
      <w:tr>
        <w:tc>
          <w:tcPr>
            <w:tcW w:type="dxa" w:w="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FRR</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31 juillet N-1</w:t>
            </w:r>
          </w:p>
        </w:tc>
        <w:tc>
          <w:tcPr>
            <w:tcW w:type="dxa" w:w="2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Valeur FRR, CFРР disponible</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Automatique</w:t>
            </w:r>
          </w:p>
        </w:tc>
      </w:tr>
      <w:tr>
        <w:tc>
          <w:tcPr>
            <w:tcW w:type="dxa" w:w="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4</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CST</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31 août N-1</w:t>
            </w:r>
          </w:p>
        </w:tc>
        <w:tc>
          <w:tcPr>
            <w:tcW w:type="dxa" w:w="2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Exécution AC-IPAA, calcul ∆τi</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Automatique — aucun pouvoir discrétionnaire</w:t>
            </w:r>
          </w:p>
        </w:tc>
      </w:tr>
      <w:tr>
        <w:tc>
          <w:tcPr>
            <w:tcW w:type="dxa" w:w="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5</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INSEE</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15 sept. N-1</w:t>
            </w:r>
          </w:p>
        </w:tc>
        <w:tc>
          <w:tcPr>
            <w:tcW w:type="dxa" w:w="2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Distribution revenus par décile</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Statistique régulière</w:t>
            </w:r>
          </w:p>
        </w:tc>
      </w:tr>
      <w:tr>
        <w:tc>
          <w:tcPr>
            <w:tcW w:type="dxa" w:w="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6</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CST → URSSAF</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20 sept. N-1</w:t>
            </w:r>
          </w:p>
        </w:tc>
        <w:tc>
          <w:tcPr>
            <w:tcW w:type="dxa" w:w="2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Notification ∆τi, calcul τi individuel</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Automatique</w:t>
            </w:r>
          </w:p>
        </w:tc>
      </w:tr>
      <w:tr>
        <w:tc>
          <w:tcPr>
            <w:tcW w:type="dxa" w:w="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7</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CST</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30 sept. N-1</w:t>
            </w:r>
          </w:p>
        </w:tc>
        <w:tc>
          <w:tcPr>
            <w:tcW w:type="dxa" w:w="2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Publication intégrale JO + retraite.gouv.fr</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Obligatoire et intégral</w:t>
            </w:r>
          </w:p>
        </w:tc>
      </w:tr>
      <w:tr>
        <w:tc>
          <w:tcPr>
            <w:tcW w:type="dxa" w:w="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8</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Tout acteur</w:t>
            </w:r>
          </w:p>
        </w:tc>
        <w:tc>
          <w:tcPr>
            <w:tcW w:type="dxa" w:w="1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 oct. — 30 nov.</w:t>
            </w:r>
          </w:p>
        </w:tc>
        <w:tc>
          <w:tcPr>
            <w:tcW w:type="dxa" w:w="2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Période de recours et vérification</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Droit ouvert</w:t>
            </w:r>
          </w:p>
        </w:tc>
      </w:tr>
      <w:tr>
        <w:tc>
          <w:tcPr>
            <w:tcW w:type="dxa" w:w="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9</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URSSAF</w:t>
            </w:r>
          </w:p>
        </w:tc>
        <w:tc>
          <w:tcPr>
            <w:tcW w:type="dxa" w:w="1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1er janvier N</w:t>
            </w:r>
          </w:p>
        </w:tc>
        <w:tc>
          <w:tcPr>
            <w:tcW w:type="dxa" w:w="2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Entrée en vigueur du nouveau τi</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Automatique</w:t>
            </w:r>
          </w:p>
        </w:tc>
      </w:tr>
    </w:tbl>
    <w:p>
      <w:pPr>
        <w:spacing w:after="120" w:before="360"/>
      </w:pPr>
      <w:r>
        <w:rPr>
          <w:rFonts w:ascii="Calibri" w:cs="Calibri" w:eastAsia="Calibri" w:hAnsi="Calibri"/>
          <w:b/>
          <w:bCs/>
          <w:color w:val="1B4F8A"/>
          <w:sz w:val="28"/>
          <w:szCs w:val="28"/>
        </w:rPr>
        <w:t xml:space="preserve">A3.3 — Niveaux d'alerte du système de surveillance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800"/>
      </w:tblGrid>
      <w:tr>
        <w:trPr>
          <w:tblHeader/>
        </w:trPr>
        <w:tc>
          <w:tcPr>
            <w:tcW w:type="dxa" w:w="1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Niveau</w:t>
            </w:r>
          </w:p>
        </w:tc>
        <w:tc>
          <w:tcPr>
            <w:tcW w:type="dxa" w:w="2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Seuil de déclenchement</w:t>
            </w:r>
          </w:p>
        </w:tc>
        <w:tc>
          <w:tcPr>
            <w:tcW w:type="dxa" w:w="3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Réponse automatique</w:t>
            </w:r>
          </w:p>
        </w:tc>
      </w:tr>
      <w:tr>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Alerte jaune — Caisses</w:t>
            </w:r>
          </w:p>
        </w:tc>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Solde mensuel inférieur de 5% à la trajectoire</w:t>
            </w:r>
          </w:p>
        </w:tc>
        <w:tc>
          <w:tcPr>
            <w:tcW w:type="dxa" w:w="3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Publication automatique, demande d'explication</w:t>
            </w:r>
          </w:p>
        </w:tc>
      </w:tr>
      <w:tr>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Alerte jaune — Gestionnaires</w:t>
            </w:r>
          </w:p>
        </w:tc>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Déviation -2% sur un mois vs trajectoire contractuelle</w:t>
            </w:r>
          </w:p>
        </w:tc>
        <w:tc>
          <w:tcPr>
            <w:tcW w:type="dxa" w:w="3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Demande d'explication motivée sous 48h, publiée</w:t>
            </w:r>
          </w:p>
        </w:tc>
      </w:tr>
      <w:tr>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Alerte orange — Caisses</w:t>
            </w:r>
          </w:p>
        </w:tc>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Solde trimestriel inférieur de 10%</w:t>
            </w:r>
          </w:p>
        </w:tc>
        <w:tc>
          <w:tcPr>
            <w:tcW w:type="dxa" w:w="3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Audit immédiat CST, surveillance renforcée 30 jours</w:t>
            </w:r>
          </w:p>
        </w:tc>
      </w:tr>
      <w:tr>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Alerte orange — Gestionnaires</w:t>
            </w:r>
          </w:p>
        </w:tc>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Déviation -5% sur un trimestre</w:t>
            </w:r>
          </w:p>
        </w:tc>
        <w:tc>
          <w:tcPr>
            <w:tcW w:type="dxa" w:w="3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Audit immédiat, mise sous surveillance renforcée</w:t>
            </w:r>
          </w:p>
        </w:tc>
      </w:tr>
      <w:tr>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Alerte rouge — Système</w:t>
            </w:r>
          </w:p>
        </w:tc>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Projection N+3 dépassant seuil clause de sauvegarde</w:t>
            </w:r>
          </w:p>
        </w:tc>
        <w:tc>
          <w:tcPr>
            <w:tcW w:type="dxa" w:w="3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Parlement alerté, FRR mobilisé, ∆τ gelé si récession</w:t>
            </w:r>
          </w:p>
        </w:tc>
      </w:tr>
      <w:tr>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Alerte rouge — Gestionnaire</w:t>
            </w:r>
          </w:p>
        </w:tc>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Déviation -8% sur un semestre</w:t>
            </w:r>
          </w:p>
        </w:tc>
        <w:tc>
          <w:tcPr>
            <w:tcW w:type="dxa" w:w="3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Ouverture fenêtre de rachat 30 jours — protocole de substitution</w:t>
            </w:r>
          </w:p>
        </w:tc>
      </w:tr>
    </w:tbl>
    <w:p>
      <w:r>
        <w:br w:type="page"/>
      </w:r>
    </w:p>
    <w:p>
      <w:pPr>
        <w:pageBreakBefore/>
        <w:pBdr>
          <w:bottom w:val="single" w:color="1B4F8A" w:sz="4" w:space="6"/>
        </w:pBdr>
        <w:spacing w:after="120" w:before="480"/>
      </w:pPr>
      <w:r>
        <w:rPr>
          <w:rFonts w:ascii="Calibri" w:cs="Calibri" w:eastAsia="Calibri" w:hAnsi="Calibri"/>
          <w:b/>
          <w:bCs/>
          <w:color w:val="1B4F8A"/>
          <w:sz w:val="36"/>
          <w:szCs w:val="36"/>
        </w:rPr>
        <w:t xml:space="preserve">Annexe A4 — Données sources et références</w:t>
      </w:r>
    </w:p>
    <w:p>
      <w:pPr>
        <w:spacing w:after="120" w:before="360"/>
      </w:pPr>
      <w:r>
        <w:rPr>
          <w:rFonts w:ascii="Calibri" w:cs="Calibri" w:eastAsia="Calibri" w:hAnsi="Calibri"/>
          <w:b/>
          <w:bCs/>
          <w:color w:val="1B4F8A"/>
          <w:sz w:val="28"/>
          <w:szCs w:val="28"/>
        </w:rPr>
        <w:t xml:space="preserve">A4.1 — Sources démographiques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100"/>
      </w:tblGrid>
      <w:tr>
        <w:trPr>
          <w:tblHeader/>
        </w:trPr>
        <w:tc>
          <w:tcPr>
            <w:tcW w:type="dxa" w:w="3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2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Producteur</w:t>
            </w:r>
          </w:p>
        </w:tc>
        <w:tc>
          <w:tcPr>
            <w:tcW w:type="dxa" w:w="41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Utilisation</w:t>
            </w:r>
          </w:p>
        </w:tc>
      </w:tr>
      <w:tr>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Projections de population 2021-2070</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INSEE</w:t>
            </w:r>
          </w:p>
        </w:tc>
        <w:tc>
          <w:tcPr>
            <w:tcW w:type="dxa" w:w="4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Scénarios démographiques, fécondité, espérance de vie, ratio actifs/retraités</w:t>
            </w:r>
          </w:p>
        </w:tc>
      </w:tr>
      <w:tr>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Tableaux de l'économie française 2024</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INSEE</w:t>
            </w:r>
          </w:p>
        </w:tc>
        <w:tc>
          <w:tcPr>
            <w:tcW w:type="dxa" w:w="41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Population active, taux d'activité par tranche d'âge</w:t>
            </w:r>
          </w:p>
        </w:tc>
      </w:tr>
      <w:tr>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Les retraités et les retraites 2024</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DREES</w:t>
            </w:r>
          </w:p>
        </w:tc>
        <w:tc>
          <w:tcPr>
            <w:tcW w:type="dxa" w:w="4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Nombre de retraités par régime, pensions moyennes, données MSA</w:t>
            </w:r>
          </w:p>
        </w:tc>
      </w:tr>
    </w:tbl>
    <w:p>
      <w:pPr>
        <w:spacing w:after="120" w:before="360"/>
      </w:pPr>
      <w:r>
        <w:rPr>
          <w:rFonts w:ascii="Calibri" w:cs="Calibri" w:eastAsia="Calibri" w:hAnsi="Calibri"/>
          <w:b/>
          <w:bCs/>
          <w:color w:val="1B4F8A"/>
          <w:sz w:val="28"/>
          <w:szCs w:val="28"/>
        </w:rPr>
        <w:t xml:space="preserve">A4.2 — Sources financières du système de retraite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00"/>
      </w:tblGrid>
      <w:tr>
        <w:trPr>
          <w:tblHeader/>
        </w:trPr>
        <w:tc>
          <w:tcPr>
            <w:tcW w:type="dxa" w:w="3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1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Producteur</w:t>
            </w:r>
          </w:p>
        </w:tc>
        <w:tc>
          <w:tcPr>
            <w:tcW w:type="dxa" w:w="43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Utilisation</w:t>
            </w:r>
          </w:p>
        </w:tc>
      </w:tr>
      <w:tr>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Rapport annuel COR 2024</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COR</w:t>
            </w:r>
          </w:p>
        </w:tc>
        <w:tc>
          <w:tcPr>
            <w:tcW w:type="dxa" w:w="43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Projections de solde 2024-2070, scénarios A/B/C/D, déficit structurel. Note : scénario central = COR B (1% productivité).</w:t>
            </w:r>
          </w:p>
        </w:tc>
      </w:tr>
      <w:tr>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Comptes de la protection sociale 2023</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DREES</w:t>
            </w:r>
          </w:p>
        </w:tc>
        <w:tc>
          <w:tcPr>
            <w:tcW w:type="dxa" w:w="43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Recettes et dépenses par branche, structure du financement</w:t>
            </w:r>
          </w:p>
        </w:tc>
      </w:tr>
      <w:tr>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Statistiques cotisations 2023</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URSSAF</w:t>
            </w:r>
          </w:p>
        </w:tc>
        <w:tc>
          <w:tcPr>
            <w:tcW w:type="dxa" w:w="43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Masse salariale, assiette de cotisation, distribution par décile</w:t>
            </w:r>
          </w:p>
        </w:tc>
      </w:tr>
      <w:tr>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Rapport annuel FRR 2023</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FRR</w:t>
            </w:r>
          </w:p>
        </w:tc>
        <w:tc>
          <w:tcPr>
            <w:tcW w:type="dxa" w:w="43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Actifs 26,2 Md€, composition du portefeuille, rendement historique</w:t>
            </w:r>
          </w:p>
        </w:tc>
      </w:tr>
    </w:tbl>
    <w:p>
      <w:pPr>
        <w:spacing w:after="120" w:before="360"/>
      </w:pPr>
      <w:r>
        <w:rPr>
          <w:rFonts w:ascii="Calibri" w:cs="Calibri" w:eastAsia="Calibri" w:hAnsi="Calibri"/>
          <w:b/>
          <w:bCs/>
          <w:color w:val="1B4F8A"/>
          <w:sz w:val="28"/>
          <w:szCs w:val="28"/>
        </w:rPr>
        <w:t xml:space="preserve">A4.3 — Sources sur les systèmes de retraite internationaux</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500"/>
      </w:tblGrid>
      <w:tr>
        <w:trPr>
          <w:tblHeader/>
        </w:trPr>
        <w:tc>
          <w:tcPr>
            <w:tcW w:type="dxa" w:w="2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18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Producteur</w:t>
            </w:r>
          </w:p>
        </w:tc>
        <w:tc>
          <w:tcPr>
            <w:tcW w:type="dxa" w:w="4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Données clés</w:t>
            </w:r>
          </w:p>
        </w:tc>
      </w:tr>
      <w:tr>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Rapports Investissements RPC 2024-2025</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Office d'investissement RPC</w:t>
            </w:r>
          </w:p>
        </w:tc>
        <w:tc>
          <w:tcPr>
            <w:tcW w:type="dxa" w:w="4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Actifs 777,5 Md CAD (sept. 2025). Rendement net annualisé 10 ans : 9,1%. Bénéfice cumulatif depuis création : 461,7 Md CAD. 22 millions de cotisants et bénéficiaires.</w:t>
            </w:r>
          </w:p>
        </w:tc>
      </w:tr>
      <w:tr>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Comptes publics du Canada 2024</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TPSGC Canada</w:t>
            </w:r>
          </w:p>
        </w:tc>
        <w:tc>
          <w:tcPr>
            <w:tcW w:type="dxa" w:w="4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Statut hors-bilan du RPC : « exclu du périmètre comptable car non contrôlé par le gouvernement fédéral »</w:t>
            </w:r>
          </w:p>
        </w:tc>
      </w:tr>
      <w:tr>
        <w:tc>
          <w:tcPr>
            <w:tcW w:type="dxa" w:w="2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Bonification du RPC 2019-2025</w:t>
            </w:r>
          </w:p>
        </w:tc>
        <w:tc>
          <w:tcPr>
            <w:tcW w:type="dxa" w:w="18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Agence du revenu du Canada</w:t>
            </w:r>
          </w:p>
        </w:tc>
        <w:tc>
          <w:tcPr>
            <w:tcW w:type="dxa" w:w="4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Taux 2025 : 5,95% employés et employeurs. MGAP 2025 : 71 300 CAD. Bonification progressive sur 7 ans.</w:t>
            </w:r>
          </w:p>
        </w:tc>
      </w:tr>
      <w:tr>
        <w:tc>
          <w:tcPr>
            <w:tcW w:type="dxa" w:w="2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Panorama des retraites 2023</w:t>
            </w:r>
          </w:p>
        </w:tc>
        <w:tc>
          <w:tcPr>
            <w:tcW w:type="dxa" w:w="18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OCDE</w:t>
            </w:r>
          </w:p>
        </w:tc>
        <w:tc>
          <w:tcPr>
            <w:tcW w:type="dxa" w:w="4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Comparatifs internationaux des taux de remplacement, actifs des fonds de retraite</w:t>
            </w:r>
          </w:p>
        </w:tc>
      </w:tr>
    </w:tbl>
    <w:p>
      <w:pPr>
        <w:spacing w:after="120" w:before="360"/>
      </w:pPr>
      <w:r>
        <w:rPr>
          <w:rFonts w:ascii="Calibri" w:cs="Calibri" w:eastAsia="Calibri" w:hAnsi="Calibri"/>
          <w:b/>
          <w:bCs/>
          <w:color w:val="1B4F8A"/>
          <w:sz w:val="28"/>
          <w:szCs w:val="28"/>
        </w:rPr>
        <w:t xml:space="preserve">A4.4 — Sources macroéconomiques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100"/>
      </w:tblGrid>
      <w:tr>
        <w:trPr>
          <w:tblHeader/>
        </w:trPr>
        <w:tc>
          <w:tcPr>
            <w:tcW w:type="dxa" w:w="3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20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Producteur</w:t>
            </w:r>
          </w:p>
        </w:tc>
        <w:tc>
          <w:tcPr>
            <w:tcW w:type="dxa" w:w="41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Utilisation</w:t>
            </w:r>
          </w:p>
        </w:tc>
      </w:tr>
      <w:tr>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Rapport sur la stabilité financière 2024</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BCE</w:t>
            </w:r>
          </w:p>
        </w:tc>
        <w:tc>
          <w:tcPr>
            <w:tcW w:type="dxa" w:w="4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Projections macroéconomiques zone euro, hypothèses d'inflation</w:t>
            </w:r>
          </w:p>
        </w:tc>
      </w:tr>
      <w:tr>
        <w:tc>
          <w:tcPr>
            <w:tcW w:type="dxa" w:w="3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Perspectives de l'économie mondiale oct. 2024</w:t>
            </w:r>
          </w:p>
        </w:tc>
        <w:tc>
          <w:tcPr>
            <w:tcW w:type="dxa" w:w="20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FMI</w:t>
            </w:r>
          </w:p>
        </w:tc>
        <w:tc>
          <w:tcPr>
            <w:tcW w:type="dxa" w:w="41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Projections de croissance France et zone euro, impact géopolitique</w:t>
            </w:r>
          </w:p>
        </w:tc>
      </w:tr>
      <w:tr>
        <w:tc>
          <w:tcPr>
            <w:tcW w:type="dxa" w:w="3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Rapport sur le vieillissement 2024</w:t>
            </w:r>
          </w:p>
        </w:tc>
        <w:tc>
          <w:tcPr>
            <w:tcW w:type="dxa" w:w="20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Commission Européenne</w:t>
            </w:r>
          </w:p>
        </w:tc>
        <w:tc>
          <w:tcPr>
            <w:tcW w:type="dxa" w:w="41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Dépenses de retraite en % du PIB par pays membre à horizon 2070</w:t>
            </w:r>
          </w:p>
        </w:tc>
      </w:tr>
    </w:tbl>
    <w:p>
      <w:pPr>
        <w:spacing w:after="120" w:before="360"/>
      </w:pPr>
      <w:r>
        <w:rPr>
          <w:rFonts w:ascii="Calibri" w:cs="Calibri" w:eastAsia="Calibri" w:hAnsi="Calibri"/>
          <w:b/>
          <w:bCs/>
          <w:color w:val="1B4F8A"/>
          <w:sz w:val="28"/>
          <w:szCs w:val="28"/>
        </w:rPr>
        <w:t xml:space="preserve">A4.5 — Références académiques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Référence</w:t>
            </w:r>
          </w:p>
        </w:tc>
        <w:tc>
          <w:tcPr>
            <w:tcW w:type="dxa" w:w="46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Utilisation</w:t>
            </w:r>
          </w:p>
        </w:tc>
      </w:tr>
      <w:tr>
        <w:tc>
          <w:tcPr>
            <w:tcW w:type="dxa" w:w="4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Gruber &amp; Yelowitz (1999), 'Public Health Insurance and Private Savings', JPE</w:t>
            </w:r>
          </w:p>
        </w:tc>
        <w:tc>
          <w:tcPr>
            <w:tcW w:type="dxa" w:w="4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Base empirique pour la réduction de l'épargne précautionnelle suite à la stabilisation du système</w:t>
            </w:r>
          </w:p>
        </w:tc>
      </w:tr>
      <w:tr>
        <w:tc>
          <w:tcPr>
            <w:tcW w:type="dxa" w:w="4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Hoem J.M. (2008), 'Impact of public policies on European fertility', Demographic Research</w:t>
            </w:r>
          </w:p>
        </w:tc>
        <w:tc>
          <w:tcPr>
            <w:tcW w:type="dxa" w:w="4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Corrélation entre politiques sociales et fécondité dans les pays nordiques</w:t>
            </w:r>
          </w:p>
        </w:tc>
      </w:tr>
      <w:tr>
        <w:tc>
          <w:tcPr>
            <w:tcW w:type="dxa" w:w="4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Sobotka, Skirbekk &amp; Philipov (2011), 'Economic Recession and Fertility', PDR</w:t>
            </w:r>
          </w:p>
        </w:tc>
        <w:tc>
          <w:tcPr>
            <w:tcW w:type="dxa" w:w="4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Impact des récessions sur la fécondité dans les pays développés post-contraception</w:t>
            </w:r>
          </w:p>
        </w:tc>
      </w:tr>
      <w:tr>
        <w:tc>
          <w:tcPr>
            <w:tcW w:type="dxa" w:w="45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Baker, Bloom &amp; Davis (2016), 'Measuring Economic Policy Uncertainty', QJE</w:t>
            </w:r>
          </w:p>
        </w:tc>
        <w:tc>
          <w:tcPr>
            <w:tcW w:type="dxa" w:w="46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Impact de l'incertitude de politique économique sur l'investissement des entreprises</w:t>
            </w:r>
          </w:p>
        </w:tc>
      </w:tr>
      <w:tr>
        <w:tc>
          <w:tcPr>
            <w:tcW w:type="dxa" w:w="45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Dolls, Fuest &amp; Peichl (2012), 'Automatic Stabilizers and Economic Crisis', JPubE</w:t>
            </w:r>
          </w:p>
        </w:tc>
        <w:tc>
          <w:tcPr>
            <w:tcW w:type="dxa" w:w="46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Base théorique pour la fonction anti-procyclique du mécanisme de lissage FRR</w:t>
            </w:r>
          </w:p>
        </w:tc>
      </w:tr>
    </w:tbl>
    <w:p>
      <w:pPr>
        <w:spacing w:after="120" w:before="360"/>
      </w:pPr>
      <w:r>
        <w:rPr>
          <w:rFonts w:ascii="Calibri" w:cs="Calibri" w:eastAsia="Calibri" w:hAnsi="Calibri"/>
          <w:b/>
          <w:bCs/>
          <w:color w:val="1B4F8A"/>
          <w:sz w:val="28"/>
          <w:szCs w:val="28"/>
        </w:rPr>
        <w:t xml:space="preserve">A4.6 — Données à actualiser impérativement par la CETP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rPr>
          <w:tblHeader/>
        </w:trPr>
        <w:tc>
          <w:tcPr>
            <w:tcW w:type="dxa" w:w="2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Donnée</w:t>
            </w:r>
          </w:p>
        </w:tc>
        <w:tc>
          <w:tcPr>
            <w:tcW w:type="dxa" w:w="22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Source actuelle</w:t>
            </w:r>
          </w:p>
        </w:tc>
        <w:tc>
          <w:tcPr>
            <w:tcW w:type="dxa" w:w="4700"/>
            <w:tcBorders>
              <w:top w:val="single" w:color="C5D3E0" w:sz="1"/>
              <w:left w:val="single" w:color="C5D3E0" w:sz="1"/>
              <w:bottom w:val="single" w:color="C5D3E0" w:sz="1"/>
              <w:right w:val="single" w:color="C5D3E0" w:sz="1"/>
            </w:tcBorders>
            <w:shd w:fill="1B4F8A" w:val="clear"/>
            <w:tcMar>
              <w:top w:type="dxa" w:w="80"/>
              <w:left w:type="dxa" w:w="120"/>
              <w:bottom w:type="dxa" w:w="80"/>
              <w:right w:type="dxa" w:w="120"/>
            </w:tcMar>
          </w:tcPr>
          <w:p>
            <w:r>
              <w:rPr>
                <w:rFonts w:ascii="Calibri" w:cs="Calibri" w:eastAsia="Calibri" w:hAnsi="Calibri"/>
                <w:b/>
                <w:bCs/>
                <w:color w:val="FFFFFF"/>
                <w:sz w:val="20"/>
                <w:szCs w:val="20"/>
              </w:rPr>
              <w:t xml:space="preserve">Raison</w:t>
            </w:r>
          </w:p>
        </w:tc>
      </w:tr>
      <w:tr>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Projections COR</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Rapport 2024</w:t>
            </w:r>
          </w:p>
        </w:tc>
        <w:tc>
          <w:tcPr>
            <w:tcW w:type="dxa" w:w="4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Publication annuelle en juin — utiliser le rapport N le plus récent</w:t>
            </w:r>
          </w:p>
        </w:tc>
      </w:tr>
      <w:tr>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Déficit structurel de départ</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14,5 Md€ (COR 2024)</w:t>
            </w:r>
          </w:p>
        </w:tc>
        <w:tc>
          <w:tcPr>
            <w:tcW w:type="dxa" w:w="4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Évolue chaque année selon la conjoncture</w:t>
            </w:r>
          </w:p>
        </w:tc>
      </w:tr>
      <w:tr>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Actifs FRR</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26,2 Md€ (FRR 2023)</w:t>
            </w:r>
          </w:p>
        </w:tc>
        <w:tc>
          <w:tcPr>
            <w:tcW w:type="dxa" w:w="4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Publication annuelle — utiliser les données les plus récentes</w:t>
            </w:r>
          </w:p>
        </w:tc>
      </w:tr>
      <w:tr>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Distribution revenus déciles</w:t>
            </w:r>
          </w:p>
        </w:tc>
        <w:tc>
          <w:tcPr>
            <w:tcW w:type="dxa" w:w="22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INSEE ERFS 2022</w:t>
            </w:r>
          </w:p>
        </w:tc>
        <w:tc>
          <w:tcPr>
            <w:tcW w:type="dxa" w:w="4700"/>
            <w:tcBorders>
              <w:top w:val="single" w:color="C5D3E0" w:sz="1"/>
              <w:left w:val="single" w:color="C5D3E0" w:sz="1"/>
              <w:bottom w:val="single" w:color="C5D3E0" w:sz="1"/>
              <w:right w:val="single" w:color="C5D3E0" w:sz="1"/>
            </w:tcBorders>
            <w:tcMar>
              <w:top w:type="dxa" w:w="60"/>
              <w:left w:type="dxa" w:w="120"/>
              <w:bottom w:type="dxa" w:w="60"/>
              <w:right w:type="dxa" w:w="120"/>
            </w:tcMar>
          </w:tcPr>
          <w:p>
            <w:r>
              <w:rPr>
                <w:rFonts w:ascii="Calibri" w:cs="Calibri" w:eastAsia="Calibri" w:hAnsi="Calibri"/>
                <w:color w:val="1A1A2E"/>
                <w:sz w:val="20"/>
                <w:szCs w:val="20"/>
              </w:rPr>
              <w:t xml:space="preserve">Mise à jour biannuelle</w:t>
            </w:r>
          </w:p>
        </w:tc>
      </w:tr>
      <w:tr>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Projections démographiques</w:t>
            </w:r>
          </w:p>
        </w:tc>
        <w:tc>
          <w:tcPr>
            <w:tcW w:type="dxa" w:w="22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INSEE 2021</w:t>
            </w:r>
          </w:p>
        </w:tc>
        <w:tc>
          <w:tcPr>
            <w:tcW w:type="dxa" w:w="4700"/>
            <w:tcBorders>
              <w:top w:val="single" w:color="C5D3E0" w:sz="1"/>
              <w:left w:val="single" w:color="C5D3E0" w:sz="1"/>
              <w:bottom w:val="single" w:color="C5D3E0" w:sz="1"/>
              <w:right w:val="single" w:color="C5D3E0" w:sz="1"/>
            </w:tcBorders>
            <w:shd w:fill="EEF2F7" w:val="clear"/>
            <w:tcMar>
              <w:top w:type="dxa" w:w="60"/>
              <w:left w:type="dxa" w:w="120"/>
              <w:bottom w:type="dxa" w:w="60"/>
              <w:right w:type="dxa" w:w="120"/>
            </w:tcMar>
          </w:tcPr>
          <w:p>
            <w:r>
              <w:rPr>
                <w:rFonts w:ascii="Calibri" w:cs="Calibri" w:eastAsia="Calibri" w:hAnsi="Calibri"/>
                <w:color w:val="1A1A2E"/>
                <w:sz w:val="20"/>
                <w:szCs w:val="20"/>
              </w:rPr>
              <w:t xml:space="preserve">Nouvelle publication attendue vers 2026-2027</w:t>
            </w:r>
          </w:p>
        </w:tc>
      </w:tr>
    </w:tbl>
    <w:p>
      <w:pPr>
        <w:spacing w:after="120" w:before="360"/>
      </w:pPr>
      <w:r>
        <w:rPr>
          <w:rFonts w:ascii="Calibri" w:cs="Calibri" w:eastAsia="Calibri" w:hAnsi="Calibri"/>
          <w:b/>
          <w:bCs/>
          <w:color w:val="1B4F8A"/>
          <w:sz w:val="28"/>
          <w:szCs w:val="28"/>
        </w:rPr>
        <w:t xml:space="preserve">A4.7 — Note sur la reproductibilité</w:t>
      </w:r>
    </w:p>
    <w:p>
      <w:pPr>
        <w:spacing w:after="160" w:before="80" w:line="320"/>
        <w:jc w:val="both"/>
      </w:pPr>
      <w:r>
        <w:rPr>
          <w:rFonts w:ascii="Calibri" w:cs="Calibri" w:eastAsia="Calibri" w:hAnsi="Calibri"/>
          <w:color w:val="1A1A2E"/>
          <w:sz w:val="22"/>
          <w:szCs w:val="22"/>
        </w:rPr>
        <w:t xml:space="preserve">Ce working paper a été rédigé avec un engagement explicite de reproductibilité. Chaque chiffre cité dans le corps du texte est tracé à une source identifiée dans cette annexe. Chaque formule est explicitée dans l'Annexe A1.</w:t>
      </w:r>
    </w:p>
    <w:p>
      <w:pPr>
        <w:spacing w:after="160" w:before="80" w:line="320"/>
        <w:jc w:val="both"/>
      </w:pPr>
      <w:r>
        <w:rPr>
          <w:rFonts w:ascii="Calibri" w:cs="Calibri" w:eastAsia="Calibri" w:hAnsi="Calibri"/>
          <w:color w:val="1A1A2E"/>
          <w:sz w:val="22"/>
          <w:szCs w:val="22"/>
        </w:rPr>
        <w:t xml:space="preserve">Un économiste disposant des sources listées peut reproduire l'intégralité des calculs présentés. Si ses résultats diffèrent des nôtres, les écarts s'expliquent par une hypothèse différente, une erreur matérielle, ou une mise à jour des données sources.</w:t>
      </w:r>
    </w:p>
    <w:p>
      <w:pPr>
        <w:pBdr>
          <w:left w:val="single" w:color="1B4F8A" w:sz="12" w:space="8"/>
        </w:pBdr>
        <w:spacing w:after="160" w:before="160" w:line="300"/>
        <w:ind w:left="720" w:right="720"/>
      </w:pPr>
      <w:r>
        <w:rPr>
          <w:rFonts w:ascii="Calibri" w:cs="Calibri" w:eastAsia="Calibri" w:hAnsi="Calibri"/>
          <w:i/>
          <w:iCs/>
          <w:color w:val="444444"/>
          <w:sz w:val="22"/>
          <w:szCs w:val="22"/>
        </w:rPr>
        <w:t xml:space="preserve">Dans les deux premiers cas nous invitons tout chercheur à nous signaler l'écart à contact@cabinskolar.fr — ce working paper est un document vivant, destiné à être amélioré par la contradiction. La transparence méthodologique n'est pas une posture. C'est la condition de la crédibilité.</w:t>
      </w:r>
    </w:p>
    <w:p>
      <w:pPr>
        <w:spacing w:after="120" w:before="120"/>
      </w:pPr>
      <w:r>
        <w:t xml:space="preserve"/>
      </w:r>
    </w:p>
    <w:p>
      <w:pPr>
        <w:pBdr>
          <w:top w:val="single" w:color="C5D3E0" w:sz="2" w:space="8"/>
          <w:bottom w:val="single" w:color="C5D3E0" w:sz="2" w:space="8"/>
        </w:pBdr>
        <w:spacing w:after="120" w:before="480"/>
        <w:jc w:val="center"/>
      </w:pPr>
      <w:r>
        <w:rPr>
          <w:rFonts w:ascii="Calibri" w:cs="Calibri" w:eastAsia="Calibri" w:hAnsi="Calibri"/>
          <w:i/>
          <w:iCs/>
          <w:color w:val="888888"/>
          <w:sz w:val="20"/>
          <w:szCs w:val="20"/>
        </w:rPr>
        <w:t xml:space="preserve">Cabin Skolar — Independent AI Research — contact@cabinskolar.fr — cabinskolar.fr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0" w:sz="2" w:space="4"/>
      </w:pBdr>
      <w:tabs>
        <w:tab w:val="right" w:pos="9026"/>
      </w:tabs>
    </w:pPr>
    <w:r>
      <w:rPr>
        <w:rFonts w:ascii="Calibri" w:cs="Calibri" w:eastAsia="Calibri" w:hAnsi="Calibri"/>
        <w:color w:val="AAAAAA"/>
        <w:sz w:val="18"/>
        <w:szCs w:val="18"/>
      </w:rPr>
      <w:t xml:space="preserve">cabinskolar.fr</w:t>
    </w:r>
    <w:r>
      <w:rPr>
        <w:rFonts w:ascii="Calibri" w:cs="Calibri" w:eastAsia="Calibri" w:hAnsi="Calibri"/>
        <w:color w:val="888888"/>
        <w:sz w:val="18"/>
        <w:szCs w:val="18"/>
      </w:rPr>
      <w:t xml:space="preserv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0" w:sz="2" w:space="4"/>
      </w:pBdr>
    </w:pPr>
    <w:r>
      <w:rPr>
        <w:rFonts w:ascii="Calibri" w:cs="Calibri" w:eastAsia="Calibri" w:hAnsi="Calibri"/>
        <w:i/>
        <w:iCs/>
        <w:color w:val="888888"/>
        <w:sz w:val="18"/>
        <w:szCs w:val="18"/>
      </w:rPr>
      <w:t xml:space="preserve">IPAA — Indice Progressif Auto-Ajustable</w:t>
    </w:r>
    <w:r>
      <w:rPr>
        <w:rFonts w:ascii="Calibri" w:cs="Calibri" w:eastAsia="Calibri" w:hAnsi="Calibri"/>
        <w:color w:val="BBBBBB"/>
        <w:sz w:val="18"/>
        <w:szCs w:val="18"/>
      </w:rPr>
      <w:t xml:space="preserve">   |   Cabin Skolar Working Paper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2026-06-03T13:07:41.850Z</dcterms:created>
  <dcterms:modified xsi:type="dcterms:W3CDTF">2026-06-03T13:07:41.850Z</dcterms:modified>
</cp:coreProperties>
</file>

<file path=docProps/custom.xml><?xml version="1.0" encoding="utf-8"?>
<Properties xmlns="http://schemas.openxmlformats.org/officeDocument/2006/custom-properties" xmlns:vt="http://schemas.openxmlformats.org/officeDocument/2006/docPropsVTypes"/>
</file>