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734153">
      <w:pPr>
        <w:spacing w:line="360" w:lineRule="auto"/>
        <w:jc w:val="center"/>
        <w:rPr>
          <w:rFonts w:ascii="Times New Roman" w:hAnsi="Times New Roman" w:cs="Times New Roman"/>
          <w:sz w:val="24"/>
          <w:szCs w:val="24"/>
        </w:rPr>
      </w:pPr>
      <w:bookmarkStart w:id="0" w:name="_GoBack"/>
      <w:r>
        <w:rPr>
          <w:rFonts w:ascii="Times New Roman" w:hAnsi="Times New Roman" w:cs="Times New Roman"/>
          <w:sz w:val="24"/>
          <w:szCs w:val="24"/>
        </w:rPr>
        <w:t>Energy vs. Tech: Quantifying Divergent Risk Drivers in S&amp;P 500 Through Independent Component Analysis</w:t>
      </w:r>
    </w:p>
    <w:p w14:paraId="1F9DDEAD">
      <w:pPr>
        <w:spacing w:line="360" w:lineRule="auto"/>
        <w:jc w:val="center"/>
        <w:rPr>
          <w:rFonts w:ascii="Times New Roman" w:hAnsi="Times New Roman" w:cs="Times New Roman"/>
          <w:sz w:val="24"/>
          <w:szCs w:val="24"/>
        </w:rPr>
      </w:pPr>
      <w:r>
        <w:rPr>
          <w:rFonts w:ascii="Times New Roman" w:hAnsi="Times New Roman" w:cs="Times New Roman"/>
          <w:sz w:val="24"/>
          <w:szCs w:val="24"/>
        </w:rPr>
        <w:t>Final Project</w:t>
      </w:r>
    </w:p>
    <w:p w14:paraId="06745E4E">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XiLong, Jinhao Guo, Haoran Li</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Humboldt-Universität zu Berlin</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Digital Economy &amp; Data Analysis</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Professor WolfGang</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July 20th, 2025</w:t>
      </w:r>
    </w:p>
    <w:bookmarkEnd w:id="0"/>
    <w:p w14:paraId="3952867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DFC680E">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Abstract</w:t>
      </w:r>
    </w:p>
    <w:p w14:paraId="4730B41B">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paper applies Independent Component Analysis (ICA) to the financial characteristics of S&amp;P 500 component stocks to identify latent risk factors that drive variations in stock performance. Using FastICA, we extract independent signals from financial indicators such as annual return, volatility, skewness, and kurtosis. We find that three components—IC1, IC2, and IC3—capture key systemic, sectoral, and </w:t>
      </w:r>
      <w:r>
        <w:rPr>
          <w:rFonts w:ascii="Times New Roman" w:hAnsi="Times New Roman" w:eastAsia="宋体" w:cs="Times New Roman"/>
          <w:sz w:val="24"/>
          <w:szCs w:val="24"/>
          <w:lang w:eastAsia="zh-CN"/>
        </w:rPr>
        <w:t>unique</w:t>
      </w:r>
      <w:r>
        <w:rPr>
          <w:rFonts w:ascii="Times New Roman" w:hAnsi="Times New Roman" w:cs="Times New Roman"/>
          <w:sz w:val="24"/>
          <w:szCs w:val="24"/>
        </w:rPr>
        <w:t xml:space="preserve"> risk features. Case studies of energy companies suggest practical investment strategies based on tail risk exposure and industry volatility. Our findings support the integration of statistical decomposition techniques in portfolio construction and risk modeling.</w:t>
      </w:r>
    </w:p>
    <w:p w14:paraId="327A538A">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 Introduction</w:t>
      </w:r>
    </w:p>
    <w:p w14:paraId="19E3A5E8">
      <w:pPr>
        <w:spacing w:line="360" w:lineRule="auto"/>
        <w:rPr>
          <w:rFonts w:ascii="Times New Roman" w:hAnsi="Times New Roman" w:cs="Times New Roman"/>
          <w:sz w:val="24"/>
          <w:szCs w:val="24"/>
        </w:rPr>
      </w:pPr>
      <w:r>
        <w:rPr>
          <w:rFonts w:ascii="Times New Roman" w:hAnsi="Times New Roman" w:cs="Times New Roman"/>
          <w:sz w:val="24"/>
          <w:szCs w:val="24"/>
        </w:rPr>
        <w:t>Financial markets are characterized by complex, multidimensional risks. Traditional risk indicators, such as volatility and skewness, offer partial insights into stock behavior. This paper investigates whether ICA can uncover hidden risk patterns in the S&amp;P 500, particularly focusing on sectoral divergence between energy and technology companies.</w:t>
      </w:r>
    </w:p>
    <w:p w14:paraId="4D6087C7">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Data and Methodology</w:t>
      </w:r>
    </w:p>
    <w:p w14:paraId="0B45B69C">
      <w:pPr>
        <w:spacing w:line="360" w:lineRule="auto"/>
        <w:rPr>
          <w:rFonts w:ascii="Times New Roman" w:hAnsi="Times New Roman" w:cs="Times New Roman"/>
          <w:sz w:val="24"/>
          <w:szCs w:val="24"/>
        </w:rPr>
      </w:pPr>
      <w:r>
        <w:rPr>
          <w:rFonts w:ascii="Times New Roman" w:hAnsi="Times New Roman" w:cs="Times New Roman"/>
          <w:sz w:val="24"/>
          <w:szCs w:val="24"/>
        </w:rPr>
        <w:t>We use the dataset SDA_2020_St_Gallen.csv, which includes annualized return, standard deviation, skewness, and kurtosis for S&amp;P 500 companies. The FastICA algorithm is applied to extract statistically independent components from these variables. The dataset includes the following features:</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annual</w:t>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return</w:t>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log: Log-transformed annual returns</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Std: Standard deviation of returns (volatility)</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Skewness: Distribution asymmetry</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Kurtosis: Tail thickness or 'peakedness'</w:t>
      </w:r>
    </w:p>
    <w:p w14:paraId="0AD8E742">
      <w:pPr>
        <w:spacing w:line="360" w:lineRule="auto"/>
        <w:rPr>
          <w:rFonts w:ascii="Times New Roman" w:hAnsi="Times New Roman" w:cs="Times New Roman"/>
          <w:sz w:val="24"/>
          <w:szCs w:val="24"/>
        </w:rPr>
      </w:pPr>
      <w:r>
        <w:rPr>
          <w:rFonts w:ascii="Times New Roman" w:hAnsi="Times New Roman" w:cs="Times New Roman"/>
          <w:sz w:val="24"/>
          <w:szCs w:val="24"/>
        </w:rPr>
        <w:t>Unlike PCA</w:t>
      </w:r>
    </w:p>
    <w:p w14:paraId="08B790B0">
      <w:pPr>
        <w:numPr>
          <w:ilvl w:val="0"/>
          <w:numId w:val="0"/>
        </w:numPr>
        <w:rPr>
          <w:rFonts w:hint="eastAsia" w:hAnsi="Cambria Math" w:eastAsia="宋体" w:cstheme="minorBidi"/>
          <w:i w:val="0"/>
          <w:sz w:val="22"/>
          <w:szCs w:val="22"/>
          <w:lang w:val="en-US" w:eastAsia="zh-CN" w:bidi="ar-SA"/>
        </w:rPr>
      </w:pPr>
      <m:oMathPara>
        <m:oMath>
          <m:r>
            <m:rPr/>
            <w:rPr>
              <w:rFonts w:hint="default" w:ascii="Cambria Math" w:hAnsi="Cambria Math" w:eastAsia="宋体"/>
              <w:sz w:val="22"/>
            </w:rPr>
            <m:t>Σ=</m:t>
          </m:r>
          <m:f>
            <m:fPr>
              <m:ctrlPr>
                <w:rPr>
                  <w:rFonts w:hint="default" w:ascii="Cambria Math" w:hAnsi="Cambria Math" w:eastAsia="宋体"/>
                  <w:i/>
                  <w:sz w:val="22"/>
                </w:rPr>
              </m:ctrlPr>
            </m:fPr>
            <m:num>
              <m:r>
                <m:rPr/>
                <w:rPr>
                  <w:rFonts w:hint="default" w:ascii="Cambria Math" w:hAnsi="Cambria Math" w:eastAsia="宋体"/>
                  <w:sz w:val="22"/>
                </w:rPr>
                <m:t>1</m:t>
              </m:r>
              <m:ctrlPr>
                <w:rPr>
                  <w:rFonts w:ascii="Cambria Math" w:hAnsi="Cambria Math" w:eastAsia="宋体"/>
                  <w:sz w:val="22"/>
                </w:rPr>
              </m:ctrlPr>
            </m:num>
            <m:den>
              <m:r>
                <m:rPr/>
                <w:rPr>
                  <w:rFonts w:hint="default" w:ascii="Cambria Math" w:hAnsi="Cambria Math" w:eastAsia="宋体"/>
                  <w:sz w:val="22"/>
                </w:rPr>
                <m:t>n</m:t>
              </m:r>
              <m:ctrlPr>
                <w:rPr>
                  <w:rFonts w:ascii="Cambria Math" w:hAnsi="Cambria Math" w:eastAsia="宋体"/>
                  <w:sz w:val="22"/>
                </w:rPr>
              </m:ctrlPr>
            </m:den>
          </m:f>
          <m:sSup>
            <m:sSupPr>
              <m:ctrlPr>
                <w:rPr>
                  <w:rFonts w:hint="default" w:ascii="Cambria Math" w:hAnsi="Cambria Math" w:eastAsia="宋体"/>
                  <w:sz w:val="22"/>
                </w:rPr>
              </m:ctrlPr>
            </m:sSupPr>
            <m:e>
              <m:r>
                <m:rPr/>
                <w:rPr>
                  <w:rFonts w:hint="default" w:ascii="Cambria Math" w:hAnsi="Cambria Math" w:eastAsia="宋体"/>
                  <w:sz w:val="22"/>
                </w:rPr>
                <m:t>X</m:t>
              </m:r>
              <m:ctrlPr>
                <w:rPr>
                  <w:rFonts w:ascii="Cambria Math" w:hAnsi="Cambria Math" w:eastAsia="宋体"/>
                  <w:sz w:val="22"/>
                </w:rPr>
              </m:ctrlPr>
            </m:e>
            <m:sup>
              <m:r>
                <m:rPr/>
                <w:rPr>
                  <w:rFonts w:hint="default" w:ascii="Cambria Math" w:hAnsi="Cambria Math" w:eastAsia="宋体"/>
                  <w:sz w:val="22"/>
                </w:rPr>
                <m:t>T</m:t>
              </m:r>
              <m:ctrlPr>
                <w:rPr>
                  <w:rFonts w:ascii="Cambria Math" w:hAnsi="Cambria Math" w:eastAsia="宋体"/>
                  <w:sz w:val="22"/>
                </w:rPr>
              </m:ctrlPr>
            </m:sup>
          </m:sSup>
          <m:r>
            <m:rPr/>
            <w:rPr>
              <w:rFonts w:hint="default" w:ascii="Cambria Math" w:hAnsi="Cambria Math" w:eastAsia="宋体"/>
              <w:sz w:val="22"/>
            </w:rPr>
            <m:t>X</m:t>
          </m:r>
        </m:oMath>
      </m:oMathPara>
    </w:p>
    <w:p w14:paraId="30574CC6">
      <w:pPr>
        <w:numPr>
          <w:ilvl w:val="0"/>
          <w:numId w:val="0"/>
        </w:numPr>
        <w:rPr>
          <w:rFonts w:hint="eastAsia" w:hAnsi="Cambria Math" w:eastAsia="宋体" w:cstheme="minorBidi"/>
          <w:i w:val="0"/>
          <w:sz w:val="22"/>
          <w:szCs w:val="22"/>
          <w:lang w:val="en-US" w:eastAsia="zh-CN" w:bidi="ar-SA"/>
        </w:rPr>
      </w:pPr>
      <m:oMathPara>
        <m:oMath>
          <m:r>
            <m:rPr/>
            <w:rPr>
              <w:rFonts w:hint="default" w:ascii="Cambria Math" w:hAnsi="Cambria Math" w:eastAsia="宋体"/>
              <w:sz w:val="22"/>
            </w:rPr>
            <m:t> Σ=VΛ</m:t>
          </m:r>
          <m:sSup>
            <m:sSupPr>
              <m:ctrlPr>
                <w:rPr>
                  <w:rFonts w:hint="default" w:ascii="Cambria Math" w:hAnsi="Cambria Math" w:eastAsia="宋体"/>
                  <w:sz w:val="22"/>
                </w:rPr>
              </m:ctrlPr>
            </m:sSupPr>
            <m:e>
              <m:r>
                <m:rPr/>
                <w:rPr>
                  <w:rFonts w:hint="default" w:ascii="Cambria Math" w:hAnsi="Cambria Math" w:eastAsia="宋体"/>
                  <w:sz w:val="22"/>
                </w:rPr>
                <m:t>V</m:t>
              </m:r>
              <m:ctrlPr>
                <w:rPr>
                  <w:rFonts w:ascii="Cambria Math" w:hAnsi="Cambria Math" w:eastAsia="宋体"/>
                  <w:sz w:val="22"/>
                </w:rPr>
              </m:ctrlPr>
            </m:e>
            <m:sup>
              <m:r>
                <m:rPr/>
                <w:rPr>
                  <w:rFonts w:hint="default" w:ascii="Cambria Math" w:hAnsi="Cambria Math" w:eastAsia="宋体"/>
                  <w:sz w:val="22"/>
                </w:rPr>
                <m:t>T</m:t>
              </m:r>
              <m:ctrlPr>
                <w:rPr>
                  <w:rFonts w:ascii="Cambria Math" w:hAnsi="Cambria Math" w:eastAsia="宋体"/>
                  <w:sz w:val="22"/>
                </w:rPr>
              </m:ctrlPr>
            </m:sup>
          </m:sSup>
        </m:oMath>
      </m:oMathPara>
    </w:p>
    <w:p w14:paraId="0ED9C416">
      <w:pPr>
        <w:numPr>
          <w:ilvl w:val="0"/>
          <w:numId w:val="0"/>
        </w:numPr>
        <w:rPr>
          <w:rFonts w:hint="eastAsia" w:hAnsi="Cambria Math" w:eastAsia="宋体" w:cstheme="minorBidi"/>
          <w:i w:val="0"/>
          <w:sz w:val="22"/>
          <w:szCs w:val="22"/>
          <w:lang w:val="en-US" w:eastAsia="zh-CN" w:bidi="ar-SA"/>
        </w:rPr>
      </w:pPr>
      <m:oMathPara>
        <m:oMath>
          <m:r>
            <m:rPr/>
            <w:rPr>
              <w:rFonts w:hint="default" w:ascii="Cambria Math" w:hAnsi="Cambria Math" w:eastAsia="宋体"/>
              <w:sz w:val="22"/>
            </w:rPr>
            <m:t> Z=X</m:t>
          </m:r>
          <m:sSub>
            <m:sSubPr>
              <m:ctrlPr>
                <w:rPr>
                  <w:rFonts w:hint="default" w:ascii="Cambria Math" w:hAnsi="Cambria Math" w:eastAsia="宋体"/>
                  <w:sz w:val="22"/>
                </w:rPr>
              </m:ctrlPr>
            </m:sSubPr>
            <m:e>
              <m:r>
                <m:rPr/>
                <w:rPr>
                  <w:rFonts w:hint="default" w:ascii="Cambria Math" w:hAnsi="Cambria Math" w:eastAsia="宋体"/>
                  <w:sz w:val="22"/>
                </w:rPr>
                <m:t>V</m:t>
              </m:r>
              <m:ctrlPr>
                <w:rPr>
                  <w:rFonts w:ascii="Cambria Math" w:hAnsi="Cambria Math" w:eastAsia="宋体"/>
                  <w:sz w:val="22"/>
                </w:rPr>
              </m:ctrlPr>
            </m:e>
            <m:sub>
              <m:r>
                <m:rPr/>
                <w:rPr>
                  <w:rFonts w:hint="default" w:ascii="Cambria Math" w:hAnsi="Cambria Math" w:eastAsia="宋体"/>
                  <w:sz w:val="22"/>
                </w:rPr>
                <m:t>k</m:t>
              </m:r>
              <m:ctrlPr>
                <w:rPr>
                  <w:rFonts w:ascii="Cambria Math" w:hAnsi="Cambria Math" w:eastAsia="宋体"/>
                  <w:sz w:val="22"/>
                </w:rPr>
              </m:ctrlPr>
            </m:sub>
          </m:sSub>
        </m:oMath>
      </m:oMathPara>
    </w:p>
    <w:p w14:paraId="0C7B45EF">
      <w:pPr>
        <w:spacing w:line="360" w:lineRule="auto"/>
        <w:rPr>
          <w:rFonts w:ascii="Times New Roman" w:hAnsi="Times New Roman" w:cs="Times New Roman"/>
          <w:sz w:val="24"/>
          <w:szCs w:val="24"/>
        </w:rPr>
      </w:pPr>
      <w:r>
        <w:rPr>
          <w:rFonts w:ascii="Times New Roman" w:hAnsi="Times New Roman" w:cs="Times New Roman"/>
          <w:sz w:val="24"/>
          <w:szCs w:val="24"/>
        </w:rPr>
        <w:t>, which identifies directions of maximum variance, ICA aims to find components that are statistically independent. This is more appropriate for revealing latent drivers of financial behavior, particularly when analyzing stock risk and sectoral characteristics.</w:t>
      </w:r>
    </w:p>
    <w:p w14:paraId="70368B55">
      <w:pPr>
        <w:pStyle w:val="3"/>
        <w:numPr>
          <w:ilvl w:val="0"/>
          <w:numId w:val="7"/>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ICA Results</w:t>
      </w:r>
    </w:p>
    <w:p w14:paraId="25CBC351">
      <w:pPr>
        <w:numPr>
          <w:ilvl w:val="0"/>
          <w:numId w:val="0"/>
        </w:numPr>
        <w:rPr>
          <w:rFonts w:hint="eastAsia" w:eastAsia="宋体"/>
          <w:lang w:val="en-US" w:eastAsia="zh-CN"/>
        </w:rPr>
      </w:pPr>
      <w:r>
        <w:rPr>
          <w:sz w:val="22"/>
        </w:rPr>
        <mc:AlternateContent>
          <mc:Choice Requires="wps">
            <w:drawing>
              <wp:anchor distT="0" distB="0" distL="114300" distR="114300" simplePos="0" relativeHeight="251659264" behindDoc="0" locked="0" layoutInCell="1" allowOverlap="1">
                <wp:simplePos x="0" y="0"/>
                <wp:positionH relativeFrom="column">
                  <wp:posOffset>-45085</wp:posOffset>
                </wp:positionH>
                <wp:positionV relativeFrom="paragraph">
                  <wp:posOffset>257810</wp:posOffset>
                </wp:positionV>
                <wp:extent cx="6211570" cy="2078355"/>
                <wp:effectExtent l="38735" t="15240" r="48895" b="65405"/>
                <wp:wrapNone/>
                <wp:docPr id="1" name="矩形 1"/>
                <wp:cNvGraphicFramePr/>
                <a:graphic xmlns:a="http://schemas.openxmlformats.org/drawingml/2006/main">
                  <a:graphicData uri="http://schemas.microsoft.com/office/word/2010/wordprocessingShape">
                    <wps:wsp>
                      <wps:cNvSpPr/>
                      <wps:spPr>
                        <a:xfrm>
                          <a:off x="1097915" y="2527935"/>
                          <a:ext cx="6211570" cy="207835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pt;margin-top:20.3pt;height:163.65pt;width:489.1pt;z-index:251659264;v-text-anchor:middle;mso-width-relative:page;mso-height-relative:page;" filled="f" stroked="t" coordsize="21600,21600" o:gfxdata="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G0c6i3XAAAACQEAAA8AAAAAAAAAAQAgAAAAIgAAAGRycy9kb3ducmV2LnhtbFBLAQIUABQAAAAI&#10;AIdO4kDZ8+Dh0gIAAKUFAAAOAAAAAAAAAAEAIAAAACYBAABkcnMvZTJvRG9jLnhtbFBLBQYAAAAA&#10;BgAGAFkBAABqBgAAAAA=&#10;">
                <v:fill on="f" focussize="0,0"/>
                <v:stroke color="#4A7EBB [3204]" joinstyle="round"/>
                <v:imagedata o:title=""/>
                <o:lock v:ext="edit" aspectratio="f"/>
                <v:shadow on="t" color="#000000" opacity="22937f" offset="0pt,1.81102362204724pt" origin="0f,32768f" matrix="65536f,0f,0f,65536f"/>
              </v:rect>
            </w:pict>
          </mc:Fallback>
        </mc:AlternateContent>
      </w:r>
      <w:r>
        <w:rPr>
          <w:rFonts w:hint="eastAsia" w:eastAsia="宋体"/>
          <w:lang w:val="en-US" w:eastAsia="zh-CN"/>
        </w:rPr>
        <w:t>Using ICA algorithm, (assume that all component are independent)</w:t>
      </w:r>
    </w:p>
    <w:p w14:paraId="2DF60BF6">
      <w:pPr>
        <w:numPr>
          <w:ilvl w:val="0"/>
          <w:numId w:val="0"/>
        </w:numPr>
        <w:rPr>
          <w:rFonts w:hint="eastAsia" w:ascii="Cambria Math" w:hAnsi="Cambria Math" w:eastAsia="宋体" w:cstheme="minorBidi"/>
          <w:i w:val="0"/>
          <w:sz w:val="22"/>
          <w:szCs w:val="22"/>
          <w:lang w:val="en-US" w:eastAsia="zh-CN" w:bidi="ar-SA"/>
          <w:oMath/>
        </w:rPr>
      </w:pPr>
      <m:oMathPara>
        <m:oMath>
          <m:r>
            <m:rPr>
              <m:sty m:val="p"/>
            </m:rPr>
            <w:rPr>
              <w:rFonts w:hint="eastAsia" w:ascii="Cambria Math" w:hAnsi="Cambria Math" w:eastAsia="宋体" w:cstheme="minorBidi"/>
              <w:sz w:val="22"/>
              <w:szCs w:val="22"/>
              <w:lang w:val="en-US" w:eastAsia="zh-CN" w:bidi="ar-SA"/>
            </w:rPr>
            <m:t>X = AS</m:t>
          </m:r>
        </m:oMath>
      </m:oMathPara>
    </w:p>
    <w:p w14:paraId="035D6747">
      <w:pPr>
        <w:numPr>
          <w:ilvl w:val="0"/>
          <w:numId w:val="0"/>
        </w:numPr>
        <w:rPr>
          <w:rFonts w:hAnsi="Cambria Math" w:eastAsia="宋体"/>
          <w:i w:val="0"/>
          <w:sz w:val="22"/>
        </w:rPr>
      </w:pPr>
      <m:oMathPara>
        <m:oMath>
          <m:r>
            <m:rPr>
              <m:sty m:val="p"/>
            </m:rPr>
            <w:rPr>
              <w:rFonts w:hint="default" w:ascii="Cambria Math" w:hAnsi="Cambria Math" w:eastAsia="宋体"/>
              <w:sz w:val="22"/>
            </w:rPr>
            <m:t>where</m:t>
          </m:r>
          <m:r>
            <m:rPr>
              <m:sty m:val="p"/>
            </m:rPr>
            <w:rPr>
              <w:rFonts w:hint="default" w:ascii="Cambria Math" w:hAnsi="Cambria Math" w:eastAsia="宋体"/>
              <w:sz w:val="22"/>
              <w:lang w:val="en-US" w:eastAsia="zh-CN"/>
            </w:rPr>
            <m:t xml:space="preserve">    </m:t>
          </m:r>
          <m:r>
            <m:rPr/>
            <w:rPr>
              <w:rFonts w:hint="default" w:ascii="Cambria Math" w:hAnsi="Cambria Math" w:eastAsia="宋体"/>
              <w:sz w:val="22"/>
            </w:rPr>
            <m:t>X=[</m:t>
          </m:r>
          <m:sSub>
            <m:sSubPr>
              <m:ctrlPr>
                <w:rPr>
                  <w:rFonts w:hint="default" w:ascii="Cambria Math" w:hAnsi="Cambria Math" w:eastAsia="宋体"/>
                  <w:sz w:val="22"/>
                </w:rPr>
              </m:ctrlPr>
            </m:sSubPr>
            <m:e>
              <m:r>
                <m:rPr/>
                <w:rPr>
                  <w:rFonts w:hint="default" w:ascii="Cambria Math" w:hAnsi="Cambria Math" w:eastAsia="宋体"/>
                  <w:sz w:val="22"/>
                </w:rPr>
                <m:t>x</m:t>
              </m:r>
              <m:ctrlPr>
                <w:rPr>
                  <w:rFonts w:ascii="Cambria Math" w:hAnsi="Cambria Math" w:eastAsia="宋体"/>
                  <w:sz w:val="22"/>
                </w:rPr>
              </m:ctrlPr>
            </m:e>
            <m:sub>
              <m:r>
                <m:rPr/>
                <w:rPr>
                  <w:rFonts w:hint="default" w:ascii="Cambria Math" w:hAnsi="Cambria Math" w:eastAsia="宋体"/>
                  <w:sz w:val="22"/>
                </w:rPr>
                <m:t>1</m:t>
              </m:r>
              <m:ctrlPr>
                <w:rPr>
                  <w:rFonts w:ascii="Cambria Math" w:hAnsi="Cambria Math" w:eastAsia="宋体"/>
                  <w:sz w:val="22"/>
                </w:rPr>
              </m:ctrlPr>
            </m:sub>
          </m:sSub>
          <m:r>
            <m:rPr/>
            <w:rPr>
              <w:rFonts w:hint="default" w:ascii="Cambria Math" w:hAnsi="Cambria Math" w:eastAsia="宋体"/>
              <w:sz w:val="22"/>
            </w:rPr>
            <m:t>,⋯,</m:t>
          </m:r>
          <m:sSub>
            <m:sSubPr>
              <m:ctrlPr>
                <w:rPr>
                  <w:rFonts w:hint="default" w:ascii="Cambria Math" w:hAnsi="Cambria Math" w:eastAsia="宋体"/>
                  <w:sz w:val="22"/>
                </w:rPr>
              </m:ctrlPr>
            </m:sSubPr>
            <m:e>
              <m:r>
                <m:rPr/>
                <w:rPr>
                  <w:rFonts w:hint="default" w:ascii="Cambria Math" w:hAnsi="Cambria Math" w:eastAsia="宋体"/>
                  <w:sz w:val="22"/>
                </w:rPr>
                <m:t>x</m:t>
              </m:r>
              <m:ctrlPr>
                <w:rPr>
                  <w:rFonts w:ascii="Cambria Math" w:hAnsi="Cambria Math" w:eastAsia="宋体"/>
                  <w:sz w:val="22"/>
                </w:rPr>
              </m:ctrlPr>
            </m:e>
            <m:sub>
              <m:r>
                <m:rPr/>
                <w:rPr>
                  <w:rFonts w:hint="default" w:ascii="Cambria Math" w:hAnsi="Cambria Math" w:eastAsia="宋体"/>
                  <w:sz w:val="22"/>
                </w:rPr>
                <m:t>m</m:t>
              </m:r>
              <m:ctrlPr>
                <w:rPr>
                  <w:rFonts w:ascii="Cambria Math" w:hAnsi="Cambria Math" w:eastAsia="宋体"/>
                  <w:sz w:val="22"/>
                </w:rPr>
              </m:ctrlPr>
            </m:sub>
          </m:sSub>
          <m:sSup>
            <m:sSupPr>
              <m:ctrlPr>
                <w:rPr>
                  <w:rFonts w:hint="default" w:ascii="Cambria Math" w:hAnsi="Cambria Math" w:eastAsia="宋体"/>
                  <w:sz w:val="22"/>
                </w:rPr>
              </m:ctrlPr>
            </m:sSupPr>
            <m:e>
              <m:r>
                <m:rPr/>
                <w:rPr>
                  <w:rFonts w:hint="default" w:ascii="Cambria Math" w:hAnsi="Cambria Math" w:eastAsia="宋体"/>
                  <w:sz w:val="22"/>
                </w:rPr>
                <m:t>]</m:t>
              </m:r>
              <m:ctrlPr>
                <w:rPr>
                  <w:rFonts w:ascii="Cambria Math" w:hAnsi="Cambria Math" w:eastAsia="宋体"/>
                  <w:sz w:val="22"/>
                </w:rPr>
              </m:ctrlPr>
            </m:e>
            <m:sup>
              <m:r>
                <m:rPr/>
                <w:rPr>
                  <w:rFonts w:hint="default" w:ascii="Cambria Math" w:hAnsi="Cambria Math" w:eastAsia="宋体"/>
                  <w:sz w:val="22"/>
                </w:rPr>
                <m:t>T</m:t>
              </m:r>
              <m:ctrlPr>
                <w:rPr>
                  <w:rFonts w:ascii="Cambria Math" w:hAnsi="Cambria Math" w:eastAsia="宋体"/>
                  <w:sz w:val="22"/>
                </w:rPr>
              </m:ctrlPr>
            </m:sup>
          </m:sSup>
        </m:oMath>
      </m:oMathPara>
    </w:p>
    <w:p w14:paraId="0A27054C">
      <w:pPr>
        <w:numPr>
          <w:ilvl w:val="0"/>
          <w:numId w:val="0"/>
        </w:numPr>
        <w:rPr>
          <w:rFonts w:hAnsi="Cambria Math" w:eastAsia="宋体"/>
          <w:i w:val="0"/>
          <w:sz w:val="22"/>
        </w:rPr>
      </w:pPr>
      <m:oMathPara>
        <m:oMath>
          <m:r>
            <m:rPr/>
            <w:rPr>
              <w:rFonts w:hint="default" w:ascii="Cambria Math" w:hAnsi="Cambria Math" w:eastAsia="宋体"/>
              <w:sz w:val="22"/>
            </w:rPr>
            <m:t> S=[</m:t>
          </m:r>
          <m:sSub>
            <m:sSubPr>
              <m:ctrlPr>
                <w:rPr>
                  <w:rFonts w:hint="default" w:ascii="Cambria Math" w:hAnsi="Cambria Math" w:eastAsia="宋体"/>
                  <w:sz w:val="22"/>
                </w:rPr>
              </m:ctrlPr>
            </m:sSubPr>
            <m:e>
              <m:r>
                <m:rPr/>
                <w:rPr>
                  <w:rFonts w:hint="default" w:ascii="Cambria Math" w:hAnsi="Cambria Math" w:eastAsia="宋体"/>
                  <w:sz w:val="22"/>
                </w:rPr>
                <m:t>s</m:t>
              </m:r>
              <m:ctrlPr>
                <w:rPr>
                  <w:rFonts w:ascii="Cambria Math" w:hAnsi="Cambria Math" w:eastAsia="宋体"/>
                  <w:sz w:val="22"/>
                </w:rPr>
              </m:ctrlPr>
            </m:e>
            <m:sub>
              <m:r>
                <m:rPr/>
                <w:rPr>
                  <w:rFonts w:hint="default" w:ascii="Cambria Math" w:hAnsi="Cambria Math" w:eastAsia="宋体"/>
                  <w:sz w:val="22"/>
                </w:rPr>
                <m:t>1</m:t>
              </m:r>
              <m:ctrlPr>
                <w:rPr>
                  <w:rFonts w:ascii="Cambria Math" w:hAnsi="Cambria Math" w:eastAsia="宋体"/>
                  <w:sz w:val="22"/>
                </w:rPr>
              </m:ctrlPr>
            </m:sub>
          </m:sSub>
          <m:r>
            <m:rPr/>
            <w:rPr>
              <w:rFonts w:hint="default" w:ascii="Cambria Math" w:hAnsi="Cambria Math" w:eastAsia="宋体"/>
              <w:sz w:val="22"/>
            </w:rPr>
            <m:t>,⋯,</m:t>
          </m:r>
          <m:sSub>
            <m:sSubPr>
              <m:ctrlPr>
                <w:rPr>
                  <w:rFonts w:hint="default" w:ascii="Cambria Math" w:hAnsi="Cambria Math" w:eastAsia="宋体"/>
                  <w:sz w:val="22"/>
                </w:rPr>
              </m:ctrlPr>
            </m:sSubPr>
            <m:e>
              <m:r>
                <m:rPr/>
                <w:rPr>
                  <w:rFonts w:hint="default" w:ascii="Cambria Math" w:hAnsi="Cambria Math" w:eastAsia="宋体"/>
                  <w:sz w:val="22"/>
                </w:rPr>
                <m:t>s</m:t>
              </m:r>
              <m:ctrlPr>
                <w:rPr>
                  <w:rFonts w:ascii="Cambria Math" w:hAnsi="Cambria Math" w:eastAsia="宋体"/>
                  <w:sz w:val="22"/>
                </w:rPr>
              </m:ctrlPr>
            </m:e>
            <m:sub>
              <m:r>
                <m:rPr/>
                <w:rPr>
                  <w:rFonts w:hint="default" w:ascii="Cambria Math" w:hAnsi="Cambria Math" w:eastAsia="宋体"/>
                  <w:sz w:val="22"/>
                </w:rPr>
                <m:t>K</m:t>
              </m:r>
              <m:ctrlPr>
                <w:rPr>
                  <w:rFonts w:ascii="Cambria Math" w:hAnsi="Cambria Math" w:eastAsia="宋体"/>
                  <w:sz w:val="22"/>
                </w:rPr>
              </m:ctrlPr>
            </m:sub>
          </m:sSub>
          <m:sSup>
            <m:sSupPr>
              <m:ctrlPr>
                <w:rPr>
                  <w:rFonts w:hint="default" w:ascii="Cambria Math" w:hAnsi="Cambria Math" w:eastAsia="宋体"/>
                  <w:sz w:val="22"/>
                </w:rPr>
              </m:ctrlPr>
            </m:sSupPr>
            <m:e>
              <m:r>
                <m:rPr/>
                <w:rPr>
                  <w:rFonts w:hint="default" w:ascii="Cambria Math" w:hAnsi="Cambria Math" w:eastAsia="宋体"/>
                  <w:sz w:val="22"/>
                </w:rPr>
                <m:t>]</m:t>
              </m:r>
              <m:ctrlPr>
                <w:rPr>
                  <w:rFonts w:ascii="Cambria Math" w:hAnsi="Cambria Math" w:eastAsia="宋体"/>
                  <w:sz w:val="22"/>
                </w:rPr>
              </m:ctrlPr>
            </m:e>
            <m:sup>
              <m:r>
                <m:rPr/>
                <w:rPr>
                  <w:rFonts w:hint="default" w:ascii="Cambria Math" w:hAnsi="Cambria Math" w:eastAsia="宋体"/>
                  <w:sz w:val="22"/>
                </w:rPr>
                <m:t>T</m:t>
              </m:r>
              <m:ctrlPr>
                <w:rPr>
                  <w:rFonts w:ascii="Cambria Math" w:hAnsi="Cambria Math" w:eastAsia="宋体"/>
                  <w:sz w:val="22"/>
                </w:rPr>
              </m:ctrlPr>
            </m:sup>
          </m:sSup>
        </m:oMath>
      </m:oMathPara>
    </w:p>
    <w:p w14:paraId="7946B1EC">
      <w:pPr>
        <w:numPr>
          <w:ilvl w:val="0"/>
          <w:numId w:val="0"/>
        </w:numPr>
        <w:jc w:val="center"/>
        <w:rPr>
          <w:rFonts w:hint="default" w:hAnsi="Cambria Math" w:eastAsia="宋体" w:cstheme="minorBidi"/>
          <w:i w:val="0"/>
          <w:sz w:val="22"/>
          <w:szCs w:val="22"/>
          <w:lang w:val="en-US" w:eastAsia="zh-CN" w:bidi="ar-SA"/>
        </w:rPr>
      </w:pPr>
      <w:r>
        <w:rPr>
          <w:rFonts w:hint="eastAsia" w:hAnsi="Cambria Math" w:eastAsia="宋体" w:cstheme="minorBidi"/>
          <w:i w:val="0"/>
          <w:sz w:val="22"/>
          <w:szCs w:val="22"/>
          <w:lang w:val="en-US" w:eastAsia="zh-CN" w:bidi="ar-SA"/>
        </w:rPr>
        <w:t xml:space="preserve">  </w:t>
      </w:r>
      <m:oMath>
        <m:r>
          <m:rPr/>
          <w:rPr>
            <w:rFonts w:hint="default" w:ascii="Cambria Math" w:hAnsi="Cambria Math" w:eastAsia="宋体"/>
            <w:sz w:val="22"/>
          </w:rPr>
          <m:t>W=</m:t>
        </m:r>
        <m:sSup>
          <m:sSupPr>
            <m:ctrlPr>
              <w:rPr>
                <w:rFonts w:hint="default" w:ascii="Cambria Math" w:hAnsi="Cambria Math" w:eastAsia="宋体"/>
                <w:sz w:val="22"/>
              </w:rPr>
            </m:ctrlPr>
          </m:sSupPr>
          <m:e>
            <m:r>
              <m:rPr/>
              <w:rPr>
                <w:rFonts w:hint="default" w:ascii="Cambria Math" w:hAnsi="Cambria Math" w:eastAsia="宋体"/>
                <w:sz w:val="22"/>
              </w:rPr>
              <m:t>A</m:t>
            </m:r>
            <m:ctrlPr>
              <w:rPr>
                <w:rFonts w:ascii="Cambria Math" w:hAnsi="Cambria Math" w:eastAsia="宋体"/>
                <w:sz w:val="22"/>
              </w:rPr>
            </m:ctrlPr>
          </m:e>
          <m:sup>
            <m:r>
              <m:rPr/>
              <w:rPr>
                <w:rFonts w:hint="default" w:ascii="Cambria Math" w:hAnsi="Cambria Math" w:eastAsia="宋体"/>
                <w:sz w:val="22"/>
              </w:rPr>
              <m:t>−1</m:t>
            </m:r>
            <m:ctrlPr>
              <w:rPr>
                <w:rFonts w:ascii="Cambria Math" w:hAnsi="Cambria Math" w:eastAsia="宋体"/>
                <w:sz w:val="22"/>
              </w:rPr>
            </m:ctrlPr>
          </m:sup>
        </m:sSup>
        <m:r>
          <m:rPr>
            <m:sty m:val="p"/>
          </m:rPr>
          <w:rPr>
            <w:rFonts w:hint="default" w:ascii="Cambria Math" w:hAnsi="Cambria Math" w:eastAsia="宋体"/>
            <w:sz w:val="22"/>
            <w:lang w:val="en-US" w:eastAsia="zh-CN"/>
          </w:rPr>
          <m:t xml:space="preserve"> i.e.</m:t>
        </m:r>
      </m:oMath>
      <w:r>
        <m:rPr/>
        <w:rPr>
          <w:rFonts w:hint="eastAsia" w:hAnsi="Cambria Math" w:eastAsia="宋体"/>
          <w:i w:val="0"/>
          <w:sz w:val="22"/>
          <w:lang w:val="en-US" w:eastAsia="zh-CN"/>
        </w:rPr>
        <w:t xml:space="preserve"> </w:t>
      </w:r>
      <m:oMath>
        <m:r>
          <m:rPr>
            <m:sty m:val="p"/>
          </m:rPr>
          <w:rPr>
            <w:rFonts w:hint="eastAsia" w:ascii="Cambria Math" w:hAnsi="Cambria Math" w:eastAsia="宋体" w:cstheme="minorBidi"/>
            <w:sz w:val="22"/>
            <w:szCs w:val="22"/>
            <w:lang w:val="en-US" w:eastAsia="zh-CN" w:bidi="ar-SA"/>
          </w:rPr>
          <m:t>S = W X</m:t>
        </m:r>
      </m:oMath>
    </w:p>
    <w:p w14:paraId="66AD5932">
      <w:pPr>
        <w:numPr>
          <w:ilvl w:val="0"/>
          <w:numId w:val="0"/>
        </w:numPr>
        <w:rPr>
          <w:rFonts w:hint="default" w:hAnsi="Cambria Math" w:eastAsia="宋体"/>
          <w:i w:val="0"/>
          <w:sz w:val="22"/>
        </w:rPr>
      </w:pPr>
      <m:oMathPara>
        <m:oMath>
          <m:sSup>
            <m:sSupPr>
              <m:ctrlPr>
                <w:rPr>
                  <w:rFonts w:hint="default" w:ascii="Cambria Math" w:hAnsi="Cambria Math" w:eastAsia="宋体"/>
                  <w:sz w:val="22"/>
                </w:rPr>
              </m:ctrlPr>
            </m:sSupPr>
            <m:e>
              <m:r>
                <m:rPr/>
                <w:rPr>
                  <w:rFonts w:hint="default" w:ascii="Cambria Math" w:hAnsi="Cambria Math" w:eastAsia="宋体"/>
                  <w:sz w:val="22"/>
                </w:rPr>
                <m:t>W</m:t>
              </m:r>
              <m:ctrlPr>
                <w:rPr>
                  <w:rFonts w:ascii="Cambria Math" w:hAnsi="Cambria Math" w:eastAsia="宋体"/>
                  <w:sz w:val="22"/>
                </w:rPr>
              </m:ctrlPr>
            </m:e>
            <m:sup>
              <m:r>
                <m:rPr/>
                <w:rPr>
                  <w:rFonts w:hint="default" w:ascii="Cambria Math" w:hAnsi="Cambria Math" w:eastAsia="宋体"/>
                  <w:sz w:val="22"/>
                </w:rPr>
                <m:t>∗</m:t>
              </m:r>
              <m:ctrlPr>
                <w:rPr>
                  <w:rFonts w:ascii="Cambria Math" w:hAnsi="Cambria Math" w:eastAsia="宋体"/>
                  <w:sz w:val="22"/>
                </w:rPr>
              </m:ctrlPr>
            </m:sup>
          </m:sSup>
          <m:r>
            <m:rPr/>
            <w:rPr>
              <w:rFonts w:hint="default" w:ascii="Cambria Math" w:hAnsi="Cambria Math" w:eastAsia="宋体"/>
              <w:sz w:val="22"/>
            </w:rPr>
            <m:t>=</m:t>
          </m:r>
          <m:func>
            <m:funcPr>
              <m:ctrlPr>
                <w:rPr>
                  <w:rFonts w:hint="default" w:ascii="Cambria Math" w:hAnsi="Cambria Math" w:eastAsia="宋体"/>
                  <w:sz w:val="22"/>
                </w:rPr>
              </m:ctrlPr>
            </m:funcPr>
            <m:fName>
              <m:r>
                <m:rPr/>
                <w:rPr>
                  <w:rFonts w:hint="default" w:ascii="Cambria Math" w:hAnsi="Cambria Math" w:eastAsia="宋体"/>
                  <w:sz w:val="22"/>
                </w:rPr>
                <m:t>arg</m:t>
              </m:r>
              <m:ctrlPr>
                <w:rPr>
                  <w:rFonts w:ascii="Cambria Math" w:hAnsi="Cambria Math" w:eastAsia="宋体"/>
                  <w:sz w:val="22"/>
                </w:rPr>
              </m:ctrlPr>
            </m:fName>
            <m:e>
              <m:func>
                <m:funcPr>
                  <m:ctrlPr>
                    <w:rPr>
                      <w:rFonts w:hint="default" w:ascii="Cambria Math" w:hAnsi="Cambria Math" w:eastAsia="宋体"/>
                      <w:sz w:val="22"/>
                    </w:rPr>
                  </m:ctrlPr>
                </m:funcPr>
                <m:fName>
                  <m:limLow>
                    <m:limLowPr>
                      <m:ctrlPr>
                        <w:rPr>
                          <w:rFonts w:hint="default" w:ascii="Cambria Math" w:hAnsi="Cambria Math" w:eastAsia="宋体"/>
                          <w:sz w:val="22"/>
                        </w:rPr>
                      </m:ctrlPr>
                    </m:limLowPr>
                    <m:e>
                      <m:r>
                        <m:rPr>
                          <m:sty m:val="p"/>
                        </m:rPr>
                        <w:rPr>
                          <w:rFonts w:hint="default" w:ascii="Cambria Math" w:hAnsi="Cambria Math" w:eastAsia="宋体"/>
                          <w:sz w:val="22"/>
                        </w:rPr>
                        <m:t>max</m:t>
                      </m:r>
                      <m:ctrlPr>
                        <w:rPr>
                          <w:rFonts w:ascii="Cambria Math" w:hAnsi="Cambria Math" w:eastAsia="宋体"/>
                          <w:sz w:val="22"/>
                        </w:rPr>
                      </m:ctrlPr>
                    </m:e>
                    <m:lim>
                      <m:r>
                        <m:rPr/>
                        <w:rPr>
                          <w:rFonts w:hint="default" w:ascii="Cambria Math" w:hAnsi="Cambria Math" w:eastAsia="宋体"/>
                          <w:sz w:val="22"/>
                        </w:rPr>
                        <m:t>W</m:t>
                      </m:r>
                      <m:ctrlPr>
                        <w:rPr>
                          <w:rFonts w:ascii="Cambria Math" w:hAnsi="Cambria Math" w:eastAsia="宋体"/>
                          <w:sz w:val="22"/>
                        </w:rPr>
                      </m:ctrlPr>
                    </m:lim>
                  </m:limLow>
                  <m:ctrlPr>
                    <w:rPr>
                      <w:rFonts w:hint="default" w:ascii="Cambria Math" w:hAnsi="Cambria Math" w:eastAsia="宋体"/>
                      <w:sz w:val="22"/>
                    </w:rPr>
                  </m:ctrlPr>
                </m:fName>
                <m:e>
                  <m:nary>
                    <m:naryPr>
                      <m:chr m:val="∑"/>
                      <m:limLoc m:val="undOvr"/>
                      <m:ctrlPr>
                        <w:rPr>
                          <w:rFonts w:hint="default" w:ascii="Cambria Math" w:hAnsi="Cambria Math" w:eastAsia="宋体"/>
                          <w:sz w:val="22"/>
                        </w:rPr>
                      </m:ctrlPr>
                    </m:naryPr>
                    <m:sub>
                      <m:r>
                        <m:rPr/>
                        <w:rPr>
                          <w:rFonts w:hint="default" w:ascii="Cambria Math" w:hAnsi="Cambria Math" w:eastAsia="宋体"/>
                          <w:sz w:val="22"/>
                        </w:rPr>
                        <m:t>i=1</m:t>
                      </m:r>
                      <m:ctrlPr>
                        <w:rPr>
                          <w:rFonts w:ascii="Cambria Math" w:hAnsi="Cambria Math" w:eastAsia="宋体"/>
                          <w:sz w:val="22"/>
                        </w:rPr>
                      </m:ctrlPr>
                    </m:sub>
                    <m:sup>
                      <m:r>
                        <m:rPr/>
                        <w:rPr>
                          <w:rFonts w:hint="default" w:ascii="Cambria Math" w:hAnsi="Cambria Math" w:eastAsia="宋体"/>
                          <w:sz w:val="22"/>
                        </w:rPr>
                        <m:t>k</m:t>
                      </m:r>
                      <m:ctrlPr>
                        <w:rPr>
                          <w:rFonts w:ascii="Cambria Math" w:hAnsi="Cambria Math" w:eastAsia="宋体"/>
                          <w:sz w:val="22"/>
                        </w:rPr>
                      </m:ctrlPr>
                    </m:sup>
                    <m:e>
                      <m:r>
                        <m:rPr/>
                        <w:rPr>
                          <w:rFonts w:hint="default" w:ascii="Cambria Math" w:hAnsi="Cambria Math" w:eastAsia="宋体"/>
                          <w:sz w:val="22"/>
                        </w:rPr>
                        <m:t>G</m:t>
                      </m:r>
                      <m:ctrlPr>
                        <w:rPr>
                          <w:rFonts w:ascii="Cambria Math" w:hAnsi="Cambria Math" w:eastAsia="宋体"/>
                          <w:sz w:val="22"/>
                        </w:rPr>
                      </m:ctrlPr>
                    </m:e>
                  </m:nary>
                  <m:ctrlPr>
                    <w:rPr>
                      <w:rFonts w:hint="default" w:ascii="Cambria Math" w:hAnsi="Cambria Math" w:eastAsia="宋体"/>
                      <w:sz w:val="22"/>
                    </w:rPr>
                  </m:ctrlPr>
                </m:e>
              </m:func>
              <m:ctrlPr>
                <w:rPr>
                  <w:rFonts w:hint="default" w:ascii="Cambria Math" w:hAnsi="Cambria Math" w:eastAsia="宋体"/>
                  <w:sz w:val="22"/>
                </w:rPr>
              </m:ctrlPr>
            </m:e>
          </m:func>
          <m:r>
            <m:rPr/>
            <w:rPr>
              <w:rFonts w:hint="default" w:ascii="Cambria Math" w:hAnsi="Cambria Math" w:eastAsia="宋体"/>
              <w:sz w:val="22"/>
            </w:rPr>
            <m:t>(</m:t>
          </m:r>
          <m:sSubSup>
            <m:sSubSupPr>
              <m:ctrlPr>
                <w:rPr>
                  <w:rFonts w:hint="default" w:ascii="Cambria Math" w:hAnsi="Cambria Math" w:eastAsia="宋体"/>
                  <w:sz w:val="22"/>
                </w:rPr>
              </m:ctrlPr>
            </m:sSubSupPr>
            <m:e>
              <m:r>
                <m:rPr/>
                <w:rPr>
                  <w:rFonts w:hint="default" w:ascii="Cambria Math" w:hAnsi="Cambria Math" w:eastAsia="宋体"/>
                  <w:sz w:val="22"/>
                </w:rPr>
                <m:t>w</m:t>
              </m:r>
              <m:ctrlPr>
                <w:rPr>
                  <w:rFonts w:hint="default" w:ascii="Cambria Math" w:hAnsi="Cambria Math" w:eastAsia="宋体"/>
                  <w:sz w:val="22"/>
                </w:rPr>
              </m:ctrlPr>
            </m:e>
            <m:sub>
              <m:r>
                <m:rPr/>
                <w:rPr>
                  <w:rFonts w:hint="default" w:ascii="Cambria Math" w:hAnsi="Cambria Math" w:eastAsia="宋体"/>
                  <w:sz w:val="22"/>
                </w:rPr>
                <m:t>i</m:t>
              </m:r>
              <m:ctrlPr>
                <w:rPr>
                  <w:rFonts w:hint="default" w:ascii="Cambria Math" w:hAnsi="Cambria Math" w:eastAsia="宋体"/>
                  <w:sz w:val="22"/>
                </w:rPr>
              </m:ctrlPr>
            </m:sub>
            <m:sup>
              <m:r>
                <m:rPr/>
                <w:rPr>
                  <w:rFonts w:hint="default" w:ascii="Cambria Math" w:hAnsi="Cambria Math" w:eastAsia="宋体"/>
                  <w:sz w:val="22"/>
                </w:rPr>
                <m:t>T</m:t>
              </m:r>
              <m:ctrlPr>
                <w:rPr>
                  <w:rFonts w:hint="default" w:ascii="Cambria Math" w:hAnsi="Cambria Math" w:eastAsia="宋体"/>
                  <w:sz w:val="22"/>
                </w:rPr>
              </m:ctrlPr>
            </m:sup>
          </m:sSubSup>
          <m:r>
            <m:rPr/>
            <w:rPr>
              <w:rFonts w:hint="default" w:ascii="Cambria Math" w:hAnsi="Cambria Math" w:eastAsia="宋体"/>
              <w:sz w:val="22"/>
            </w:rPr>
            <m:t>X)</m:t>
          </m:r>
        </m:oMath>
      </m:oMathPara>
    </w:p>
    <w:p w14:paraId="6B670ADB">
      <w:pPr>
        <w:numPr>
          <w:ilvl w:val="0"/>
          <w:numId w:val="0"/>
        </w:numPr>
        <w:rPr>
          <w:rFonts w:hint="default" w:hAnsi="Cambria Math" w:eastAsia="宋体"/>
          <w:i w:val="0"/>
          <w:sz w:val="22"/>
        </w:rPr>
      </w:pPr>
      <w:r>
        <w:rPr>
          <w:sz w:val="22"/>
        </w:rPr>
        <mc:AlternateContent>
          <mc:Choice Requires="wps">
            <w:drawing>
              <wp:anchor distT="0" distB="0" distL="114300" distR="114300" simplePos="0" relativeHeight="251667456" behindDoc="0" locked="0" layoutInCell="1" allowOverlap="1">
                <wp:simplePos x="0" y="0"/>
                <wp:positionH relativeFrom="column">
                  <wp:posOffset>-33655</wp:posOffset>
                </wp:positionH>
                <wp:positionV relativeFrom="paragraph">
                  <wp:posOffset>227965</wp:posOffset>
                </wp:positionV>
                <wp:extent cx="6211570" cy="2678430"/>
                <wp:effectExtent l="38735" t="15240" r="48895" b="62230"/>
                <wp:wrapNone/>
                <wp:docPr id="2" name="矩形 2"/>
                <wp:cNvGraphicFramePr/>
                <a:graphic xmlns:a="http://schemas.openxmlformats.org/drawingml/2006/main">
                  <a:graphicData uri="http://schemas.microsoft.com/office/word/2010/wordprocessingShape">
                    <wps:wsp>
                      <wps:cNvSpPr/>
                      <wps:spPr>
                        <a:xfrm>
                          <a:off x="1109345" y="4743450"/>
                          <a:ext cx="6211570" cy="2678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5pt;margin-top:17.95pt;height:210.9pt;width:489.1pt;z-index:251667456;v-text-anchor:middle;mso-width-relative:page;mso-height-relative:page;" filled="f" stroked="t" coordsize="21600,21600" o:gfxdata="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A1pFtg2AAAAAkBAAAPAAAAAAAAAAEAIAAAACIAAABkcnMvZG93bnJldi54bWxQSwECFAAUAAAA&#10;CACHTuJAJV6i5tICAAClBQAADgAAAAAAAAABACAAAAAnAQAAZHJzL2Uyb0RvYy54bWxQSwUGAAAA&#10;AAYABgBZAQAAawYAAAAA&#10;">
                <v:fill on="f" focussize="0,0"/>
                <v:stroke color="#4A7EBB [3204]" joinstyle="round"/>
                <v:imagedata o:title=""/>
                <o:lock v:ext="edit" aspectratio="f"/>
                <v:shadow on="t" color="#000000" opacity="22937f" offset="0pt,1.81102362204724pt" origin="0f,32768f" matrix="65536f,0f,0f,65536f"/>
              </v:rect>
            </w:pict>
          </mc:Fallback>
        </mc:AlternateContent>
      </w:r>
    </w:p>
    <w:p w14:paraId="18F67C7D">
      <w:pPr>
        <w:numPr>
          <w:ilvl w:val="0"/>
          <w:numId w:val="0"/>
        </w:numPr>
        <w:rPr>
          <w:rFonts w:hint="eastAsia" w:hAnsi="Cambria Math" w:eastAsia="宋体" w:cstheme="minorBidi"/>
          <w:i w:val="0"/>
          <w:sz w:val="22"/>
          <w:szCs w:val="22"/>
          <w:lang w:val="en-US" w:eastAsia="zh-CN" w:bidi="ar-SA"/>
        </w:rPr>
      </w:pPr>
      <m:oMathPara>
        <m:oMath>
          <m:r>
            <m:rPr/>
            <w:rPr>
              <w:rFonts w:hint="default" w:ascii="Cambria Math" w:hAnsi="Cambria Math" w:eastAsia="宋体"/>
              <w:sz w:val="22"/>
            </w:rPr>
            <m:t>X←X−</m:t>
          </m:r>
          <m:r>
            <m:rPr>
              <m:scr m:val="double-struck"/>
            </m:rPr>
            <w:rPr>
              <w:rFonts w:hint="default" w:ascii="Cambria Math" w:hAnsi="Cambria Math" w:eastAsia="MS Mincho"/>
              <w:sz w:val="22"/>
            </w:rPr>
            <m:t>E</m:t>
          </m:r>
          <m:r>
            <m:rPr/>
            <w:rPr>
              <w:rFonts w:hint="default" w:ascii="Cambria Math" w:hAnsi="Cambria Math" w:eastAsia="宋体"/>
              <w:sz w:val="22"/>
            </w:rPr>
            <m:t>[X]</m:t>
          </m:r>
        </m:oMath>
      </m:oMathPara>
    </w:p>
    <w:p w14:paraId="2017FD69">
      <w:pPr>
        <w:numPr>
          <w:ilvl w:val="0"/>
          <w:numId w:val="0"/>
        </w:numPr>
        <w:rPr>
          <w:rFonts w:hint="eastAsia" w:hAnsi="Cambria Math" w:eastAsia="宋体" w:cstheme="minorBidi"/>
          <w:i w:val="0"/>
          <w:sz w:val="22"/>
          <w:szCs w:val="22"/>
          <w:lang w:val="en-US" w:eastAsia="zh-CN" w:bidi="ar-SA"/>
        </w:rPr>
      </w:pPr>
      <m:oMathPara>
        <m:oMath>
          <m:sSub>
            <m:sSubPr>
              <m:ctrlPr>
                <w:rPr>
                  <w:rFonts w:hint="default" w:ascii="Cambria Math" w:hAnsi="Cambria Math" w:eastAsia="宋体"/>
                  <w:sz w:val="22"/>
                </w:rPr>
              </m:ctrlPr>
            </m:sSubPr>
            <m:e>
              <m:r>
                <m:rPr/>
                <w:rPr>
                  <w:rFonts w:hint="default" w:ascii="Cambria Math" w:hAnsi="Cambria Math" w:eastAsia="宋体"/>
                  <w:sz w:val="22"/>
                </w:rPr>
                <m:t>X</m:t>
              </m:r>
              <m:ctrlPr>
                <w:rPr>
                  <w:rFonts w:ascii="Cambria Math" w:hAnsi="Cambria Math" w:eastAsia="宋体"/>
                  <w:sz w:val="22"/>
                </w:rPr>
              </m:ctrlPr>
            </m:e>
            <m:sub>
              <m:r>
                <m:rPr>
                  <m:sty m:val="p"/>
                </m:rPr>
                <w:rPr>
                  <w:rFonts w:hint="default" w:ascii="Cambria Math" w:hAnsi="Cambria Math" w:eastAsia="宋体"/>
                  <w:sz w:val="22"/>
                </w:rPr>
                <m:t>white</m:t>
              </m:r>
              <m:ctrlPr>
                <w:rPr>
                  <w:rFonts w:ascii="Cambria Math" w:hAnsi="Cambria Math" w:eastAsia="宋体"/>
                  <w:sz w:val="22"/>
                </w:rPr>
              </m:ctrlPr>
            </m:sub>
          </m:sSub>
          <m:r>
            <m:rPr/>
            <w:rPr>
              <w:rFonts w:hint="default" w:ascii="Cambria Math" w:hAnsi="Cambria Math" w:eastAsia="宋体"/>
              <w:sz w:val="22"/>
            </w:rPr>
            <m:t>=E</m:t>
          </m:r>
          <m:sSup>
            <m:sSupPr>
              <m:ctrlPr>
                <w:rPr>
                  <w:rFonts w:hint="default" w:ascii="Cambria Math" w:hAnsi="Cambria Math" w:eastAsia="宋体"/>
                  <w:sz w:val="22"/>
                </w:rPr>
              </m:ctrlPr>
            </m:sSupPr>
            <m:e>
              <m:r>
                <m:rPr/>
                <w:rPr>
                  <w:rFonts w:hint="default" w:ascii="Cambria Math" w:hAnsi="Cambria Math" w:eastAsia="宋体"/>
                  <w:sz w:val="22"/>
                </w:rPr>
                <m:t>D</m:t>
              </m:r>
              <m:ctrlPr>
                <w:rPr>
                  <w:rFonts w:ascii="Cambria Math" w:hAnsi="Cambria Math" w:eastAsia="宋体"/>
                  <w:sz w:val="22"/>
                </w:rPr>
              </m:ctrlPr>
            </m:e>
            <m:sup>
              <m:r>
                <m:rPr/>
                <w:rPr>
                  <w:rFonts w:hint="default" w:ascii="Cambria Math" w:hAnsi="Cambria Math" w:eastAsia="宋体"/>
                  <w:sz w:val="22"/>
                </w:rPr>
                <m:t>−</m:t>
              </m:r>
              <m:f>
                <m:fPr>
                  <m:ctrlPr>
                    <w:rPr>
                      <w:rFonts w:hint="default" w:ascii="Cambria Math" w:hAnsi="Cambria Math" w:eastAsia="宋体"/>
                      <w:i/>
                      <w:sz w:val="22"/>
                    </w:rPr>
                  </m:ctrlPr>
                </m:fPr>
                <m:num>
                  <m:r>
                    <m:rPr/>
                    <w:rPr>
                      <w:rFonts w:hint="default" w:ascii="Cambria Math" w:hAnsi="Cambria Math" w:eastAsia="宋体"/>
                      <w:sz w:val="22"/>
                    </w:rPr>
                    <m:t>1</m:t>
                  </m:r>
                  <m:ctrlPr>
                    <w:rPr>
                      <w:rFonts w:ascii="Cambria Math" w:hAnsi="Cambria Math" w:eastAsia="宋体"/>
                      <w:sz w:val="22"/>
                    </w:rPr>
                  </m:ctrlPr>
                </m:num>
                <m:den>
                  <m:r>
                    <m:rPr/>
                    <w:rPr>
                      <w:rFonts w:hint="default" w:ascii="Cambria Math" w:hAnsi="Cambria Math" w:eastAsia="宋体"/>
                      <w:sz w:val="22"/>
                    </w:rPr>
                    <m:t>2</m:t>
                  </m:r>
                  <m:ctrlPr>
                    <w:rPr>
                      <w:rFonts w:ascii="Cambria Math" w:hAnsi="Cambria Math" w:eastAsia="宋体"/>
                      <w:sz w:val="22"/>
                    </w:rPr>
                  </m:ctrlPr>
                </m:den>
              </m:f>
              <m:ctrlPr>
                <w:rPr>
                  <w:rFonts w:hint="default" w:ascii="Cambria Math" w:hAnsi="Cambria Math" w:eastAsia="宋体"/>
                  <w:i/>
                  <w:sz w:val="22"/>
                </w:rPr>
              </m:ctrlPr>
            </m:sup>
          </m:sSup>
          <m:sSup>
            <m:sSupPr>
              <m:ctrlPr>
                <w:rPr>
                  <w:rFonts w:hint="default" w:ascii="Cambria Math" w:hAnsi="Cambria Math" w:eastAsia="宋体"/>
                  <w:sz w:val="22"/>
                </w:rPr>
              </m:ctrlPr>
            </m:sSupPr>
            <m:e>
              <m:r>
                <m:rPr/>
                <w:rPr>
                  <w:rFonts w:hint="default" w:ascii="Cambria Math" w:hAnsi="Cambria Math" w:eastAsia="宋体"/>
                  <w:sz w:val="22"/>
                </w:rPr>
                <m:t>E</m:t>
              </m:r>
              <m:ctrlPr>
                <w:rPr>
                  <w:rFonts w:hint="default" w:ascii="Cambria Math" w:hAnsi="Cambria Math" w:eastAsia="宋体"/>
                  <w:i/>
                  <w:sz w:val="22"/>
                </w:rPr>
              </m:ctrlPr>
            </m:e>
            <m:sup>
              <m:r>
                <m:rPr/>
                <w:rPr>
                  <w:rFonts w:hint="default" w:ascii="Cambria Math" w:hAnsi="Cambria Math" w:eastAsia="宋体"/>
                  <w:sz w:val="22"/>
                </w:rPr>
                <m:t>T</m:t>
              </m:r>
              <m:ctrlPr>
                <w:rPr>
                  <w:rFonts w:hint="default" w:ascii="Cambria Math" w:hAnsi="Cambria Math" w:eastAsia="宋体"/>
                  <w:i/>
                  <w:sz w:val="22"/>
                </w:rPr>
              </m:ctrlPr>
            </m:sup>
          </m:sSup>
          <m:r>
            <m:rPr/>
            <w:rPr>
              <w:rFonts w:hint="default" w:ascii="Cambria Math" w:hAnsi="Cambria Math" w:eastAsia="宋体"/>
              <w:sz w:val="22"/>
            </w:rPr>
            <m:t>X</m:t>
          </m:r>
        </m:oMath>
      </m:oMathPara>
    </w:p>
    <w:p w14:paraId="7510FEB2">
      <w:pPr>
        <w:numPr>
          <w:ilvl w:val="0"/>
          <w:numId w:val="0"/>
        </w:numPr>
        <w:rPr>
          <w:rFonts w:hint="eastAsia" w:hAnsi="Cambria Math" w:eastAsia="宋体" w:cstheme="minorBidi"/>
          <w:i w:val="0"/>
          <w:sz w:val="22"/>
          <w:szCs w:val="22"/>
          <w:lang w:val="en-US" w:eastAsia="zh-CN" w:bidi="ar-SA"/>
        </w:rPr>
      </w:pPr>
      <m:oMathPara>
        <m:oMath>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r>
            <m:rPr/>
            <w:rPr>
              <w:rFonts w:hint="default" w:ascii="Cambria Math" w:hAnsi="Cambria Math" w:eastAsia="宋体"/>
              <w:sz w:val="22"/>
            </w:rPr>
            <m:t>←</m:t>
          </m:r>
          <m:r>
            <m:rPr>
              <m:scr m:val="double-struck"/>
            </m:rPr>
            <w:rPr>
              <w:rFonts w:hint="default" w:ascii="Cambria Math" w:hAnsi="Cambria Math" w:eastAsia="MS Mincho"/>
              <w:sz w:val="22"/>
            </w:rPr>
            <m:t>E</m:t>
          </m:r>
          <m:r>
            <m:rPr/>
            <w:rPr>
              <w:rFonts w:hint="default" w:ascii="Cambria Math" w:hAnsi="Cambria Math" w:eastAsia="宋体"/>
              <w:sz w:val="22"/>
            </w:rPr>
            <m:t>[Xg(</m:t>
          </m:r>
          <m:sSubSup>
            <m:sSubSupPr>
              <m:ctrlPr>
                <w:rPr>
                  <w:rFonts w:hint="default" w:ascii="Cambria Math" w:hAnsi="Cambria Math" w:eastAsia="宋体"/>
                  <w:sz w:val="22"/>
                </w:rPr>
              </m:ctrlPr>
            </m:sSubSup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up>
              <m:r>
                <m:rPr/>
                <w:rPr>
                  <w:rFonts w:hint="default" w:ascii="Cambria Math" w:hAnsi="Cambria Math" w:eastAsia="宋体"/>
                  <w:sz w:val="22"/>
                </w:rPr>
                <m:t>T</m:t>
              </m:r>
              <m:ctrlPr>
                <w:rPr>
                  <w:rFonts w:ascii="Cambria Math" w:hAnsi="Cambria Math" w:eastAsia="宋体"/>
                  <w:sz w:val="22"/>
                </w:rPr>
              </m:ctrlPr>
            </m:sup>
          </m:sSubSup>
          <m:r>
            <m:rPr/>
            <w:rPr>
              <w:rFonts w:hint="default" w:ascii="Cambria Math" w:hAnsi="Cambria Math" w:eastAsia="宋体"/>
              <w:sz w:val="22"/>
            </w:rPr>
            <m:t>X)]−</m:t>
          </m:r>
          <m:r>
            <m:rPr>
              <m:scr m:val="double-struck"/>
            </m:rPr>
            <w:rPr>
              <w:rFonts w:hint="default" w:ascii="Cambria Math" w:hAnsi="Cambria Math" w:eastAsia="MS Mincho"/>
              <w:sz w:val="22"/>
            </w:rPr>
            <m:t>E</m:t>
          </m:r>
          <m:r>
            <m:rPr/>
            <w:rPr>
              <w:rFonts w:hint="default" w:ascii="Cambria Math" w:hAnsi="Cambria Math" w:eastAsia="宋体"/>
              <w:sz w:val="22"/>
            </w:rPr>
            <m:t>[g'(</m:t>
          </m:r>
          <m:sSubSup>
            <m:sSubSupPr>
              <m:ctrlPr>
                <w:rPr>
                  <w:rFonts w:hint="default" w:ascii="Cambria Math" w:hAnsi="Cambria Math" w:eastAsia="宋体"/>
                  <w:sz w:val="22"/>
                </w:rPr>
              </m:ctrlPr>
            </m:sSubSup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up>
              <m:r>
                <m:rPr/>
                <w:rPr>
                  <w:rFonts w:hint="default" w:ascii="Cambria Math" w:hAnsi="Cambria Math" w:eastAsia="宋体"/>
                  <w:sz w:val="22"/>
                </w:rPr>
                <m:t>T</m:t>
              </m:r>
              <m:ctrlPr>
                <w:rPr>
                  <w:rFonts w:ascii="Cambria Math" w:hAnsi="Cambria Math" w:eastAsia="宋体"/>
                  <w:sz w:val="22"/>
                </w:rPr>
              </m:ctrlPr>
            </m:sup>
          </m:sSubSup>
          <m:r>
            <m:rPr/>
            <w:rPr>
              <w:rFonts w:hint="default" w:ascii="Cambria Math" w:hAnsi="Cambria Math" w:eastAsia="宋体"/>
              <w:sz w:val="22"/>
            </w:rPr>
            <m:t>X)]⋅</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oMath>
      </m:oMathPara>
    </w:p>
    <w:p w14:paraId="537337C9">
      <w:pPr>
        <w:numPr>
          <w:ilvl w:val="0"/>
          <w:numId w:val="0"/>
        </w:numPr>
        <w:rPr>
          <w:rFonts w:hint="eastAsia" w:hAnsi="Cambria Math" w:eastAsia="宋体" w:cstheme="minorBidi"/>
          <w:i w:val="0"/>
          <w:sz w:val="22"/>
          <w:szCs w:val="22"/>
          <w:lang w:val="en-US" w:eastAsia="zh-CN" w:bidi="ar-SA"/>
        </w:rPr>
      </w:pPr>
      <m:oMathPara>
        <m:oMath>
          <m:r>
            <m:rPr>
              <m:sty m:val="p"/>
            </m:rPr>
            <w:rPr>
              <w:rFonts w:hint="default" w:ascii="Cambria Math" w:hAnsi="Cambria Math" w:eastAsia="宋体"/>
              <w:sz w:val="22"/>
            </w:rPr>
            <m:t>then</m:t>
          </m:r>
          <m:r>
            <m:rPr>
              <m:sty m:val="p"/>
            </m:rPr>
            <w:rPr>
              <w:rFonts w:hint="default" w:ascii="Cambria Math" w:hAnsi="Cambria Math" w:eastAsia="宋体"/>
              <w:sz w:val="22"/>
              <w:lang w:val="en-US" w:eastAsia="zh-CN"/>
            </w:rPr>
            <m:t xml:space="preserve">      </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1</m:t>
              </m:r>
              <m:ctrlPr>
                <w:rPr>
                  <w:rFonts w:ascii="Cambria Math" w:hAnsi="Cambria Math" w:eastAsia="宋体"/>
                  <w:sz w:val="22"/>
                </w:rPr>
              </m:ctrlPr>
            </m:sub>
          </m:sSub>
          <m:r>
            <m:rPr/>
            <w:rPr>
              <w:rFonts w:hint="default" w:ascii="Cambria Math" w:hAnsi="Cambria Math" w:eastAsia="宋体"/>
              <w:sz w:val="22"/>
            </w:rPr>
            <m:t>←</m:t>
          </m:r>
          <m:f>
            <m:fPr>
              <m:ctrlPr>
                <w:rPr>
                  <w:rFonts w:hint="default" w:ascii="Cambria Math" w:hAnsi="Cambria Math" w:eastAsia="宋体"/>
                  <w:i/>
                  <w:sz w:val="22"/>
                </w:rPr>
              </m:ctrlPr>
            </m:fPr>
            <m:num>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1</m:t>
                  </m:r>
                  <m:ctrlPr>
                    <w:rPr>
                      <w:rFonts w:ascii="Cambria Math" w:hAnsi="Cambria Math" w:eastAsia="宋体"/>
                      <w:sz w:val="22"/>
                    </w:rPr>
                  </m:ctrlPr>
                </m:sub>
              </m:sSub>
              <m:ctrlPr>
                <w:rPr>
                  <w:rFonts w:hint="default" w:ascii="Cambria Math" w:hAnsi="Cambria Math" w:eastAsia="宋体"/>
                  <w:sz w:val="22"/>
                </w:rPr>
              </m:ctrlPr>
            </m:num>
            <m:den>
              <m:r>
                <m:rPr/>
                <w:rPr>
                  <w:rFonts w:hint="default" w:ascii="Cambria Math" w:hAnsi="Cambria Math" w:eastAsia="宋体"/>
                  <w:sz w:val="22"/>
                </w:rPr>
                <m:t>‖</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1</m:t>
                  </m:r>
                  <m:ctrlPr>
                    <w:rPr>
                      <w:rFonts w:ascii="Cambria Math" w:hAnsi="Cambria Math" w:eastAsia="宋体"/>
                      <w:sz w:val="22"/>
                    </w:rPr>
                  </m:ctrlPr>
                </m:sub>
              </m:sSub>
              <m:r>
                <m:rPr/>
                <w:rPr>
                  <w:rFonts w:hint="default" w:ascii="Cambria Math" w:hAnsi="Cambria Math" w:eastAsia="宋体"/>
                  <w:sz w:val="22"/>
                </w:rPr>
                <m:t>‖</m:t>
              </m:r>
              <m:ctrlPr>
                <w:rPr>
                  <w:rFonts w:hint="default" w:ascii="Cambria Math" w:hAnsi="Cambria Math" w:eastAsia="宋体"/>
                  <w:sz w:val="22"/>
                </w:rPr>
              </m:ctrlPr>
            </m:den>
          </m:f>
        </m:oMath>
      </m:oMathPara>
    </w:p>
    <w:p w14:paraId="40605D05">
      <w:pPr>
        <w:numPr>
          <w:ilvl w:val="0"/>
          <w:numId w:val="0"/>
        </w:numPr>
        <w:rPr>
          <w:rFonts w:hint="eastAsia" w:hAnsi="Cambria Math" w:eastAsia="宋体" w:cstheme="minorBidi"/>
          <w:i w:val="0"/>
          <w:sz w:val="22"/>
          <w:szCs w:val="22"/>
          <w:lang w:val="en-US" w:eastAsia="zh-CN" w:bidi="ar-SA"/>
        </w:rPr>
      </w:pPr>
      <m:oMathPara>
        <m:oMath>
          <m:r>
            <m:rPr/>
            <w:rPr>
              <w:rFonts w:hint="default" w:ascii="Cambria Math" w:hAnsi="Cambria Math" w:eastAsia="宋体"/>
              <w:sz w:val="22"/>
            </w:rPr>
            <m:t> </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r>
            <m:rPr/>
            <w:rPr>
              <w:rFonts w:hint="default" w:ascii="Cambria Math" w:hAnsi="Cambria Math" w:eastAsia="宋体"/>
              <w:sz w:val="22"/>
            </w:rPr>
            <m:t>←</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r>
            <m:rPr/>
            <w:rPr>
              <w:rFonts w:hint="default" w:ascii="Cambria Math" w:hAnsi="Cambria Math" w:eastAsia="宋体"/>
              <w:sz w:val="22"/>
            </w:rPr>
            <m:t>−</m:t>
          </m:r>
          <m:nary>
            <m:naryPr>
              <m:chr m:val="∑"/>
              <m:limLoc m:val="undOvr"/>
              <m:ctrlPr>
                <w:rPr>
                  <w:rFonts w:hint="default" w:ascii="Cambria Math" w:hAnsi="Cambria Math" w:eastAsia="宋体"/>
                  <w:sz w:val="22"/>
                </w:rPr>
              </m:ctrlPr>
            </m:naryPr>
            <m:sub>
              <m:r>
                <m:rPr/>
                <w:rPr>
                  <w:rFonts w:hint="default" w:ascii="Cambria Math" w:hAnsi="Cambria Math" w:eastAsia="宋体"/>
                  <w:sz w:val="22"/>
                </w:rPr>
                <m:t>j=1</m:t>
              </m:r>
              <m:ctrlPr>
                <w:rPr>
                  <w:rFonts w:ascii="Cambria Math" w:hAnsi="Cambria Math" w:eastAsia="宋体"/>
                  <w:sz w:val="22"/>
                </w:rPr>
              </m:ctrlPr>
            </m:sub>
            <m:sup>
              <m:r>
                <m:rPr/>
                <w:rPr>
                  <w:rFonts w:hint="default" w:ascii="Cambria Math" w:hAnsi="Cambria Math" w:eastAsia="宋体"/>
                  <w:sz w:val="22"/>
                </w:rPr>
                <m:t>i−1</m:t>
              </m:r>
              <m:ctrlPr>
                <w:rPr>
                  <w:rFonts w:ascii="Cambria Math" w:hAnsi="Cambria Math" w:eastAsia="宋体"/>
                  <w:sz w:val="22"/>
                </w:rPr>
              </m:ctrlPr>
            </m:sup>
            <m:e>
              <m:r>
                <m:rPr/>
                <w:rPr>
                  <w:rFonts w:hint="default" w:ascii="Cambria Math" w:hAnsi="Cambria Math" w:eastAsia="宋体"/>
                  <w:sz w:val="22"/>
                </w:rPr>
                <m:t>(</m:t>
              </m:r>
              <m:ctrlPr>
                <w:rPr>
                  <w:rFonts w:ascii="Cambria Math" w:hAnsi="Cambria Math" w:eastAsia="宋体"/>
                  <w:sz w:val="22"/>
                </w:rPr>
              </m:ctrlPr>
            </m:e>
          </m:nary>
          <m:sSubSup>
            <m:sSubSupPr>
              <m:ctrlPr>
                <w:rPr>
                  <w:rFonts w:hint="default" w:ascii="Cambria Math" w:hAnsi="Cambria Math" w:eastAsia="宋体"/>
                  <w:sz w:val="22"/>
                </w:rPr>
              </m:ctrlPr>
            </m:sSubSup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up>
              <m:r>
                <m:rPr/>
                <w:rPr>
                  <w:rFonts w:hint="default" w:ascii="Cambria Math" w:hAnsi="Cambria Math" w:eastAsia="宋体"/>
                  <w:sz w:val="22"/>
                </w:rPr>
                <m:t>T</m:t>
              </m:r>
              <m:ctrlPr>
                <w:rPr>
                  <w:rFonts w:ascii="Cambria Math" w:hAnsi="Cambria Math" w:eastAsia="宋体"/>
                  <w:sz w:val="22"/>
                </w:rPr>
              </m:ctrlPr>
            </m:sup>
          </m:sSubSup>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j</m:t>
              </m:r>
              <m:ctrlPr>
                <w:rPr>
                  <w:rFonts w:ascii="Cambria Math" w:hAnsi="Cambria Math" w:eastAsia="宋体"/>
                  <w:sz w:val="22"/>
                </w:rPr>
              </m:ctrlPr>
            </m:sub>
          </m:sSub>
          <m:r>
            <m:rPr/>
            <w:rPr>
              <w:rFonts w:hint="default" w:ascii="Cambria Math" w:hAnsi="Cambria Math" w:eastAsia="宋体"/>
              <w:sz w:val="22"/>
            </w:rPr>
            <m:t>)⋅</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j</m:t>
              </m:r>
              <m:ctrlPr>
                <w:rPr>
                  <w:rFonts w:ascii="Cambria Math" w:hAnsi="Cambria Math" w:eastAsia="宋体"/>
                  <w:sz w:val="22"/>
                </w:rPr>
              </m:ctrlPr>
            </m:sub>
          </m:sSub>
          <m:r>
            <m:rPr/>
            <w:rPr>
              <w:rFonts w:hint="default" w:ascii="Cambria Math" w:hAnsi="Cambria Math" w:eastAsia="宋体"/>
              <w:sz w:val="22"/>
            </w:rPr>
            <m:t> </m:t>
          </m:r>
        </m:oMath>
      </m:oMathPara>
    </w:p>
    <w:p w14:paraId="6BEBF637">
      <w:pPr>
        <w:numPr>
          <w:ilvl w:val="0"/>
          <w:numId w:val="0"/>
        </w:numPr>
        <w:rPr>
          <w:rFonts w:hint="eastAsia" w:hAnsi="Cambria Math" w:eastAsia="宋体" w:cstheme="minorBidi"/>
          <w:i w:val="0"/>
          <w:sz w:val="22"/>
          <w:szCs w:val="22"/>
          <w:lang w:val="en-US" w:eastAsia="zh-CN" w:bidi="ar-SA"/>
        </w:rPr>
      </w:pPr>
      <m:oMathPara>
        <m:oMath>
          <m:r>
            <m:rPr/>
            <w:rPr>
              <w:rFonts w:hint="default" w:ascii="Cambria Math" w:hAnsi="Cambria Math" w:eastAsia="宋体"/>
              <w:sz w:val="22"/>
            </w:rPr>
            <m:t> </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r>
            <m:rPr/>
            <w:rPr>
              <w:rFonts w:hint="default" w:ascii="Cambria Math" w:hAnsi="Cambria Math" w:eastAsia="宋体"/>
              <w:sz w:val="22"/>
            </w:rPr>
            <m:t>←</m:t>
          </m:r>
          <m:f>
            <m:fPr>
              <m:ctrlPr>
                <w:rPr>
                  <w:rFonts w:hint="default" w:ascii="Cambria Math" w:hAnsi="Cambria Math" w:eastAsia="宋体"/>
                  <w:i/>
                  <w:sz w:val="22"/>
                </w:rPr>
              </m:ctrlPr>
            </m:fPr>
            <m:num>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ctrlPr>
                <w:rPr>
                  <w:rFonts w:hint="default" w:ascii="Cambria Math" w:hAnsi="Cambria Math" w:eastAsia="宋体"/>
                  <w:sz w:val="22"/>
                </w:rPr>
              </m:ctrlPr>
            </m:num>
            <m:den>
              <m:r>
                <m:rPr/>
                <w:rPr>
                  <w:rFonts w:hint="default" w:ascii="Cambria Math" w:hAnsi="Cambria Math" w:eastAsia="宋体"/>
                  <w:sz w:val="22"/>
                </w:rPr>
                <m:t>‖</m:t>
              </m:r>
              <m:sSub>
                <m:sSubPr>
                  <m:ctrlPr>
                    <w:rPr>
                      <w:rFonts w:hint="default" w:ascii="Cambria Math" w:hAnsi="Cambria Math" w:eastAsia="宋体"/>
                      <w:sz w:val="22"/>
                    </w:rPr>
                  </m:ctrlPr>
                </m:sSubPr>
                <m:e>
                  <m:r>
                    <m:rPr/>
                    <w:rPr>
                      <w:rFonts w:hint="default" w:ascii="Cambria Math" w:hAnsi="Cambria Math" w:eastAsia="宋体"/>
                      <w:sz w:val="22"/>
                    </w:rPr>
                    <m:t>w</m:t>
                  </m:r>
                  <m:ctrlPr>
                    <w:rPr>
                      <w:rFonts w:ascii="Cambria Math" w:hAnsi="Cambria Math" w:eastAsia="宋体"/>
                      <w:sz w:val="22"/>
                    </w:rPr>
                  </m:ctrlPr>
                </m:e>
                <m:sub>
                  <m:r>
                    <m:rPr/>
                    <w:rPr>
                      <w:rFonts w:hint="default" w:ascii="Cambria Math" w:hAnsi="Cambria Math" w:eastAsia="宋体"/>
                      <w:sz w:val="22"/>
                    </w:rPr>
                    <m:t>i</m:t>
                  </m:r>
                  <m:ctrlPr>
                    <w:rPr>
                      <w:rFonts w:ascii="Cambria Math" w:hAnsi="Cambria Math" w:eastAsia="宋体"/>
                      <w:sz w:val="22"/>
                    </w:rPr>
                  </m:ctrlPr>
                </m:sub>
              </m:sSub>
              <m:r>
                <m:rPr/>
                <w:rPr>
                  <w:rFonts w:hint="default" w:ascii="Cambria Math" w:hAnsi="Cambria Math" w:eastAsia="宋体"/>
                  <w:sz w:val="22"/>
                </w:rPr>
                <m:t>‖</m:t>
              </m:r>
              <m:ctrlPr>
                <w:rPr>
                  <w:rFonts w:hint="default" w:ascii="Cambria Math" w:hAnsi="Cambria Math" w:eastAsia="宋体"/>
                  <w:sz w:val="22"/>
                </w:rPr>
              </m:ctrlPr>
            </m:den>
          </m:f>
        </m:oMath>
      </m:oMathPara>
    </w:p>
    <w:p w14:paraId="3C28EE24">
      <w:pPr>
        <w:numPr>
          <w:ilvl w:val="0"/>
          <w:numId w:val="0"/>
        </w:numPr>
        <w:rPr>
          <w:rFonts w:hint="default" w:hAnsi="Cambria Math" w:eastAsia="宋体" w:cstheme="minorBidi"/>
          <w:i w:val="0"/>
          <w:sz w:val="22"/>
          <w:szCs w:val="22"/>
          <w:lang w:val="en-US" w:eastAsia="zh-CN" w:bidi="ar-SA"/>
        </w:rPr>
      </w:pPr>
    </w:p>
    <w:p w14:paraId="778C2DD7">
      <w:pPr>
        <w:spacing w:line="360" w:lineRule="auto"/>
        <w:rPr>
          <w:rFonts w:ascii="Times New Roman" w:hAnsi="Times New Roman" w:cs="Times New Roman"/>
          <w:sz w:val="24"/>
          <w:szCs w:val="24"/>
        </w:rPr>
      </w:pPr>
      <w:r>
        <w:rPr>
          <w:rFonts w:ascii="Times New Roman" w:hAnsi="Times New Roman" w:cs="Times New Roman"/>
          <w:sz w:val="24"/>
          <w:szCs w:val="24"/>
        </w:rPr>
        <w:t>The ICA loadings on financial metrics are as follows:</w:t>
      </w:r>
    </w:p>
    <w:p w14:paraId="422B481C">
      <w:pPr>
        <w:spacing w:line="360" w:lineRule="auto"/>
        <w:rPr>
          <w:rFonts w:ascii="Times New Roman" w:hAnsi="Times New Roman" w:cs="Times New Roman"/>
          <w:sz w:val="24"/>
          <w:szCs w:val="24"/>
        </w:rPr>
      </w:pPr>
    </w:p>
    <w:p w14:paraId="2279CF42">
      <w:pPr>
        <w:spacing w:line="360" w:lineRule="auto"/>
        <w:rPr>
          <w:rFonts w:ascii="Times New Roman" w:hAnsi="Times New Roman" w:cs="Times New Roman"/>
          <w:sz w:val="24"/>
          <w:szCs w:val="24"/>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7F9C7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57C79BF2">
            <w:pPr>
              <w:spacing w:after="0" w:line="360" w:lineRule="auto"/>
              <w:rPr>
                <w:rFonts w:ascii="Times New Roman" w:hAnsi="Times New Roman" w:cs="Times New Roman"/>
                <w:sz w:val="24"/>
                <w:szCs w:val="24"/>
              </w:rPr>
            </w:pPr>
            <w:r>
              <w:rPr>
                <w:rFonts w:ascii="Times New Roman" w:hAnsi="Times New Roman" w:cs="Times New Roman"/>
                <w:sz w:val="24"/>
                <w:szCs w:val="24"/>
              </w:rPr>
              <w:t>Metric</w:t>
            </w:r>
          </w:p>
        </w:tc>
        <w:tc>
          <w:tcPr>
            <w:tcW w:w="2160" w:type="dxa"/>
          </w:tcPr>
          <w:p w14:paraId="1FB68316">
            <w:pPr>
              <w:spacing w:after="0" w:line="360" w:lineRule="auto"/>
              <w:rPr>
                <w:rFonts w:ascii="Times New Roman" w:hAnsi="Times New Roman" w:cs="Times New Roman"/>
                <w:sz w:val="24"/>
                <w:szCs w:val="24"/>
              </w:rPr>
            </w:pPr>
            <w:r>
              <w:rPr>
                <w:rFonts w:ascii="Times New Roman" w:hAnsi="Times New Roman" w:cs="Times New Roman"/>
                <w:sz w:val="24"/>
                <w:szCs w:val="24"/>
              </w:rPr>
              <w:t>IC1</w:t>
            </w:r>
          </w:p>
        </w:tc>
        <w:tc>
          <w:tcPr>
            <w:tcW w:w="2160" w:type="dxa"/>
          </w:tcPr>
          <w:p w14:paraId="37CF933F">
            <w:pPr>
              <w:spacing w:after="0" w:line="360" w:lineRule="auto"/>
              <w:rPr>
                <w:rFonts w:ascii="Times New Roman" w:hAnsi="Times New Roman" w:cs="Times New Roman"/>
                <w:sz w:val="24"/>
                <w:szCs w:val="24"/>
              </w:rPr>
            </w:pPr>
            <w:r>
              <w:rPr>
                <w:rFonts w:ascii="Times New Roman" w:hAnsi="Times New Roman" w:cs="Times New Roman"/>
                <w:sz w:val="24"/>
                <w:szCs w:val="24"/>
              </w:rPr>
              <w:t>IC2</w:t>
            </w:r>
          </w:p>
        </w:tc>
        <w:tc>
          <w:tcPr>
            <w:tcW w:w="2160" w:type="dxa"/>
          </w:tcPr>
          <w:p w14:paraId="3150B0D4">
            <w:pPr>
              <w:spacing w:after="0" w:line="360" w:lineRule="auto"/>
              <w:rPr>
                <w:rFonts w:ascii="Times New Roman" w:hAnsi="Times New Roman" w:cs="Times New Roman"/>
                <w:sz w:val="24"/>
                <w:szCs w:val="24"/>
              </w:rPr>
            </w:pPr>
            <w:r>
              <w:rPr>
                <w:rFonts w:ascii="Times New Roman" w:hAnsi="Times New Roman" w:cs="Times New Roman"/>
                <w:sz w:val="24"/>
                <w:szCs w:val="24"/>
              </w:rPr>
              <w:t>IC3</w:t>
            </w:r>
          </w:p>
        </w:tc>
      </w:tr>
      <w:tr w14:paraId="5910D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31DF733A">
            <w:pPr>
              <w:spacing w:after="0" w:line="360" w:lineRule="auto"/>
              <w:rPr>
                <w:rFonts w:ascii="Times New Roman" w:hAnsi="Times New Roman" w:cs="Times New Roman"/>
                <w:sz w:val="24"/>
                <w:szCs w:val="24"/>
              </w:rPr>
            </w:pPr>
            <w:r>
              <w:rPr>
                <w:rFonts w:ascii="Times New Roman" w:hAnsi="Times New Roman" w:cs="Times New Roman"/>
                <w:sz w:val="24"/>
                <w:szCs w:val="24"/>
              </w:rPr>
              <w:t>Annual Return (log)</w:t>
            </w:r>
          </w:p>
        </w:tc>
        <w:tc>
          <w:tcPr>
            <w:tcW w:w="2160" w:type="dxa"/>
          </w:tcPr>
          <w:p w14:paraId="645441DF">
            <w:pPr>
              <w:spacing w:after="0" w:line="360" w:lineRule="auto"/>
              <w:rPr>
                <w:rFonts w:ascii="Times New Roman" w:hAnsi="Times New Roman" w:cs="Times New Roman"/>
                <w:sz w:val="24"/>
                <w:szCs w:val="24"/>
              </w:rPr>
            </w:pPr>
            <w:r>
              <w:rPr>
                <w:rFonts w:ascii="Times New Roman" w:hAnsi="Times New Roman" w:cs="Times New Roman"/>
                <w:sz w:val="24"/>
                <w:szCs w:val="24"/>
              </w:rPr>
              <w:t>0.0306</w:t>
            </w:r>
          </w:p>
        </w:tc>
        <w:tc>
          <w:tcPr>
            <w:tcW w:w="2160" w:type="dxa"/>
          </w:tcPr>
          <w:p w14:paraId="0F7004FF">
            <w:pPr>
              <w:spacing w:after="0" w:line="360" w:lineRule="auto"/>
              <w:rPr>
                <w:rFonts w:ascii="Times New Roman" w:hAnsi="Times New Roman" w:cs="Times New Roman"/>
                <w:sz w:val="24"/>
                <w:szCs w:val="24"/>
              </w:rPr>
            </w:pPr>
            <w:r>
              <w:rPr>
                <w:rFonts w:ascii="Times New Roman" w:hAnsi="Times New Roman" w:cs="Times New Roman"/>
                <w:sz w:val="24"/>
                <w:szCs w:val="24"/>
              </w:rPr>
              <w:t>0.3900</w:t>
            </w:r>
          </w:p>
        </w:tc>
        <w:tc>
          <w:tcPr>
            <w:tcW w:w="2160" w:type="dxa"/>
          </w:tcPr>
          <w:p w14:paraId="577C5D36">
            <w:pPr>
              <w:spacing w:after="0" w:line="360" w:lineRule="auto"/>
              <w:rPr>
                <w:rFonts w:ascii="Times New Roman" w:hAnsi="Times New Roman" w:cs="Times New Roman"/>
                <w:sz w:val="24"/>
                <w:szCs w:val="24"/>
              </w:rPr>
            </w:pPr>
            <w:r>
              <w:rPr>
                <w:rFonts w:ascii="Times New Roman" w:hAnsi="Times New Roman" w:cs="Times New Roman"/>
                <w:sz w:val="24"/>
                <w:szCs w:val="24"/>
              </w:rPr>
              <w:t>0.8003</w:t>
            </w:r>
          </w:p>
        </w:tc>
      </w:tr>
      <w:tr w14:paraId="7F8AA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754BE3F4">
            <w:pPr>
              <w:spacing w:after="0" w:line="360" w:lineRule="auto"/>
              <w:rPr>
                <w:rFonts w:ascii="Times New Roman" w:hAnsi="Times New Roman" w:cs="Times New Roman"/>
                <w:sz w:val="24"/>
                <w:szCs w:val="24"/>
              </w:rPr>
            </w:pPr>
            <w:r>
              <w:rPr>
                <w:rFonts w:ascii="Times New Roman" w:hAnsi="Times New Roman" w:cs="Times New Roman"/>
                <w:sz w:val="24"/>
                <w:szCs w:val="24"/>
              </w:rPr>
              <w:t>Std Deviation</w:t>
            </w:r>
          </w:p>
        </w:tc>
        <w:tc>
          <w:tcPr>
            <w:tcW w:w="2160" w:type="dxa"/>
          </w:tcPr>
          <w:p w14:paraId="7B74F7BB">
            <w:pPr>
              <w:spacing w:after="0" w:line="360" w:lineRule="auto"/>
              <w:rPr>
                <w:rFonts w:ascii="Times New Roman" w:hAnsi="Times New Roman" w:cs="Times New Roman"/>
                <w:sz w:val="24"/>
                <w:szCs w:val="24"/>
              </w:rPr>
            </w:pPr>
            <w:r>
              <w:rPr>
                <w:rFonts w:ascii="Times New Roman" w:hAnsi="Times New Roman" w:cs="Times New Roman"/>
                <w:sz w:val="24"/>
                <w:szCs w:val="24"/>
              </w:rPr>
              <w:t>0.2557</w:t>
            </w:r>
          </w:p>
        </w:tc>
        <w:tc>
          <w:tcPr>
            <w:tcW w:w="2160" w:type="dxa"/>
          </w:tcPr>
          <w:p w14:paraId="5150B6F2">
            <w:pPr>
              <w:spacing w:after="0" w:line="360" w:lineRule="auto"/>
              <w:rPr>
                <w:rFonts w:ascii="Times New Roman" w:hAnsi="Times New Roman" w:cs="Times New Roman"/>
                <w:sz w:val="24"/>
                <w:szCs w:val="24"/>
              </w:rPr>
            </w:pPr>
            <w:r>
              <w:rPr>
                <w:rFonts w:ascii="Times New Roman" w:hAnsi="Times New Roman" w:cs="Times New Roman"/>
                <w:sz w:val="24"/>
                <w:szCs w:val="24"/>
              </w:rPr>
              <w:t>-0.4954</w:t>
            </w:r>
          </w:p>
        </w:tc>
        <w:tc>
          <w:tcPr>
            <w:tcW w:w="2160" w:type="dxa"/>
          </w:tcPr>
          <w:p w14:paraId="20873F0D">
            <w:pPr>
              <w:spacing w:after="0" w:line="360" w:lineRule="auto"/>
              <w:rPr>
                <w:rFonts w:ascii="Times New Roman" w:hAnsi="Times New Roman" w:cs="Times New Roman"/>
                <w:sz w:val="24"/>
                <w:szCs w:val="24"/>
              </w:rPr>
            </w:pPr>
            <w:r>
              <w:rPr>
                <w:rFonts w:ascii="Times New Roman" w:hAnsi="Times New Roman" w:cs="Times New Roman"/>
                <w:sz w:val="24"/>
                <w:szCs w:val="24"/>
              </w:rPr>
              <w:t>-0.6507</w:t>
            </w:r>
          </w:p>
        </w:tc>
      </w:tr>
      <w:tr w14:paraId="3BB70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0539279A">
            <w:pPr>
              <w:spacing w:after="0" w:line="360" w:lineRule="auto"/>
              <w:rPr>
                <w:rFonts w:ascii="Times New Roman" w:hAnsi="Times New Roman" w:cs="Times New Roman"/>
                <w:sz w:val="24"/>
                <w:szCs w:val="24"/>
              </w:rPr>
            </w:pPr>
            <w:r>
              <w:rPr>
                <w:rFonts w:ascii="Times New Roman" w:hAnsi="Times New Roman" w:cs="Times New Roman"/>
                <w:sz w:val="24"/>
                <w:szCs w:val="24"/>
              </w:rPr>
              <w:t>Skewness</w:t>
            </w:r>
          </w:p>
        </w:tc>
        <w:tc>
          <w:tcPr>
            <w:tcW w:w="2160" w:type="dxa"/>
          </w:tcPr>
          <w:p w14:paraId="7CB0F75D">
            <w:pPr>
              <w:spacing w:after="0" w:line="360" w:lineRule="auto"/>
              <w:rPr>
                <w:rFonts w:ascii="Times New Roman" w:hAnsi="Times New Roman" w:cs="Times New Roman"/>
                <w:sz w:val="24"/>
                <w:szCs w:val="24"/>
              </w:rPr>
            </w:pPr>
            <w:r>
              <w:rPr>
                <w:rFonts w:ascii="Times New Roman" w:hAnsi="Times New Roman" w:cs="Times New Roman"/>
                <w:sz w:val="24"/>
                <w:szCs w:val="24"/>
              </w:rPr>
              <w:t>-0.5570</w:t>
            </w:r>
          </w:p>
        </w:tc>
        <w:tc>
          <w:tcPr>
            <w:tcW w:w="2160" w:type="dxa"/>
          </w:tcPr>
          <w:p w14:paraId="2C0EA25F">
            <w:pPr>
              <w:spacing w:after="0" w:line="360" w:lineRule="auto"/>
              <w:rPr>
                <w:rFonts w:ascii="Times New Roman" w:hAnsi="Times New Roman" w:cs="Times New Roman"/>
                <w:sz w:val="24"/>
                <w:szCs w:val="24"/>
              </w:rPr>
            </w:pPr>
            <w:r>
              <w:rPr>
                <w:rFonts w:ascii="Times New Roman" w:hAnsi="Times New Roman" w:cs="Times New Roman"/>
                <w:sz w:val="24"/>
                <w:szCs w:val="24"/>
              </w:rPr>
              <w:t>0.7808</w:t>
            </w:r>
          </w:p>
        </w:tc>
        <w:tc>
          <w:tcPr>
            <w:tcW w:w="2160" w:type="dxa"/>
          </w:tcPr>
          <w:p w14:paraId="4877EC74">
            <w:pPr>
              <w:spacing w:after="0" w:line="360" w:lineRule="auto"/>
              <w:rPr>
                <w:rFonts w:ascii="Times New Roman" w:hAnsi="Times New Roman" w:cs="Times New Roman"/>
                <w:sz w:val="24"/>
                <w:szCs w:val="24"/>
              </w:rPr>
            </w:pPr>
            <w:r>
              <w:rPr>
                <w:rFonts w:ascii="Times New Roman" w:hAnsi="Times New Roman" w:cs="Times New Roman"/>
                <w:sz w:val="24"/>
                <w:szCs w:val="24"/>
              </w:rPr>
              <w:t>-0.2157</w:t>
            </w:r>
          </w:p>
        </w:tc>
      </w:tr>
      <w:tr w14:paraId="495D9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14:paraId="774B3338">
            <w:pPr>
              <w:spacing w:after="0" w:line="360" w:lineRule="auto"/>
              <w:rPr>
                <w:rFonts w:ascii="Times New Roman" w:hAnsi="Times New Roman" w:cs="Times New Roman"/>
                <w:sz w:val="24"/>
                <w:szCs w:val="24"/>
              </w:rPr>
            </w:pPr>
            <w:r>
              <w:rPr>
                <w:rFonts w:ascii="Times New Roman" w:hAnsi="Times New Roman" w:cs="Times New Roman"/>
                <w:sz w:val="24"/>
                <w:szCs w:val="24"/>
              </w:rPr>
              <w:t>Kurtosis</w:t>
            </w:r>
          </w:p>
        </w:tc>
        <w:tc>
          <w:tcPr>
            <w:tcW w:w="2160" w:type="dxa"/>
          </w:tcPr>
          <w:p w14:paraId="1AF8F2D1">
            <w:pPr>
              <w:spacing w:after="0" w:line="360" w:lineRule="auto"/>
              <w:rPr>
                <w:rFonts w:ascii="Times New Roman" w:hAnsi="Times New Roman" w:cs="Times New Roman"/>
                <w:sz w:val="24"/>
                <w:szCs w:val="24"/>
              </w:rPr>
            </w:pPr>
            <w:r>
              <w:rPr>
                <w:rFonts w:ascii="Times New Roman" w:hAnsi="Times New Roman" w:cs="Times New Roman"/>
                <w:sz w:val="24"/>
                <w:szCs w:val="24"/>
              </w:rPr>
              <w:t>-0.5521</w:t>
            </w:r>
          </w:p>
        </w:tc>
        <w:tc>
          <w:tcPr>
            <w:tcW w:w="2160" w:type="dxa"/>
          </w:tcPr>
          <w:p w14:paraId="5B87FEFC">
            <w:pPr>
              <w:spacing w:after="0" w:line="360" w:lineRule="auto"/>
              <w:rPr>
                <w:rFonts w:ascii="Times New Roman" w:hAnsi="Times New Roman" w:cs="Times New Roman"/>
                <w:sz w:val="24"/>
                <w:szCs w:val="24"/>
              </w:rPr>
            </w:pPr>
            <w:r>
              <w:rPr>
                <w:rFonts w:ascii="Times New Roman" w:hAnsi="Times New Roman" w:cs="Times New Roman"/>
                <w:sz w:val="24"/>
                <w:szCs w:val="24"/>
              </w:rPr>
              <w:t>-0.8176</w:t>
            </w:r>
          </w:p>
        </w:tc>
        <w:tc>
          <w:tcPr>
            <w:tcW w:w="2160" w:type="dxa"/>
          </w:tcPr>
          <w:p w14:paraId="0B4DF932">
            <w:pPr>
              <w:spacing w:after="0" w:line="360" w:lineRule="auto"/>
              <w:rPr>
                <w:rFonts w:ascii="Times New Roman" w:hAnsi="Times New Roman" w:cs="Times New Roman"/>
                <w:sz w:val="24"/>
                <w:szCs w:val="24"/>
              </w:rPr>
            </w:pPr>
            <w:r>
              <w:rPr>
                <w:rFonts w:ascii="Times New Roman" w:hAnsi="Times New Roman" w:cs="Times New Roman"/>
                <w:sz w:val="24"/>
                <w:szCs w:val="24"/>
              </w:rPr>
              <w:t>0.1433</w:t>
            </w:r>
          </w:p>
        </w:tc>
      </w:tr>
    </w:tbl>
    <w:p w14:paraId="26C38ACA">
      <w:pPr>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3002280</wp:posOffset>
            </wp:positionH>
            <wp:positionV relativeFrom="paragraph">
              <wp:posOffset>1625600</wp:posOffset>
            </wp:positionV>
            <wp:extent cx="3283585" cy="1584960"/>
            <wp:effectExtent l="0" t="0" r="0" b="3175"/>
            <wp:wrapTopAndBottom/>
            <wp:docPr id="130143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1737" name="Picture 2"/>
                    <pic:cNvPicPr>
                      <a:picLocks noChangeAspect="1"/>
                    </pic:cNvPicPr>
                  </pic:nvPicPr>
                  <pic:blipFill>
                    <a:blip r:embed="rId6"/>
                    <a:stretch>
                      <a:fillRect/>
                    </a:stretch>
                  </pic:blipFill>
                  <pic:spPr>
                    <a:xfrm>
                      <a:off x="0" y="0"/>
                      <a:ext cx="3283585" cy="1584891"/>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-353695</wp:posOffset>
            </wp:positionH>
            <wp:positionV relativeFrom="paragraph">
              <wp:posOffset>1587500</wp:posOffset>
            </wp:positionV>
            <wp:extent cx="3355975" cy="1618615"/>
            <wp:effectExtent l="0" t="0" r="0" b="0"/>
            <wp:wrapTopAndBottom/>
            <wp:docPr id="123213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2148" name="Picture 1"/>
                    <pic:cNvPicPr>
                      <a:picLocks noChangeAspect="1"/>
                    </pic:cNvPicPr>
                  </pic:nvPicPr>
                  <pic:blipFill>
                    <a:blip r:embed="rId7"/>
                    <a:stretch>
                      <a:fillRect/>
                    </a:stretch>
                  </pic:blipFill>
                  <pic:spPr>
                    <a:xfrm>
                      <a:off x="0" y="0"/>
                      <a:ext cx="3355975" cy="1618615"/>
                    </a:xfrm>
                    <a:prstGeom prst="rect">
                      <a:avLst/>
                    </a:prstGeom>
                  </pic:spPr>
                </pic:pic>
              </a:graphicData>
            </a:graphic>
          </wp:anchor>
        </w:drawing>
      </w:r>
      <w:r>
        <w:rPr>
          <w:rFonts w:ascii="Times New Roman" w:hAnsi="Times New Roman" w:cs="Times New Roman"/>
          <w:sz w:val="24"/>
          <w:szCs w:val="24"/>
        </w:rPr>
        <w:t>The interpretation of components is as follows:</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IC1: Positively correlated with volatility and negatively with skewness/kurtosis, likely reflecting systemic market risk.</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IC2: Highly positive skewness and low kurtosis — represents tail risk.</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IC3: High on return and low on volatility — indicating return-risk trade-off or risk-adjusted growth.</w:t>
      </w:r>
    </w:p>
    <w:p w14:paraId="2FD0F227">
      <w:pPr>
        <w:pStyle w:val="3"/>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drawing>
          <wp:anchor distT="0" distB="0" distL="114300" distR="114300" simplePos="0" relativeHeight="251662336" behindDoc="0" locked="0" layoutInCell="1" allowOverlap="1">
            <wp:simplePos x="0" y="0"/>
            <wp:positionH relativeFrom="column">
              <wp:posOffset>119380</wp:posOffset>
            </wp:positionH>
            <wp:positionV relativeFrom="paragraph">
              <wp:posOffset>335915</wp:posOffset>
            </wp:positionV>
            <wp:extent cx="5486400" cy="2614295"/>
            <wp:effectExtent l="0" t="0" r="0" b="1905"/>
            <wp:wrapTopAndBottom/>
            <wp:docPr id="543822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22378" name="Picture 3"/>
                    <pic:cNvPicPr>
                      <a:picLocks noChangeAspect="1"/>
                    </pic:cNvPicPr>
                  </pic:nvPicPr>
                  <pic:blipFill>
                    <a:blip r:embed="rId8"/>
                    <a:stretch>
                      <a:fillRect/>
                    </a:stretch>
                  </pic:blipFill>
                  <pic:spPr>
                    <a:xfrm>
                      <a:off x="0" y="0"/>
                      <a:ext cx="5486400" cy="2614295"/>
                    </a:xfrm>
                    <a:prstGeom prst="rect">
                      <a:avLst/>
                    </a:prstGeom>
                  </pic:spPr>
                </pic:pic>
              </a:graphicData>
            </a:graphic>
          </wp:anchor>
        </w:drawing>
      </w:r>
      <w:r>
        <w:rPr>
          <w:rFonts w:ascii="Times New Roman" w:hAnsi="Times New Roman" w:cs="Times New Roman"/>
          <w:color w:val="000000" w:themeColor="text1"/>
          <w:sz w:val="24"/>
          <w:szCs w:val="24"/>
          <w14:textFill>
            <w14:solidFill>
              <w14:schemeClr w14:val="tx1"/>
            </w14:solidFill>
          </w14:textFill>
        </w:rPr>
        <w:t>4. Sector-Level Interpretation</w:t>
      </w:r>
    </w:p>
    <w:p w14:paraId="0D11AF96">
      <w:pPr>
        <w:spacing w:line="360" w:lineRule="auto"/>
        <w:rPr>
          <w:rFonts w:ascii="Times New Roman" w:hAnsi="Times New Roman" w:eastAsia="宋体" w:cs="Times New Roman"/>
          <w:sz w:val="24"/>
          <w:szCs w:val="24"/>
          <w:lang w:eastAsia="zh-CN"/>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column">
              <wp:posOffset>317500</wp:posOffset>
            </wp:positionH>
            <wp:positionV relativeFrom="paragraph">
              <wp:posOffset>4458970</wp:posOffset>
            </wp:positionV>
            <wp:extent cx="5486400" cy="3150235"/>
            <wp:effectExtent l="0" t="0" r="0" b="0"/>
            <wp:wrapTopAndBottom/>
            <wp:docPr id="1273292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92595" name="Picture 4"/>
                    <pic:cNvPicPr>
                      <a:picLocks noChangeAspect="1"/>
                    </pic:cNvPicPr>
                  </pic:nvPicPr>
                  <pic:blipFill>
                    <a:blip r:embed="rId9"/>
                    <a:stretch>
                      <a:fillRect/>
                    </a:stretch>
                  </pic:blipFill>
                  <pic:spPr>
                    <a:xfrm>
                      <a:off x="0" y="0"/>
                      <a:ext cx="5486400" cy="3150235"/>
                    </a:xfrm>
                    <a:prstGeom prst="rect">
                      <a:avLst/>
                    </a:prstGeom>
                  </pic:spPr>
                </pic:pic>
              </a:graphicData>
            </a:graphic>
          </wp:anchor>
        </w:drawing>
      </w:r>
      <w:r>
        <w:rPr>
          <w:rFonts w:ascii="Times New Roman" w:hAnsi="Times New Roman" w:cs="Times New Roman"/>
          <w:sz w:val="24"/>
          <w:szCs w:val="24"/>
        </w:rPr>
        <w:t>In the ICA space, stocks from the same sector tend to cluster together, suggesting they are driven by similar latent factors. For example, Information Technology and Health Care companies often overlap in IC1-IC2 space, likely due to shared exposure to innovation cycles or macroeconomic policies. Energy companies, by contrast, show wider dispersion across components, reflecting their exposure to commodity markets and geopolitical factors.</w:t>
      </w:r>
    </w:p>
    <w:p w14:paraId="2009A7CB">
      <w:pPr>
        <w:spacing w:line="360" w:lineRule="auto"/>
        <w:rPr>
          <w:rFonts w:ascii="Times New Roman" w:hAnsi="Times New Roman" w:cs="Times New Roman"/>
          <w:sz w:val="24"/>
          <w:szCs w:val="24"/>
        </w:rPr>
      </w:pPr>
      <w:r>
        <w:rPr>
          <w:rFonts w:ascii="Times New Roman" w:hAnsi="Times New Roman" w:eastAsia="Times New Roman" w:cs="Times New Roman"/>
          <w:color w:val="111111"/>
          <w:sz w:val="24"/>
          <w:szCs w:val="24"/>
          <w:lang w:val="zh-CN"/>
        </w:rPr>
        <w:t>To further understand how the independent components interact and how sectoral patterns emerge, we generate a pairwise plot of IC1, IC2, and IC3. This visualization helps assess:</w:t>
      </w:r>
    </w:p>
    <w:p w14:paraId="6DDAF0BD">
      <w:pPr>
        <w:spacing w:line="360" w:lineRule="auto"/>
        <w:rPr>
          <w:rFonts w:ascii="Times New Roman" w:hAnsi="Times New Roman" w:eastAsia="宋体" w:cs="Times New Roman"/>
          <w:color w:val="111111"/>
          <w:sz w:val="24"/>
          <w:szCs w:val="24"/>
          <w:lang w:val="zh-CN" w:eastAsia="zh-CN"/>
        </w:rPr>
      </w:pPr>
      <w:r>
        <w:rPr>
          <w:rFonts w:ascii="Times New Roman" w:hAnsi="Times New Roman" w:eastAsia="宋体" w:cs="Times New Roman"/>
          <w:color w:val="111111"/>
          <w:sz w:val="24"/>
          <w:szCs w:val="24"/>
          <w:lang w:val="zh-CN" w:eastAsia="zh-CN"/>
        </w:rPr>
        <w:t xml:space="preserve">  </w:t>
      </w:r>
      <w:r>
        <w:rPr>
          <w:rFonts w:ascii="Times New Roman" w:hAnsi="Times New Roman" w:eastAsia="Times New Roman" w:cs="Times New Roman"/>
          <w:color w:val="111111"/>
          <w:sz w:val="24"/>
          <w:szCs w:val="24"/>
          <w:lang w:val="zh-CN"/>
        </w:rPr>
        <w:t>The independence between components (no strong correlations),</w:t>
      </w:r>
    </w:p>
    <w:p w14:paraId="2118684D">
      <w:pPr>
        <w:spacing w:line="360" w:lineRule="auto"/>
        <w:rPr>
          <w:rFonts w:ascii="Times New Roman" w:hAnsi="Times New Roman" w:eastAsia="Times New Roman" w:cs="Times New Roman"/>
          <w:color w:val="111111"/>
          <w:sz w:val="24"/>
          <w:szCs w:val="24"/>
          <w:lang w:val="zh-CN"/>
        </w:rPr>
      </w:pPr>
      <w:r>
        <w:rPr>
          <w:rFonts w:ascii="Times New Roman" w:hAnsi="Times New Roman" w:eastAsia="宋体" w:cs="Times New Roman"/>
          <w:color w:val="111111"/>
          <w:sz w:val="24"/>
          <w:szCs w:val="24"/>
          <w:lang w:val="zh-CN" w:eastAsia="zh-CN"/>
        </w:rPr>
        <w:t xml:space="preserve">  </w:t>
      </w:r>
      <w:r>
        <w:rPr>
          <w:rFonts w:ascii="Times New Roman" w:hAnsi="Times New Roman" w:eastAsia="Times New Roman" w:cs="Times New Roman"/>
          <w:color w:val="111111"/>
          <w:sz w:val="24"/>
          <w:szCs w:val="24"/>
          <w:lang w:val="zh-CN"/>
        </w:rPr>
        <w:t>The clustering behavior of sectors in different IC projections,</w:t>
      </w:r>
    </w:p>
    <w:p w14:paraId="406627FE">
      <w:pPr>
        <w:spacing w:before="100" w:beforeAutospacing="1" w:after="100" w:afterAutospacing="1" w:line="360" w:lineRule="auto"/>
        <w:rPr>
          <w:rFonts w:ascii="Times New Roman" w:hAnsi="Times New Roman" w:eastAsia="Times New Roman" w:cs="Times New Roman"/>
          <w:color w:val="111111"/>
          <w:sz w:val="24"/>
          <w:szCs w:val="24"/>
          <w:lang w:val="zh-CN"/>
        </w:rPr>
      </w:pPr>
      <w:r>
        <w:rPr>
          <w:rFonts w:ascii="Times New Roman" w:hAnsi="Times New Roman" w:eastAsia="宋体" w:cs="Times New Roman"/>
          <w:b/>
          <w:bCs/>
          <w:color w:val="000000" w:themeColor="text1"/>
          <w:sz w:val="24"/>
          <w:szCs w:val="24"/>
          <w:lang w:eastAsia="zh-CN"/>
          <w14:textFill>
            <w14:solidFill>
              <w14:schemeClr w14:val="tx1"/>
            </w14:solidFill>
          </w14:textFill>
        </w:rPr>
        <w:drawing>
          <wp:anchor distT="0" distB="0" distL="114300" distR="114300" simplePos="0" relativeHeight="251665408" behindDoc="0" locked="0" layoutInCell="1" allowOverlap="1">
            <wp:simplePos x="0" y="0"/>
            <wp:positionH relativeFrom="column">
              <wp:posOffset>-252095</wp:posOffset>
            </wp:positionH>
            <wp:positionV relativeFrom="paragraph">
              <wp:posOffset>1095375</wp:posOffset>
            </wp:positionV>
            <wp:extent cx="6063615" cy="4909820"/>
            <wp:effectExtent l="0" t="0" r="0" b="5080"/>
            <wp:wrapTopAndBottom/>
            <wp:docPr id="471794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4793" name="Picture 6"/>
                    <pic:cNvPicPr>
                      <a:picLocks noChangeAspect="1"/>
                    </pic:cNvPicPr>
                  </pic:nvPicPr>
                  <pic:blipFill>
                    <a:blip r:embed="rId10"/>
                    <a:stretch>
                      <a:fillRect/>
                    </a:stretch>
                  </pic:blipFill>
                  <pic:spPr>
                    <a:xfrm>
                      <a:off x="0" y="0"/>
                      <a:ext cx="6063916" cy="4910088"/>
                    </a:xfrm>
                    <a:prstGeom prst="rect">
                      <a:avLst/>
                    </a:prstGeom>
                  </pic:spPr>
                </pic:pic>
              </a:graphicData>
            </a:graphic>
          </wp:anchor>
        </w:drawing>
      </w:r>
      <w:r>
        <w:rPr>
          <w:rFonts w:ascii="Times New Roman" w:hAnsi="Times New Roman" w:eastAsia="宋体" w:cs="Times New Roman"/>
          <w:color w:val="111111"/>
          <w:sz w:val="24"/>
          <w:szCs w:val="24"/>
          <w:lang w:val="zh-CN" w:eastAsia="zh-CN"/>
        </w:rPr>
        <w:t xml:space="preserve">  </w:t>
      </w:r>
      <w:r>
        <w:rPr>
          <w:rFonts w:ascii="Times New Roman" w:hAnsi="Times New Roman" w:eastAsia="Times New Roman" w:cs="Times New Roman"/>
          <w:color w:val="111111"/>
          <w:sz w:val="24"/>
          <w:szCs w:val="24"/>
          <w:lang w:val="zh-CN"/>
        </w:rPr>
        <w:t>The spread and density of scores across sectors.</w:t>
      </w:r>
    </w:p>
    <w:p w14:paraId="1D7023D7">
      <w:pPr>
        <w:pStyle w:val="3"/>
        <w:spacing w:line="360" w:lineRule="auto"/>
        <w:rPr>
          <w:rFonts w:ascii="Times New Roman" w:hAnsi="Times New Roman" w:eastAsia="宋体" w:cs="Times New Roman"/>
          <w:b w:val="0"/>
          <w:bCs w:val="0"/>
          <w:color w:val="000000" w:themeColor="text1"/>
          <w:sz w:val="24"/>
          <w:szCs w:val="24"/>
          <w:lang w:eastAsia="zh-CN"/>
          <w14:textFill>
            <w14:solidFill>
              <w14:schemeClr w14:val="tx1"/>
            </w14:solidFill>
          </w14:textFill>
        </w:rPr>
      </w:pPr>
    </w:p>
    <w:p w14:paraId="2DD60FF9">
      <w:pPr>
        <w:pStyle w:val="3"/>
        <w:spacing w:line="360" w:lineRule="auto"/>
        <w:rPr>
          <w:rFonts w:ascii="Times New Roman" w:hAnsi="Times New Roman" w:cs="Times New Roman"/>
          <w:color w:val="000000" w:themeColor="text1"/>
          <w:sz w:val="24"/>
          <w:szCs w:val="24"/>
          <w14:textFill>
            <w14:solidFill>
              <w14:schemeClr w14:val="tx1"/>
            </w14:solidFill>
          </w14:textFill>
        </w:rPr>
      </w:pPr>
    </w:p>
    <w:p w14:paraId="33D91E1F">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 Case Study: Energy Companies</w:t>
      </w:r>
    </w:p>
    <w:p w14:paraId="2B655930">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drawing>
          <wp:anchor distT="0" distB="0" distL="114300" distR="114300" simplePos="0" relativeHeight="251664384" behindDoc="0" locked="0" layoutInCell="1" allowOverlap="1">
            <wp:simplePos x="0" y="0"/>
            <wp:positionH relativeFrom="column">
              <wp:posOffset>200660</wp:posOffset>
            </wp:positionH>
            <wp:positionV relativeFrom="paragraph">
              <wp:posOffset>3653790</wp:posOffset>
            </wp:positionV>
            <wp:extent cx="4914265" cy="3152140"/>
            <wp:effectExtent l="0" t="0" r="635" b="0"/>
            <wp:wrapTopAndBottom/>
            <wp:docPr id="374202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02979" name="Picture 5"/>
                    <pic:cNvPicPr>
                      <a:picLocks noChangeAspect="1"/>
                    </pic:cNvPicPr>
                  </pic:nvPicPr>
                  <pic:blipFill>
                    <a:blip r:embed="rId11"/>
                    <a:stretch>
                      <a:fillRect/>
                    </a:stretch>
                  </pic:blipFill>
                  <pic:spPr>
                    <a:xfrm>
                      <a:off x="0" y="0"/>
                      <a:ext cx="4914406" cy="3152273"/>
                    </a:xfrm>
                    <a:prstGeom prst="rect">
                      <a:avLst/>
                    </a:prstGeom>
                  </pic:spPr>
                </pic:pic>
              </a:graphicData>
            </a:graphic>
          </wp:anchor>
        </w:drawing>
      </w:r>
      <w:r>
        <w:rPr>
          <w:rFonts w:ascii="Times New Roman" w:hAnsi="Times New Roman" w:cs="Times New Roman"/>
          <w:sz w:val="24"/>
          <w:szCs w:val="24"/>
        </w:rPr>
        <w:t>To explore practical investment implications, we analyze several energy companies with different IC2 and kurtosis scores to infer tail risk and volatility characteristics.</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28"/>
        <w:gridCol w:w="1728"/>
        <w:gridCol w:w="1728"/>
        <w:gridCol w:w="1728"/>
      </w:tblGrid>
      <w:tr w14:paraId="177DA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A1B5CAD">
            <w:pPr>
              <w:spacing w:after="0" w:line="360" w:lineRule="auto"/>
              <w:rPr>
                <w:rFonts w:ascii="Times New Roman" w:hAnsi="Times New Roman" w:cs="Times New Roman"/>
                <w:sz w:val="24"/>
                <w:szCs w:val="24"/>
              </w:rPr>
            </w:pPr>
            <w:r>
              <w:rPr>
                <w:rFonts w:ascii="Times New Roman" w:hAnsi="Times New Roman" w:cs="Times New Roman"/>
                <w:sz w:val="24"/>
                <w:szCs w:val="24"/>
              </w:rPr>
              <w:t>Company</w:t>
            </w:r>
          </w:p>
        </w:tc>
        <w:tc>
          <w:tcPr>
            <w:tcW w:w="1728" w:type="dxa"/>
          </w:tcPr>
          <w:p w14:paraId="36BF5BAC">
            <w:pPr>
              <w:spacing w:after="0" w:line="360" w:lineRule="auto"/>
              <w:rPr>
                <w:rFonts w:ascii="Times New Roman" w:hAnsi="Times New Roman" w:cs="Times New Roman"/>
                <w:sz w:val="24"/>
                <w:szCs w:val="24"/>
              </w:rPr>
            </w:pPr>
            <w:r>
              <w:rPr>
                <w:rFonts w:ascii="Times New Roman" w:hAnsi="Times New Roman" w:cs="Times New Roman"/>
                <w:sz w:val="24"/>
                <w:szCs w:val="24"/>
              </w:rPr>
              <w:t>Std Dev</w:t>
            </w:r>
          </w:p>
        </w:tc>
        <w:tc>
          <w:tcPr>
            <w:tcW w:w="1728" w:type="dxa"/>
          </w:tcPr>
          <w:p w14:paraId="662CB4DE">
            <w:pPr>
              <w:spacing w:after="0" w:line="360" w:lineRule="auto"/>
              <w:rPr>
                <w:rFonts w:ascii="Times New Roman" w:hAnsi="Times New Roman" w:cs="Times New Roman"/>
                <w:sz w:val="24"/>
                <w:szCs w:val="24"/>
              </w:rPr>
            </w:pPr>
            <w:r>
              <w:rPr>
                <w:rFonts w:ascii="Times New Roman" w:hAnsi="Times New Roman" w:cs="Times New Roman"/>
                <w:sz w:val="24"/>
                <w:szCs w:val="24"/>
              </w:rPr>
              <w:t>Kurtosis</w:t>
            </w:r>
          </w:p>
        </w:tc>
        <w:tc>
          <w:tcPr>
            <w:tcW w:w="1728" w:type="dxa"/>
          </w:tcPr>
          <w:p w14:paraId="5C238B41">
            <w:pPr>
              <w:spacing w:after="0" w:line="360" w:lineRule="auto"/>
              <w:rPr>
                <w:rFonts w:ascii="Times New Roman" w:hAnsi="Times New Roman" w:cs="Times New Roman"/>
                <w:sz w:val="24"/>
                <w:szCs w:val="24"/>
              </w:rPr>
            </w:pPr>
            <w:r>
              <w:rPr>
                <w:rFonts w:ascii="Times New Roman" w:hAnsi="Times New Roman" w:cs="Times New Roman"/>
                <w:sz w:val="24"/>
                <w:szCs w:val="24"/>
              </w:rPr>
              <w:t>IC2</w:t>
            </w:r>
          </w:p>
        </w:tc>
        <w:tc>
          <w:tcPr>
            <w:tcW w:w="1728" w:type="dxa"/>
          </w:tcPr>
          <w:p w14:paraId="5AA217F3">
            <w:pPr>
              <w:spacing w:after="0" w:line="360" w:lineRule="auto"/>
              <w:rPr>
                <w:rFonts w:ascii="Times New Roman" w:hAnsi="Times New Roman" w:cs="Times New Roman"/>
                <w:sz w:val="24"/>
                <w:szCs w:val="24"/>
              </w:rPr>
            </w:pPr>
            <w:r>
              <w:rPr>
                <w:rFonts w:ascii="Times New Roman" w:hAnsi="Times New Roman" w:cs="Times New Roman"/>
                <w:sz w:val="24"/>
                <w:szCs w:val="24"/>
              </w:rPr>
              <w:t>Interpretation</w:t>
            </w:r>
          </w:p>
        </w:tc>
      </w:tr>
      <w:tr w14:paraId="67A9B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BB817C4">
            <w:pPr>
              <w:spacing w:after="0" w:line="360" w:lineRule="auto"/>
              <w:rPr>
                <w:rFonts w:ascii="Times New Roman" w:hAnsi="Times New Roman" w:cs="Times New Roman"/>
                <w:sz w:val="24"/>
                <w:szCs w:val="24"/>
              </w:rPr>
            </w:pPr>
            <w:r>
              <w:rPr>
                <w:rFonts w:ascii="Times New Roman" w:hAnsi="Times New Roman" w:cs="Times New Roman"/>
                <w:sz w:val="24"/>
                <w:szCs w:val="24"/>
              </w:rPr>
              <w:t>SLB</w:t>
            </w:r>
          </w:p>
        </w:tc>
        <w:tc>
          <w:tcPr>
            <w:tcW w:w="1728" w:type="dxa"/>
          </w:tcPr>
          <w:p w14:paraId="70748FEB">
            <w:pPr>
              <w:spacing w:after="0" w:line="360" w:lineRule="auto"/>
              <w:rPr>
                <w:rFonts w:ascii="Times New Roman" w:hAnsi="Times New Roman" w:cs="Times New Roman"/>
                <w:sz w:val="24"/>
                <w:szCs w:val="24"/>
              </w:rPr>
            </w:pPr>
            <w:r>
              <w:rPr>
                <w:rFonts w:ascii="Times New Roman" w:hAnsi="Times New Roman" w:cs="Times New Roman"/>
                <w:sz w:val="24"/>
                <w:szCs w:val="24"/>
              </w:rPr>
              <w:t>0.77</w:t>
            </w:r>
          </w:p>
        </w:tc>
        <w:tc>
          <w:tcPr>
            <w:tcW w:w="1728" w:type="dxa"/>
          </w:tcPr>
          <w:p w14:paraId="42C222C8">
            <w:pPr>
              <w:spacing w:after="0" w:line="360" w:lineRule="auto"/>
              <w:rPr>
                <w:rFonts w:ascii="Times New Roman" w:hAnsi="Times New Roman" w:cs="Times New Roman"/>
                <w:sz w:val="24"/>
                <w:szCs w:val="24"/>
              </w:rPr>
            </w:pPr>
            <w:r>
              <w:rPr>
                <w:rFonts w:ascii="Times New Roman" w:hAnsi="Times New Roman" w:cs="Times New Roman"/>
                <w:sz w:val="24"/>
                <w:szCs w:val="24"/>
              </w:rPr>
              <w:t>6.99</w:t>
            </w:r>
          </w:p>
        </w:tc>
        <w:tc>
          <w:tcPr>
            <w:tcW w:w="1728" w:type="dxa"/>
          </w:tcPr>
          <w:p w14:paraId="2CBD289A">
            <w:pPr>
              <w:spacing w:after="0" w:line="360" w:lineRule="auto"/>
              <w:rPr>
                <w:rFonts w:ascii="Times New Roman" w:hAnsi="Times New Roman" w:cs="Times New Roman"/>
                <w:sz w:val="24"/>
                <w:szCs w:val="24"/>
              </w:rPr>
            </w:pPr>
            <w:r>
              <w:rPr>
                <w:rFonts w:ascii="Times New Roman" w:hAnsi="Times New Roman" w:cs="Times New Roman"/>
                <w:sz w:val="24"/>
                <w:szCs w:val="24"/>
              </w:rPr>
              <w:t>0.77</w:t>
            </w:r>
          </w:p>
        </w:tc>
        <w:tc>
          <w:tcPr>
            <w:tcW w:w="1728" w:type="dxa"/>
          </w:tcPr>
          <w:p w14:paraId="6FCB5C88">
            <w:pPr>
              <w:spacing w:after="0" w:line="360" w:lineRule="auto"/>
              <w:rPr>
                <w:rFonts w:ascii="Times New Roman" w:hAnsi="Times New Roman" w:cs="Times New Roman"/>
                <w:sz w:val="24"/>
                <w:szCs w:val="24"/>
              </w:rPr>
            </w:pPr>
            <w:r>
              <w:rPr>
                <w:rFonts w:ascii="Times New Roman" w:hAnsi="Times New Roman" w:cs="Times New Roman"/>
                <w:sz w:val="24"/>
                <w:szCs w:val="24"/>
              </w:rPr>
              <w:t>Stable; low tail risk</w:t>
            </w:r>
          </w:p>
        </w:tc>
      </w:tr>
      <w:tr w14:paraId="5D3D7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75CF079C">
            <w:pPr>
              <w:spacing w:after="0" w:line="360" w:lineRule="auto"/>
              <w:rPr>
                <w:rFonts w:ascii="Times New Roman" w:hAnsi="Times New Roman" w:cs="Times New Roman"/>
                <w:sz w:val="24"/>
                <w:szCs w:val="24"/>
              </w:rPr>
            </w:pPr>
            <w:r>
              <w:rPr>
                <w:rFonts w:ascii="Times New Roman" w:hAnsi="Times New Roman" w:cs="Times New Roman"/>
                <w:sz w:val="24"/>
                <w:szCs w:val="24"/>
              </w:rPr>
              <w:t>KMI</w:t>
            </w:r>
          </w:p>
        </w:tc>
        <w:tc>
          <w:tcPr>
            <w:tcW w:w="1728" w:type="dxa"/>
          </w:tcPr>
          <w:p w14:paraId="2263DC11">
            <w:pPr>
              <w:spacing w:after="0" w:line="360" w:lineRule="auto"/>
              <w:rPr>
                <w:rFonts w:ascii="Times New Roman" w:hAnsi="Times New Roman" w:cs="Times New Roman"/>
                <w:sz w:val="24"/>
                <w:szCs w:val="24"/>
              </w:rPr>
            </w:pPr>
            <w:r>
              <w:rPr>
                <w:rFonts w:ascii="Times New Roman" w:hAnsi="Times New Roman" w:cs="Times New Roman"/>
                <w:sz w:val="24"/>
                <w:szCs w:val="24"/>
              </w:rPr>
              <w:t>0.75</w:t>
            </w:r>
          </w:p>
        </w:tc>
        <w:tc>
          <w:tcPr>
            <w:tcW w:w="1728" w:type="dxa"/>
          </w:tcPr>
          <w:p w14:paraId="6BFE3D55">
            <w:pPr>
              <w:spacing w:after="0" w:line="360" w:lineRule="auto"/>
              <w:rPr>
                <w:rFonts w:ascii="Times New Roman" w:hAnsi="Times New Roman" w:cs="Times New Roman"/>
                <w:sz w:val="24"/>
                <w:szCs w:val="24"/>
              </w:rPr>
            </w:pPr>
            <w:r>
              <w:rPr>
                <w:rFonts w:ascii="Times New Roman" w:hAnsi="Times New Roman" w:cs="Times New Roman"/>
                <w:sz w:val="24"/>
                <w:szCs w:val="24"/>
              </w:rPr>
              <w:t>10.60</w:t>
            </w:r>
          </w:p>
        </w:tc>
        <w:tc>
          <w:tcPr>
            <w:tcW w:w="1728" w:type="dxa"/>
          </w:tcPr>
          <w:p w14:paraId="1383D8D2">
            <w:pPr>
              <w:spacing w:after="0" w:line="360" w:lineRule="auto"/>
              <w:rPr>
                <w:rFonts w:ascii="Times New Roman" w:hAnsi="Times New Roman" w:cs="Times New Roman"/>
                <w:sz w:val="24"/>
                <w:szCs w:val="24"/>
              </w:rPr>
            </w:pPr>
            <w:r>
              <w:rPr>
                <w:rFonts w:ascii="Times New Roman" w:hAnsi="Times New Roman" w:cs="Times New Roman"/>
                <w:sz w:val="24"/>
                <w:szCs w:val="24"/>
              </w:rPr>
              <w:t>0.75</w:t>
            </w:r>
          </w:p>
        </w:tc>
        <w:tc>
          <w:tcPr>
            <w:tcW w:w="1728" w:type="dxa"/>
          </w:tcPr>
          <w:p w14:paraId="4421BC31">
            <w:pPr>
              <w:spacing w:after="0" w:line="360" w:lineRule="auto"/>
              <w:rPr>
                <w:rFonts w:ascii="Times New Roman" w:hAnsi="Times New Roman" w:cs="Times New Roman"/>
                <w:sz w:val="24"/>
                <w:szCs w:val="24"/>
              </w:rPr>
            </w:pPr>
            <w:r>
              <w:rPr>
                <w:rFonts w:ascii="Times New Roman" w:hAnsi="Times New Roman" w:cs="Times New Roman"/>
                <w:sz w:val="24"/>
                <w:szCs w:val="24"/>
              </w:rPr>
              <w:t>Some extreme risk events</w:t>
            </w:r>
          </w:p>
        </w:tc>
      </w:tr>
      <w:tr w14:paraId="2E324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1B0CAE20">
            <w:pPr>
              <w:spacing w:after="0" w:line="360" w:lineRule="auto"/>
              <w:rPr>
                <w:rFonts w:ascii="Times New Roman" w:hAnsi="Times New Roman" w:cs="Times New Roman"/>
                <w:sz w:val="24"/>
                <w:szCs w:val="24"/>
              </w:rPr>
            </w:pPr>
            <w:r>
              <w:rPr>
                <w:rFonts w:ascii="Times New Roman" w:hAnsi="Times New Roman" w:cs="Times New Roman"/>
                <w:sz w:val="24"/>
                <w:szCs w:val="24"/>
              </w:rPr>
              <w:t>FTI</w:t>
            </w:r>
          </w:p>
        </w:tc>
        <w:tc>
          <w:tcPr>
            <w:tcW w:w="1728" w:type="dxa"/>
          </w:tcPr>
          <w:p w14:paraId="5080B088">
            <w:pPr>
              <w:spacing w:after="0" w:line="360" w:lineRule="auto"/>
              <w:rPr>
                <w:rFonts w:ascii="Times New Roman" w:hAnsi="Times New Roman" w:cs="Times New Roman"/>
                <w:sz w:val="24"/>
                <w:szCs w:val="24"/>
              </w:rPr>
            </w:pPr>
            <w:r>
              <w:rPr>
                <w:rFonts w:ascii="Times New Roman" w:hAnsi="Times New Roman" w:cs="Times New Roman"/>
                <w:sz w:val="24"/>
                <w:szCs w:val="24"/>
              </w:rPr>
              <w:t>0.75</w:t>
            </w:r>
          </w:p>
        </w:tc>
        <w:tc>
          <w:tcPr>
            <w:tcW w:w="1728" w:type="dxa"/>
          </w:tcPr>
          <w:p w14:paraId="74012001">
            <w:pPr>
              <w:spacing w:after="0" w:line="360" w:lineRule="auto"/>
              <w:rPr>
                <w:rFonts w:ascii="Times New Roman" w:hAnsi="Times New Roman" w:cs="Times New Roman"/>
                <w:sz w:val="24"/>
                <w:szCs w:val="24"/>
              </w:rPr>
            </w:pPr>
            <w:r>
              <w:rPr>
                <w:rFonts w:ascii="Times New Roman" w:hAnsi="Times New Roman" w:cs="Times New Roman"/>
                <w:sz w:val="24"/>
                <w:szCs w:val="24"/>
              </w:rPr>
              <w:t>4.38</w:t>
            </w:r>
          </w:p>
        </w:tc>
        <w:tc>
          <w:tcPr>
            <w:tcW w:w="1728" w:type="dxa"/>
          </w:tcPr>
          <w:p w14:paraId="6A35B4F5">
            <w:pPr>
              <w:spacing w:after="0" w:line="360" w:lineRule="auto"/>
              <w:rPr>
                <w:rFonts w:ascii="Times New Roman" w:hAnsi="Times New Roman" w:cs="Times New Roman"/>
                <w:sz w:val="24"/>
                <w:szCs w:val="24"/>
              </w:rPr>
            </w:pPr>
            <w:r>
              <w:rPr>
                <w:rFonts w:ascii="Times New Roman" w:hAnsi="Times New Roman" w:cs="Times New Roman"/>
                <w:sz w:val="24"/>
                <w:szCs w:val="24"/>
              </w:rPr>
              <w:t>0.75</w:t>
            </w:r>
          </w:p>
        </w:tc>
        <w:tc>
          <w:tcPr>
            <w:tcW w:w="1728" w:type="dxa"/>
          </w:tcPr>
          <w:p w14:paraId="296BF8BE">
            <w:pPr>
              <w:spacing w:after="0" w:line="360" w:lineRule="auto"/>
              <w:rPr>
                <w:rFonts w:ascii="Times New Roman" w:hAnsi="Times New Roman" w:cs="Times New Roman"/>
                <w:sz w:val="24"/>
                <w:szCs w:val="24"/>
              </w:rPr>
            </w:pPr>
            <w:r>
              <w:rPr>
                <w:rFonts w:ascii="Times New Roman" w:hAnsi="Times New Roman" w:cs="Times New Roman"/>
                <w:sz w:val="24"/>
                <w:szCs w:val="24"/>
              </w:rPr>
              <w:t>Very low tail risk</w:t>
            </w:r>
          </w:p>
        </w:tc>
      </w:tr>
      <w:tr w14:paraId="53891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AD0C4C8">
            <w:pPr>
              <w:spacing w:after="0" w:line="360" w:lineRule="auto"/>
              <w:rPr>
                <w:rFonts w:ascii="Times New Roman" w:hAnsi="Times New Roman" w:cs="Times New Roman"/>
                <w:sz w:val="24"/>
                <w:szCs w:val="24"/>
              </w:rPr>
            </w:pPr>
            <w:r>
              <w:rPr>
                <w:rFonts w:ascii="Times New Roman" w:hAnsi="Times New Roman" w:cs="Times New Roman"/>
                <w:sz w:val="24"/>
                <w:szCs w:val="24"/>
              </w:rPr>
              <w:t>OKE</w:t>
            </w:r>
          </w:p>
        </w:tc>
        <w:tc>
          <w:tcPr>
            <w:tcW w:w="1728" w:type="dxa"/>
          </w:tcPr>
          <w:p w14:paraId="161A0E5E">
            <w:pPr>
              <w:spacing w:after="0" w:line="360" w:lineRule="auto"/>
              <w:rPr>
                <w:rFonts w:ascii="Times New Roman" w:hAnsi="Times New Roman" w:cs="Times New Roman"/>
                <w:sz w:val="24"/>
                <w:szCs w:val="24"/>
              </w:rPr>
            </w:pPr>
            <w:r>
              <w:rPr>
                <w:rFonts w:ascii="Times New Roman" w:hAnsi="Times New Roman" w:cs="Times New Roman"/>
                <w:sz w:val="24"/>
                <w:szCs w:val="24"/>
              </w:rPr>
              <w:t>0.74</w:t>
            </w:r>
          </w:p>
        </w:tc>
        <w:tc>
          <w:tcPr>
            <w:tcW w:w="1728" w:type="dxa"/>
          </w:tcPr>
          <w:p w14:paraId="00A5DA3C">
            <w:pPr>
              <w:spacing w:after="0" w:line="360" w:lineRule="auto"/>
              <w:rPr>
                <w:rFonts w:ascii="Times New Roman" w:hAnsi="Times New Roman" w:cs="Times New Roman"/>
                <w:sz w:val="24"/>
                <w:szCs w:val="24"/>
              </w:rPr>
            </w:pPr>
            <w:r>
              <w:rPr>
                <w:rFonts w:ascii="Times New Roman" w:hAnsi="Times New Roman" w:cs="Times New Roman"/>
                <w:sz w:val="24"/>
                <w:szCs w:val="24"/>
              </w:rPr>
              <w:t>16.07</w:t>
            </w:r>
          </w:p>
        </w:tc>
        <w:tc>
          <w:tcPr>
            <w:tcW w:w="1728" w:type="dxa"/>
          </w:tcPr>
          <w:p w14:paraId="75B1D81B">
            <w:pPr>
              <w:spacing w:after="0" w:line="360" w:lineRule="auto"/>
              <w:rPr>
                <w:rFonts w:ascii="Times New Roman" w:hAnsi="Times New Roman" w:cs="Times New Roman"/>
                <w:sz w:val="24"/>
                <w:szCs w:val="24"/>
              </w:rPr>
            </w:pPr>
            <w:r>
              <w:rPr>
                <w:rFonts w:ascii="Times New Roman" w:hAnsi="Times New Roman" w:cs="Times New Roman"/>
                <w:sz w:val="24"/>
                <w:szCs w:val="24"/>
              </w:rPr>
              <w:t>0.74</w:t>
            </w:r>
          </w:p>
        </w:tc>
        <w:tc>
          <w:tcPr>
            <w:tcW w:w="1728" w:type="dxa"/>
          </w:tcPr>
          <w:p w14:paraId="42BC795F">
            <w:pPr>
              <w:spacing w:after="0" w:line="360" w:lineRule="auto"/>
              <w:rPr>
                <w:rFonts w:ascii="Times New Roman" w:hAnsi="Times New Roman" w:cs="Times New Roman"/>
                <w:sz w:val="24"/>
                <w:szCs w:val="24"/>
              </w:rPr>
            </w:pPr>
            <w:r>
              <w:rPr>
                <w:rFonts w:ascii="Times New Roman" w:hAnsi="Times New Roman" w:cs="Times New Roman"/>
                <w:sz w:val="24"/>
                <w:szCs w:val="24"/>
              </w:rPr>
              <w:t>High tail risk; caution</w:t>
            </w:r>
          </w:p>
        </w:tc>
      </w:tr>
      <w:tr w14:paraId="6958D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D3479F8">
            <w:pPr>
              <w:spacing w:after="0" w:line="360" w:lineRule="auto"/>
              <w:rPr>
                <w:rFonts w:ascii="Times New Roman" w:hAnsi="Times New Roman" w:cs="Times New Roman"/>
                <w:sz w:val="24"/>
                <w:szCs w:val="24"/>
              </w:rPr>
            </w:pPr>
            <w:r>
              <w:rPr>
                <w:rFonts w:ascii="Times New Roman" w:hAnsi="Times New Roman" w:cs="Times New Roman"/>
                <w:sz w:val="24"/>
                <w:szCs w:val="24"/>
              </w:rPr>
              <w:t>MPC</w:t>
            </w:r>
          </w:p>
        </w:tc>
        <w:tc>
          <w:tcPr>
            <w:tcW w:w="1728" w:type="dxa"/>
          </w:tcPr>
          <w:p w14:paraId="7137F422">
            <w:pPr>
              <w:spacing w:after="0" w:line="360" w:lineRule="auto"/>
              <w:rPr>
                <w:rFonts w:ascii="Times New Roman" w:hAnsi="Times New Roman" w:cs="Times New Roman"/>
                <w:sz w:val="24"/>
                <w:szCs w:val="24"/>
              </w:rPr>
            </w:pPr>
            <w:r>
              <w:rPr>
                <w:rFonts w:ascii="Times New Roman" w:hAnsi="Times New Roman" w:cs="Times New Roman"/>
                <w:sz w:val="24"/>
                <w:szCs w:val="24"/>
              </w:rPr>
              <w:t>0.72</w:t>
            </w:r>
          </w:p>
        </w:tc>
        <w:tc>
          <w:tcPr>
            <w:tcW w:w="1728" w:type="dxa"/>
          </w:tcPr>
          <w:p w14:paraId="0A9DC2C7">
            <w:pPr>
              <w:spacing w:after="0" w:line="360" w:lineRule="auto"/>
              <w:rPr>
                <w:rFonts w:ascii="Times New Roman" w:hAnsi="Times New Roman" w:cs="Times New Roman"/>
                <w:sz w:val="24"/>
                <w:szCs w:val="24"/>
              </w:rPr>
            </w:pPr>
            <w:r>
              <w:rPr>
                <w:rFonts w:ascii="Times New Roman" w:hAnsi="Times New Roman" w:cs="Times New Roman"/>
                <w:sz w:val="24"/>
                <w:szCs w:val="24"/>
              </w:rPr>
              <w:t>5.81</w:t>
            </w:r>
          </w:p>
        </w:tc>
        <w:tc>
          <w:tcPr>
            <w:tcW w:w="1728" w:type="dxa"/>
          </w:tcPr>
          <w:p w14:paraId="6145FA86">
            <w:pPr>
              <w:spacing w:after="0" w:line="360" w:lineRule="auto"/>
              <w:rPr>
                <w:rFonts w:ascii="Times New Roman" w:hAnsi="Times New Roman" w:cs="Times New Roman"/>
                <w:sz w:val="24"/>
                <w:szCs w:val="24"/>
              </w:rPr>
            </w:pPr>
            <w:r>
              <w:rPr>
                <w:rFonts w:ascii="Times New Roman" w:hAnsi="Times New Roman" w:cs="Times New Roman"/>
                <w:sz w:val="24"/>
                <w:szCs w:val="24"/>
              </w:rPr>
              <w:t>0.72</w:t>
            </w:r>
          </w:p>
        </w:tc>
        <w:tc>
          <w:tcPr>
            <w:tcW w:w="1728" w:type="dxa"/>
          </w:tcPr>
          <w:p w14:paraId="54A8C34A">
            <w:pPr>
              <w:spacing w:after="0" w:line="360" w:lineRule="auto"/>
              <w:rPr>
                <w:rFonts w:ascii="Times New Roman" w:hAnsi="Times New Roman" w:cs="Times New Roman"/>
                <w:sz w:val="24"/>
                <w:szCs w:val="24"/>
              </w:rPr>
            </w:pPr>
            <w:r>
              <w:rPr>
                <w:rFonts w:ascii="Times New Roman" w:hAnsi="Times New Roman" w:cs="Times New Roman"/>
                <w:sz w:val="24"/>
                <w:szCs w:val="24"/>
              </w:rPr>
              <w:t>Balanced profile</w:t>
            </w:r>
          </w:p>
        </w:tc>
      </w:tr>
    </w:tbl>
    <w:p w14:paraId="10DE3442">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 Investment Implications</w:t>
      </w:r>
    </w:p>
    <w:p w14:paraId="37877DB3">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t>Based on IC2 and kurtosis m</w:t>
      </w:r>
      <w:r>
        <w:rPr>
          <w:rFonts w:ascii="Times New Roman" w:hAnsi="Times New Roman" w:cs="Times New Roman"/>
          <w:sz w:val="24"/>
          <w:szCs w:val="24"/>
        </w:rPr>
        <w:t>etrics, we derive general investment strategies for energy companies:</w:t>
      </w:r>
    </w:p>
    <w:p w14:paraId="63EE1EEE">
      <w:pPr>
        <w:spacing w:line="360" w:lineRule="auto"/>
        <w:rPr>
          <w:rFonts w:ascii="Times New Roman" w:hAnsi="Times New Roman" w:cs="Times New Roman"/>
          <w:sz w:val="24"/>
          <w:szCs w:val="24"/>
        </w:rPr>
      </w:pP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High IC2 + Low Kurtosis (e.g., FTI, SLB): Safe, stable, suitable for risk-averse portfolios.</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High IC2 + High Kurtosis (e.g., KMI, OKE): Good for yield, but require diversification.</w:t>
      </w:r>
      <w:r>
        <w:rPr>
          <w:rFonts w:ascii="Times New Roman" w:hAnsi="Times New Roman" w:cs="Times New Roman"/>
          <w:sz w:val="24"/>
          <w:szCs w:val="24"/>
        </w:rPr>
        <w:br w:type="textWrapping"/>
      </w:r>
      <w:r>
        <w:rPr>
          <w:rFonts w:ascii="Times New Roman" w:hAnsi="Times New Roman" w:eastAsia="宋体" w:cs="Times New Roman"/>
          <w:sz w:val="24"/>
          <w:szCs w:val="24"/>
          <w:lang w:eastAsia="zh-CN"/>
        </w:rPr>
        <w:t xml:space="preserve">  </w:t>
      </w:r>
      <w:r>
        <w:rPr>
          <w:rFonts w:ascii="Times New Roman" w:hAnsi="Times New Roman" w:cs="Times New Roman"/>
          <w:sz w:val="24"/>
          <w:szCs w:val="24"/>
        </w:rPr>
        <w:t>Low IC2: More cyclical, suitable during commodity upswings.</w:t>
      </w:r>
    </w:p>
    <w:p w14:paraId="412587AC">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 Conclusion and Future Directions</w:t>
      </w:r>
    </w:p>
    <w:p w14:paraId="2F16B280">
      <w:pPr>
        <w:spacing w:line="360" w:lineRule="auto"/>
        <w:rPr>
          <w:rFonts w:ascii="Times New Roman" w:hAnsi="Times New Roman" w:cs="Times New Roman"/>
          <w:sz w:val="24"/>
          <w:szCs w:val="24"/>
        </w:rPr>
      </w:pPr>
      <w:r>
        <w:rPr>
          <w:rFonts w:ascii="Times New Roman" w:hAnsi="Times New Roman" w:cs="Times New Roman"/>
          <w:sz w:val="24"/>
          <w:szCs w:val="24"/>
        </w:rPr>
        <w:t>This study applies Independent Component Analysis to financial indicators of S&amp;P 500 stocks to uncover hidden risk factors. We find three interpretable components that relate to systemic risk, tail risk, and growth-risk trade-offs. Our case studies demonstrate how these components can guide portfolio decisions, especially in volatile sectors like energy.</w:t>
      </w:r>
    </w:p>
    <w:p w14:paraId="47F50178">
      <w:pPr>
        <w:spacing w:line="360" w:lineRule="auto"/>
        <w:rPr>
          <w:rFonts w:ascii="Times New Roman" w:hAnsi="Times New Roman" w:cs="Times New Roman"/>
          <w:sz w:val="24"/>
          <w:szCs w:val="24"/>
        </w:rPr>
      </w:pPr>
      <w:r>
        <w:rPr>
          <w:rFonts w:ascii="Times New Roman" w:hAnsi="Times New Roman" w:cs="Times New Roman"/>
          <w:sz w:val="24"/>
          <w:szCs w:val="24"/>
        </w:rPr>
        <w:t>Future work could include time-series ICA, dynamic factor models, or integrating valuation metrics (e.g., P/E ratio) and ESG scores to improve explanatory power.</w:t>
      </w:r>
    </w:p>
    <w:p w14:paraId="3C85953B">
      <w:pPr>
        <w:spacing w:line="360" w:lineRule="auto"/>
        <w:rPr>
          <w:rFonts w:ascii="Times New Roman" w:hAnsi="Times New Roman" w:eastAsia="宋体" w:cs="Times New Roman"/>
          <w:b/>
          <w:bCs/>
          <w:sz w:val="24"/>
          <w:szCs w:val="24"/>
          <w:lang w:eastAsia="zh-CN"/>
        </w:rPr>
      </w:pPr>
      <w:r>
        <w:rPr>
          <w:rFonts w:hint="eastAsia" w:ascii="Times New Roman" w:hAnsi="Times New Roman" w:eastAsia="宋体" w:cs="Times New Roman"/>
          <w:b/>
          <w:bCs/>
          <w:sz w:val="24"/>
          <w:szCs w:val="24"/>
          <w:lang w:eastAsia="zh-CN"/>
        </w:rPr>
        <w:t>8</w:t>
      </w:r>
      <w:r>
        <w:rPr>
          <w:rFonts w:ascii="Times New Roman" w:hAnsi="Times New Roman" w:eastAsia="宋体" w:cs="Times New Roman"/>
          <w:b/>
          <w:bCs/>
          <w:sz w:val="24"/>
          <w:szCs w:val="24"/>
          <w:lang w:eastAsia="zh-CN"/>
        </w:rPr>
        <w:t xml:space="preserve">.Our work </w:t>
      </w:r>
    </w:p>
    <w:p w14:paraId="0E07213F">
      <w:pPr>
        <w:spacing w:line="360" w:lineRule="auto"/>
        <w:rPr>
          <w:rFonts w:ascii="Times New Roman" w:hAnsi="Times New Roman" w:eastAsia="宋体" w:cs="Times New Roman"/>
          <w:b/>
          <w:bCs/>
          <w:sz w:val="24"/>
          <w:szCs w:val="24"/>
          <w:lang w:eastAsia="zh-CN"/>
        </w:rPr>
      </w:pPr>
      <w:r>
        <w:rPr>
          <w:rStyle w:val="164"/>
        </w:rPr>
        <w:t>In this project, we analyzed S&amp;P 500 stock data using Fast Independent Component Analysis (FastICA) to uncover latent risk factors. After collecting financial indicators—log returns, standard deviation, skewness, and kurtosis—we standardized the data and extracted three independent components. These components were interpreted as systemic risk (IC1), tail risk (IC2), and return-volatility tradeoff (IC3). We visualized sector distributions in ICA space and observed clustering behaviors, especially in technology and healthcare. A focused case study on energy companies revealed how IC2 and kurtosis together reflect tail risk. Based on these insights, we proposed investment strategies linking ICA profiles to risk-adjusted allocation.</w:t>
      </w:r>
    </w:p>
    <w:p w14:paraId="0B67F382">
      <w:pPr>
        <w:spacing w:line="360" w:lineRule="auto"/>
        <w:rPr>
          <w:rFonts w:ascii="Times New Roman" w:hAnsi="Times New Roman" w:eastAsia="宋体" w:cs="Times New Roman"/>
          <w:b/>
          <w:bCs/>
          <w:sz w:val="24"/>
          <w:szCs w:val="24"/>
          <w:lang w:eastAsia="zh-CN"/>
        </w:rPr>
      </w:pPr>
      <w:r>
        <w:drawing>
          <wp:anchor distT="0" distB="0" distL="114300" distR="114300" simplePos="0" relativeHeight="251666432" behindDoc="0" locked="0" layoutInCell="1" allowOverlap="1">
            <wp:simplePos x="0" y="0"/>
            <wp:positionH relativeFrom="column">
              <wp:posOffset>47625</wp:posOffset>
            </wp:positionH>
            <wp:positionV relativeFrom="paragraph">
              <wp:posOffset>-13970</wp:posOffset>
            </wp:positionV>
            <wp:extent cx="5081270" cy="5331460"/>
            <wp:effectExtent l="0" t="0" r="0" b="2540"/>
            <wp:wrapTopAndBottom/>
            <wp:docPr id="159897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72201" name="Picture 1"/>
                    <pic:cNvPicPr>
                      <a:picLocks noChangeAspect="1"/>
                    </pic:cNvPicPr>
                  </pic:nvPicPr>
                  <pic:blipFill>
                    <a:blip r:embed="rId12"/>
                    <a:stretch>
                      <a:fillRect/>
                    </a:stretch>
                  </pic:blipFill>
                  <pic:spPr>
                    <a:xfrm>
                      <a:off x="0" y="0"/>
                      <a:ext cx="5081270" cy="5331460"/>
                    </a:xfrm>
                    <a:prstGeom prst="rect">
                      <a:avLst/>
                    </a:prstGeom>
                  </pic:spPr>
                </pic:pic>
              </a:graphicData>
            </a:graphic>
          </wp:anchor>
        </w:drawing>
      </w:r>
    </w:p>
    <w:p w14:paraId="24771CA7">
      <w:pPr>
        <w:spacing w:line="360" w:lineRule="auto"/>
        <w:rPr>
          <w:rFonts w:ascii="Times New Roman" w:hAnsi="Times New Roman" w:eastAsia="宋体" w:cs="Times New Roman"/>
          <w:b/>
          <w:bCs/>
          <w:sz w:val="24"/>
          <w:szCs w:val="24"/>
          <w:lang w:eastAsia="zh-CN"/>
        </w:rPr>
      </w:pPr>
    </w:p>
    <w:p w14:paraId="1D464697">
      <w:pPr>
        <w:pStyle w:val="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References</w:t>
      </w:r>
    </w:p>
    <w:p w14:paraId="2C0EDB35">
      <w:pPr>
        <w:spacing w:line="360" w:lineRule="auto"/>
        <w:rPr>
          <w:rFonts w:ascii="Times New Roman" w:hAnsi="Times New Roman" w:cs="Times New Roman"/>
          <w:sz w:val="24"/>
          <w:szCs w:val="24"/>
        </w:rPr>
      </w:pPr>
      <w:r>
        <w:rPr>
          <w:rFonts w:ascii="Times New Roman" w:hAnsi="Times New Roman" w:cs="Times New Roman"/>
          <w:sz w:val="24"/>
          <w:szCs w:val="24"/>
        </w:rPr>
        <w:t xml:space="preserve">  Hyvärinen, A., &amp; Oja, E. (2000). Independent Component Analysis: Algorithms and Applications. Neural Networks.</w:t>
      </w:r>
      <w:r>
        <w:rPr>
          <w:rFonts w:ascii="Times New Roman" w:hAnsi="Times New Roman" w:cs="Times New Roman"/>
          <w:sz w:val="24"/>
          <w:szCs w:val="24"/>
        </w:rPr>
        <w:br w:type="textWrapping"/>
      </w:r>
      <w:r>
        <w:rPr>
          <w:rFonts w:ascii="Times New Roman" w:hAnsi="Times New Roman" w:cs="Times New Roman"/>
          <w:sz w:val="24"/>
          <w:szCs w:val="24"/>
        </w:rPr>
        <w:t xml:space="preserve">  Dataset: SDA_2020_St_Gallen/sp500_dataset.csv</w:t>
      </w:r>
      <w:r>
        <w:rPr>
          <w:rFonts w:ascii="Times New Roman" w:hAnsi="Times New Roman" w:cs="Times New Roman"/>
          <w:sz w:val="24"/>
          <w:szCs w:val="24"/>
        </w:rPr>
        <w:br w:type="textWrapping"/>
      </w:r>
      <w:r>
        <w:rPr>
          <w:rFonts w:ascii="Times New Roman" w:hAnsi="Times New Roman" w:cs="Times New Roman"/>
          <w:sz w:val="24"/>
          <w:szCs w:val="24"/>
        </w:rPr>
        <w:t xml:space="preserve">  Quantinar Platform: https://quantinar.com</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ＭＳ 明朝">
    <w:altName w:val="宋体"/>
    <w:panose1 w:val="00000000000000000000"/>
    <w:charset w:val="86"/>
    <w:family w:val="auto"/>
    <w:pitch w:val="default"/>
    <w:sig w:usb0="00000000" w:usb1="00000000" w:usb2="00000000" w:usb3="00000000" w:csb0="00000000" w:csb1="00000000"/>
  </w:font>
  <w:font w:name="ＭＳ 明朝">
    <w:altName w:val="宋体"/>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B060402020202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ＭＳ 明朝">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6">
    <w:nsid w:val="5C612637"/>
    <w:multiLevelType w:val="singleLevel"/>
    <w:tmpl w:val="5C612637"/>
    <w:lvl w:ilvl="0" w:tentative="0">
      <w:start w:val="3"/>
      <w:numFmt w:val="decimal"/>
      <w:suff w:val="space"/>
      <w:lvlText w:val="%1."/>
      <w:lvlJc w:val="left"/>
    </w:lvl>
  </w:abstractNum>
  <w:num w:numId="1">
    <w:abstractNumId w:val="1"/>
  </w:num>
  <w:num w:numId="2">
    <w:abstractNumId w:val="4"/>
  </w:num>
  <w:num w:numId="3">
    <w:abstractNumId w:val="5"/>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3569E"/>
    <w:rsid w:val="0006063C"/>
    <w:rsid w:val="001132DC"/>
    <w:rsid w:val="0014515D"/>
    <w:rsid w:val="0015074B"/>
    <w:rsid w:val="00211361"/>
    <w:rsid w:val="00254201"/>
    <w:rsid w:val="00261AFE"/>
    <w:rsid w:val="0029639D"/>
    <w:rsid w:val="002C6663"/>
    <w:rsid w:val="002F764B"/>
    <w:rsid w:val="0032645D"/>
    <w:rsid w:val="00326F90"/>
    <w:rsid w:val="00327C4F"/>
    <w:rsid w:val="00451D42"/>
    <w:rsid w:val="0046648B"/>
    <w:rsid w:val="00645DD9"/>
    <w:rsid w:val="006A473A"/>
    <w:rsid w:val="006B5B42"/>
    <w:rsid w:val="006D60B5"/>
    <w:rsid w:val="00791936"/>
    <w:rsid w:val="0080288A"/>
    <w:rsid w:val="008941A3"/>
    <w:rsid w:val="009F5D6F"/>
    <w:rsid w:val="00A4470A"/>
    <w:rsid w:val="00AA1D8D"/>
    <w:rsid w:val="00B01063"/>
    <w:rsid w:val="00B26BD6"/>
    <w:rsid w:val="00B4305B"/>
    <w:rsid w:val="00B47730"/>
    <w:rsid w:val="00B6425E"/>
    <w:rsid w:val="00B97906"/>
    <w:rsid w:val="00C74923"/>
    <w:rsid w:val="00CA5286"/>
    <w:rsid w:val="00CB0664"/>
    <w:rsid w:val="00DF05B8"/>
    <w:rsid w:val="00EA54CB"/>
    <w:rsid w:val="00EB6AD0"/>
    <w:rsid w:val="00EC31C8"/>
    <w:rsid w:val="00EF2403"/>
    <w:rsid w:val="00F21D45"/>
    <w:rsid w:val="00FC693F"/>
    <w:rsid w:val="00FC74E1"/>
    <w:rsid w:val="0CBE0890"/>
    <w:rsid w:val="311B74E3"/>
    <w:rsid w:val="38BB01F9"/>
    <w:rsid w:val="48ED61D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2">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6"/>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4"/>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6"/>
    <w:unhideWhenUsed/>
    <w:qFormat/>
    <w:uiPriority w:val="99"/>
    <w:pPr>
      <w:tabs>
        <w:tab w:val="center" w:pos="4680"/>
        <w:tab w:val="right" w:pos="9360"/>
      </w:tabs>
      <w:spacing w:after="0" w:line="240" w:lineRule="auto"/>
    </w:pPr>
  </w:style>
  <w:style w:type="paragraph" w:styleId="25">
    <w:name w:val="header"/>
    <w:basedOn w:val="1"/>
    <w:link w:val="135"/>
    <w:unhideWhenUsed/>
    <w:qFormat/>
    <w:uiPriority w:val="99"/>
    <w:pPr>
      <w:tabs>
        <w:tab w:val="center" w:pos="4680"/>
        <w:tab w:val="right" w:pos="9360"/>
      </w:tabs>
      <w:spacing w:after="0" w:line="240" w:lineRule="auto"/>
    </w:pPr>
  </w:style>
  <w:style w:type="paragraph" w:styleId="26">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5"/>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3">
    <w:name w:val="Table Grid"/>
    <w:basedOn w:val="3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Light Shading"/>
    <w:basedOn w:val="3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5">
    <w:name w:val="Light Shading Accent 1"/>
    <w:basedOn w:val="3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6">
    <w:name w:val="Light Shading Accent 2"/>
    <w:basedOn w:val="3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7">
    <w:name w:val="Light Shading Accent 3"/>
    <w:basedOn w:val="3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8">
    <w:name w:val="Light Shading Accent 4"/>
    <w:basedOn w:val="3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9">
    <w:name w:val="Light Shading Accent 5"/>
    <w:basedOn w:val="3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Shading Accent 6"/>
    <w:basedOn w:val="3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1">
    <w:name w:val="Light List"/>
    <w:basedOn w:val="3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2">
    <w:name w:val="Light List Accent 1"/>
    <w:basedOn w:val="3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3">
    <w:name w:val="Light List Accent 2"/>
    <w:basedOn w:val="3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4">
    <w:name w:val="Light List Accent 3"/>
    <w:basedOn w:val="3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5">
    <w:name w:val="Light List Accent 4"/>
    <w:basedOn w:val="3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6">
    <w:name w:val="Light List Accent 5"/>
    <w:basedOn w:val="3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7">
    <w:name w:val="Light List Accent 6"/>
    <w:basedOn w:val="3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8">
    <w:name w:val="Light Grid"/>
    <w:basedOn w:val="3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9">
    <w:name w:val="Light Grid Accent 1"/>
    <w:basedOn w:val="3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0">
    <w:name w:val="Light Grid Accent 2"/>
    <w:basedOn w:val="3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1">
    <w:name w:val="Light Grid Accent 3"/>
    <w:basedOn w:val="3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2">
    <w:name w:val="Light Grid Accent 4"/>
    <w:basedOn w:val="3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3">
    <w:name w:val="Light Grid Accent 5"/>
    <w:basedOn w:val="3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4">
    <w:name w:val="Light Grid Accent 6"/>
    <w:basedOn w:val="3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5">
    <w:name w:val="Medium Shading 1"/>
    <w:basedOn w:val="3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6">
    <w:name w:val="Medium Shading 1 Accent 1"/>
    <w:basedOn w:val="3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7">
    <w:name w:val="Medium Shading 1 Accent 2"/>
    <w:basedOn w:val="3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8">
    <w:name w:val="Medium Shading 1 Accent 3"/>
    <w:basedOn w:val="3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9">
    <w:name w:val="Medium Shading 1 Accent 4"/>
    <w:basedOn w:val="3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0">
    <w:name w:val="Medium Shading 1 Accent 5"/>
    <w:basedOn w:val="3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1">
    <w:name w:val="Medium Shading 1 Accent 6"/>
    <w:basedOn w:val="3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2">
    <w:name w:val="Medium Shading 2"/>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1"/>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2"/>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3"/>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4"/>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5"/>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6"/>
    <w:basedOn w:val="3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List 1"/>
    <w:basedOn w:val="3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0">
    <w:name w:val="Medium List 1 Accent 1"/>
    <w:basedOn w:val="3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1">
    <w:name w:val="Medium List 1 Accent 2"/>
    <w:basedOn w:val="3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2">
    <w:name w:val="Medium List 1 Accent 3"/>
    <w:basedOn w:val="3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3">
    <w:name w:val="Medium List 1 Accent 4"/>
    <w:basedOn w:val="3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4">
    <w:name w:val="Medium List 1 Accent 5"/>
    <w:basedOn w:val="3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5">
    <w:name w:val="Medium List 1 Accent 6"/>
    <w:basedOn w:val="3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6">
    <w:name w:val="Medium List 2"/>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1"/>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2"/>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3"/>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4"/>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5"/>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6"/>
    <w:basedOn w:val="3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Grid 1"/>
    <w:basedOn w:val="3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4">
    <w:name w:val="Medium Grid 1 Accent 1"/>
    <w:basedOn w:val="3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5">
    <w:name w:val="Medium Grid 1 Accent 2"/>
    <w:basedOn w:val="3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6">
    <w:name w:val="Medium Grid 1 Accent 3"/>
    <w:basedOn w:val="3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7">
    <w:name w:val="Medium Grid 1 Accent 4"/>
    <w:basedOn w:val="3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8">
    <w:name w:val="Medium Grid 1 Accent 5"/>
    <w:basedOn w:val="3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9">
    <w:name w:val="Medium Grid 1 Accent 6"/>
    <w:basedOn w:val="3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0">
    <w:name w:val="Medium Grid 2"/>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1">
    <w:name w:val="Medium Grid 2 Accent 1"/>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2">
    <w:name w:val="Medium Grid 2 Accent 2"/>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3">
    <w:name w:val="Medium Grid 2 Accent 3"/>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4">
    <w:name w:val="Medium Grid 2 Accent 4"/>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5">
    <w:name w:val="Medium Grid 2 Accent 5"/>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6">
    <w:name w:val="Medium Grid 2 Accent 6"/>
    <w:basedOn w:val="3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7">
    <w:name w:val="Medium Grid 3"/>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8">
    <w:name w:val="Medium Grid 3 Accent 1"/>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9">
    <w:name w:val="Medium Grid 3 Accent 2"/>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0">
    <w:name w:val="Medium Grid 3 Accent 3"/>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1">
    <w:name w:val="Medium Grid 3 Accent 4"/>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2">
    <w:name w:val="Medium Grid 3 Accent 5"/>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3">
    <w:name w:val="Medium Grid 3 Accent 6"/>
    <w:basedOn w:val="3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4">
    <w:name w:val="Dark List"/>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5">
    <w:name w:val="Dark List Accent 1"/>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6">
    <w:name w:val="Dark List Accent 2"/>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7">
    <w:name w:val="Dark List Accent 3"/>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8">
    <w:name w:val="Dark List Accent 4"/>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9">
    <w:name w:val="Dark List Accent 5"/>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0">
    <w:name w:val="Dark List Accent 6"/>
    <w:basedOn w:val="3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1">
    <w:name w:val="Colorful Shading"/>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1"/>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2"/>
    <w:basedOn w:val="3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3"/>
    <w:basedOn w:val="3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5">
    <w:name w:val="Colorful Shading Accent 4"/>
    <w:basedOn w:val="3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5"/>
    <w:basedOn w:val="3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6"/>
    <w:basedOn w:val="3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List"/>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9">
    <w:name w:val="Colorful List Accent 1"/>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0">
    <w:name w:val="Colorful List Accent 2"/>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1">
    <w:name w:val="Colorful List Accent 3"/>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2">
    <w:name w:val="Colorful List Accent 4"/>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3">
    <w:name w:val="Colorful List Accent 5"/>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4">
    <w:name w:val="Colorful List Accent 6"/>
    <w:basedOn w:val="3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5">
    <w:name w:val="Colorful Grid"/>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6">
    <w:name w:val="Colorful Grid Accent 1"/>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7">
    <w:name w:val="Colorful Grid Accent 2"/>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8">
    <w:name w:val="Colorful Grid Accent 3"/>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9">
    <w:name w:val="Colorful Grid Accent 4"/>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0">
    <w:name w:val="Colorful Grid Accent 5"/>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1">
    <w:name w:val="Colorful Grid Accent 6"/>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3">
    <w:name w:val="Strong"/>
    <w:basedOn w:val="132"/>
    <w:qFormat/>
    <w:uiPriority w:val="22"/>
    <w:rPr>
      <w:b/>
      <w:bCs/>
    </w:rPr>
  </w:style>
  <w:style w:type="character" w:styleId="134">
    <w:name w:val="Emphasis"/>
    <w:basedOn w:val="132"/>
    <w:qFormat/>
    <w:uiPriority w:val="20"/>
    <w:rPr>
      <w:i/>
      <w:iCs/>
    </w:rPr>
  </w:style>
  <w:style w:type="character" w:customStyle="1" w:styleId="135">
    <w:name w:val="Header Char"/>
    <w:basedOn w:val="132"/>
    <w:link w:val="25"/>
    <w:qFormat/>
    <w:uiPriority w:val="99"/>
  </w:style>
  <w:style w:type="character" w:customStyle="1" w:styleId="136">
    <w:name w:val="Footer Char"/>
    <w:basedOn w:val="132"/>
    <w:link w:val="24"/>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32"/>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32"/>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32"/>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32"/>
    <w:link w:val="31"/>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32"/>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32"/>
    <w:link w:val="19"/>
    <w:qFormat/>
    <w:uiPriority w:val="99"/>
  </w:style>
  <w:style w:type="character" w:customStyle="1" w:styleId="145">
    <w:name w:val="Body Text 2 Char"/>
    <w:basedOn w:val="132"/>
    <w:link w:val="28"/>
    <w:qFormat/>
    <w:uiPriority w:val="99"/>
  </w:style>
  <w:style w:type="character" w:customStyle="1" w:styleId="146">
    <w:name w:val="Body Text 3 Char"/>
    <w:basedOn w:val="132"/>
    <w:link w:val="17"/>
    <w:qFormat/>
    <w:uiPriority w:val="99"/>
    <w:rPr>
      <w:sz w:val="16"/>
      <w:szCs w:val="16"/>
    </w:rPr>
  </w:style>
  <w:style w:type="character" w:customStyle="1" w:styleId="147">
    <w:name w:val="Macro Text Char"/>
    <w:basedOn w:val="132"/>
    <w:link w:val="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32"/>
    <w:link w:val="148"/>
    <w:qFormat/>
    <w:uiPriority w:val="29"/>
    <w:rPr>
      <w:i/>
      <w:iCs/>
      <w:color w:val="000000" w:themeColor="text1"/>
      <w14:textFill>
        <w14:solidFill>
          <w14:schemeClr w14:val="tx1"/>
        </w14:solidFill>
      </w14:textFill>
    </w:rPr>
  </w:style>
  <w:style w:type="character" w:customStyle="1" w:styleId="150">
    <w:name w:val="Heading 4 Char"/>
    <w:basedOn w:val="132"/>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32"/>
    <w:link w:val="7"/>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32"/>
    <w:link w:val="8"/>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32"/>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32"/>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32"/>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32"/>
    <w:link w:val="156"/>
    <w:qFormat/>
    <w:uiPriority w:val="30"/>
    <w:rPr>
      <w:b/>
      <w:bCs/>
      <w:i/>
      <w:iCs/>
      <w:color w:val="4F81BD" w:themeColor="accent1"/>
      <w14:textFill>
        <w14:solidFill>
          <w14:schemeClr w14:val="accent1"/>
        </w14:solidFill>
      </w14:textFill>
    </w:rPr>
  </w:style>
  <w:style w:type="character" w:customStyle="1" w:styleId="158">
    <w:name w:val="Subtle Emphasis"/>
    <w:basedOn w:val="132"/>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32"/>
    <w:qFormat/>
    <w:uiPriority w:val="21"/>
    <w:rPr>
      <w:b/>
      <w:bCs/>
      <w:i/>
      <w:iCs/>
      <w:color w:val="4F81BD" w:themeColor="accent1"/>
      <w14:textFill>
        <w14:solidFill>
          <w14:schemeClr w14:val="accent1"/>
        </w14:solidFill>
      </w14:textFill>
    </w:rPr>
  </w:style>
  <w:style w:type="character" w:customStyle="1" w:styleId="160">
    <w:name w:val="Subtle Reference"/>
    <w:basedOn w:val="132"/>
    <w:qFormat/>
    <w:uiPriority w:val="31"/>
    <w:rPr>
      <w:smallCaps/>
      <w:color w:val="C0504D" w:themeColor="accent2"/>
      <w:u w:val="single"/>
      <w14:textFill>
        <w14:solidFill>
          <w14:schemeClr w14:val="accent2"/>
        </w14:solidFill>
      </w14:textFill>
    </w:rPr>
  </w:style>
  <w:style w:type="character" w:customStyle="1" w:styleId="161">
    <w:name w:val="Intense Reference"/>
    <w:basedOn w:val="132"/>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32"/>
    <w:qFormat/>
    <w:uiPriority w:val="33"/>
    <w:rPr>
      <w:b/>
      <w:bCs/>
      <w:smallCaps/>
      <w:spacing w:val="5"/>
    </w:rPr>
  </w:style>
  <w:style w:type="paragraph" w:customStyle="1" w:styleId="163">
    <w:name w:val="TOC Heading"/>
    <w:basedOn w:val="3"/>
    <w:next w:val="1"/>
    <w:semiHidden/>
    <w:unhideWhenUsed/>
    <w:qFormat/>
    <w:uiPriority w:val="39"/>
    <w:pPr>
      <w:outlineLvl w:val="9"/>
    </w:pPr>
  </w:style>
  <w:style w:type="character" w:customStyle="1" w:styleId="164">
    <w:name w:val="s1"/>
    <w:basedOn w:val="132"/>
    <w:qFormat/>
    <w:uiPriority w:val="0"/>
  </w:style>
  <w:style w:type="paragraph" w:customStyle="1" w:styleId="165">
    <w:name w:val="p1"/>
    <w:basedOn w:val="1"/>
    <w:qFormat/>
    <w:uiPriority w:val="0"/>
    <w:pPr>
      <w:spacing w:before="100" w:beforeAutospacing="1" w:after="100" w:afterAutospacing="1" w:line="240" w:lineRule="auto"/>
    </w:pPr>
    <w:rPr>
      <w:rFonts w:ascii="Times New Roman" w:hAnsi="Times New Roman" w:cs="Times New Roman"/>
      <w:sz w:val="24"/>
      <w:szCs w:val="24"/>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9</Pages>
  <Words>243</Words>
  <Characters>1564</Characters>
  <Lines>41</Lines>
  <Paragraphs>11</Paragraphs>
  <TotalTime>11</TotalTime>
  <ScaleCrop>false</ScaleCrop>
  <LinksUpToDate>false</LinksUpToDate>
  <CharactersWithSpaces>1791</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2025-07-18T13:43:00Z</dcterms:created>
  <dc:creator>python-docx</dc:creator>
  <dc:description>generated by python-docx</dc:description>
  <cp:lastModifiedBy>南边来的一只喵</cp:lastModifiedBy>
  <dcterms:modified xsi:type="dcterms:W3CDTF">2025-07-19T10:29:02Z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eyJoZGlkIjoiOGJmMDA2NGQyMzZlNjM5MzA0YmFjNTc5NjdkZmMxODQiLCJ1c2VySWQiOiIyODc2ODc0NDUifQ==</vt:lpwstr>
  </property>
  <property fmtid="{D5CDD505-2E9C-101B-9397-08002B2CF9AE}" pid="3" name="KSOProductBuildVer">
    <vt:lpwstr>2052-12.1.0.21915</vt:lpwstr>
  </property>
  <property fmtid="{D5CDD505-2E9C-101B-9397-08002B2CF9AE}" pid="4" name="ICV">
    <vt:lpwstr>F39A8E1D6DF64FBB943C439B1BDA9BE4_12</vt:lpwstr>
  </property>
</Properties>
</file>