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164124">
      <w:pPr>
        <w:jc w:val="center"/>
        <w:rPr>
          <w:b/>
          <w:bCs/>
        </w:rPr>
      </w:pPr>
      <w:r>
        <w:rPr>
          <w:rFonts w:hint="eastAsia"/>
          <w:b/>
          <w:bCs/>
        </w:rPr>
        <w:t>S&amp;P 500 independent component analysis flow chart</w:t>
      </w:r>
    </w:p>
    <w:tbl>
      <w:tblPr>
        <w:tblStyle w:val="32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0"/>
      </w:tblGrid>
      <w:tr w14:paraId="4B94B6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4340" w:type="dxa"/>
            <w:tcBorders>
              <w:top w:val="single" w:color="2196F3" w:sz="6" w:space="0"/>
              <w:left w:val="single" w:color="2196F3" w:sz="6" w:space="0"/>
              <w:bottom w:val="single" w:color="2196F3" w:sz="6" w:space="0"/>
              <w:right w:val="single" w:color="2196F3" w:sz="6" w:space="0"/>
            </w:tcBorders>
            <w:shd w:val="clear" w:color="auto" w:fill="B3D9FF"/>
          </w:tcPr>
          <w:p w14:paraId="748D06A7">
            <w:pPr>
              <w:jc w:val="center"/>
            </w:pPr>
            <w:r>
              <w:rPr>
                <w:b/>
                <w:color w:val="212121"/>
                <w:sz w:val="24"/>
              </w:rPr>
              <w:t>S&amp;</w:t>
            </w:r>
            <w:r>
              <w:rPr>
                <w:rFonts w:hint="eastAsia" w:eastAsia="宋体"/>
                <w:b/>
                <w:color w:val="212121"/>
                <w:sz w:val="24"/>
                <w:lang w:val="en-US" w:eastAsia="zh-CN"/>
              </w:rPr>
              <w:t xml:space="preserve"> </w:t>
            </w:r>
            <w:r>
              <w:rPr>
                <w:b/>
                <w:color w:val="212121"/>
                <w:sz w:val="24"/>
              </w:rPr>
              <w:t>P 500</w:t>
            </w:r>
            <w:r>
              <w:rPr>
                <w:rFonts w:hint="eastAsia" w:eastAsia="宋体"/>
                <w:b/>
                <w:color w:val="212121"/>
                <w:sz w:val="24"/>
                <w:lang w:val="en-US" w:eastAsia="zh-CN"/>
              </w:rPr>
              <w:t xml:space="preserve"> Stock Dataset</w:t>
            </w:r>
            <w:r>
              <w:br w:type="textWrapping"/>
            </w:r>
            <w:r>
              <w:rPr>
                <w:rFonts w:hint="eastAsia"/>
              </w:rPr>
              <w:t>Historical price data | Volume data</w:t>
            </w:r>
          </w:p>
        </w:tc>
      </w:tr>
    </w:tbl>
    <w:p w14:paraId="719FB01E">
      <w:pPr>
        <w:jc w:val="center"/>
      </w:pPr>
      <w:r>
        <w:rPr>
          <w:color w:val="000000"/>
          <w:sz w:val="32"/>
        </w:rPr>
        <w:t>↓</w:t>
      </w:r>
    </w:p>
    <w:tbl>
      <w:tblPr>
        <w:tblStyle w:val="32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</w:tblGrid>
      <w:tr w14:paraId="167079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20" w:type="dxa"/>
            <w:tcBorders>
              <w:top w:val="single" w:color="4CAF50" w:sz="4" w:space="0"/>
              <w:left w:val="single" w:color="4CAF50" w:sz="4" w:space="0"/>
              <w:bottom w:val="single" w:color="4CAF50" w:sz="4" w:space="0"/>
              <w:right w:val="single" w:color="4CAF50" w:sz="4" w:space="0"/>
            </w:tcBorders>
            <w:shd w:val="clear" w:color="auto" w:fill="C8E6C9"/>
          </w:tcPr>
          <w:p w14:paraId="319E8712">
            <w:pPr>
              <w:jc w:val="center"/>
            </w:pPr>
            <w:r>
              <w:rPr>
                <w:rFonts w:hint="eastAsia" w:eastAsia="宋体"/>
                <w:lang w:val="en-US" w:eastAsia="zh-CN"/>
              </w:rPr>
              <w:t>Data Preprocessing</w:t>
            </w:r>
            <w:r>
              <w:br w:type="textWrapping"/>
            </w:r>
            <w:r>
              <w:rPr>
                <w:rFonts w:hint="eastAsia"/>
              </w:rPr>
              <w:t>Yield calculation + standardization</w:t>
            </w:r>
          </w:p>
        </w:tc>
      </w:tr>
    </w:tbl>
    <w:p w14:paraId="15D9BCFF">
      <w:pPr>
        <w:jc w:val="center"/>
      </w:pPr>
      <w:r>
        <w:rPr>
          <w:sz w:val="32"/>
        </w:rPr>
        <w:t>↓</w:t>
      </w:r>
    </w:p>
    <w:tbl>
      <w:tblPr>
        <w:tblStyle w:val="32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0"/>
        <w:gridCol w:w="1440"/>
        <w:gridCol w:w="3600"/>
      </w:tblGrid>
      <w:tr w14:paraId="7A846D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00" w:type="dxa"/>
            <w:tcBorders>
              <w:top w:val="single" w:color="FF9800" w:sz="4" w:space="0"/>
              <w:left w:val="single" w:color="FF9800" w:sz="4" w:space="0"/>
              <w:bottom w:val="single" w:color="FF9800" w:sz="4" w:space="0"/>
              <w:right w:val="single" w:color="FF9800" w:sz="4" w:space="0"/>
            </w:tcBorders>
            <w:shd w:val="clear" w:color="auto" w:fill="FFE0B2"/>
          </w:tcPr>
          <w:p w14:paraId="07BC1BD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7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sz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</w:rPr>
              <w:t>PCA</w:t>
            </w:r>
          </w:p>
          <w:p w14:paraId="2F6D78C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70" w:lineRule="auto"/>
              <w:jc w:val="center"/>
              <w:textAlignment w:val="auto"/>
              <w:rPr>
                <w:rFonts w:hint="eastAsia" w:hAnsi="Cambria Math" w:eastAsiaTheme="minorEastAsia" w:cstheme="minorBidi"/>
                <w:i w:val="0"/>
                <w:sz w:val="28"/>
                <w:szCs w:val="28"/>
                <w:lang w:val="en-US" w:eastAsia="en-US" w:bidi="ar-SA"/>
              </w:rPr>
            </w:pPr>
            <w:r>
              <w:br w:type="textWrapping"/>
            </w:r>
            <m:oMathPara>
              <m:oMath>
                <m:r>
                  <m:rPr/>
                  <w:rPr>
                    <w:rFonts w:hint="default" w:ascii="Cambria Math" w:hAnsi="Cambria Math" w:eastAsiaTheme="minorEastAsia"/>
                    <w:sz w:val="28"/>
                    <w:szCs w:val="28"/>
                  </w:rPr>
                  <m:t>Σ=</m:t>
                </m:r>
                <m:f>
                  <m:fPr>
                    <m:ctrlPr>
                      <w:rPr>
                        <w:rFonts w:hint="default" w:ascii="Cambria Math" w:hAnsi="Cambria Math" w:eastAsiaTheme="minorEastAsia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eastAsiaTheme="minorEastAsia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eastAsiaTheme="minorEastAsia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</m:ctrlPr>
                  </m:den>
                </m:f>
                <m:sSup>
                  <m:sSupPr>
                    <m:ctrlPr>
                      <w:rPr>
                        <w:rFonts w:hint="default" w:ascii="Cambria Math" w:hAnsi="Cambria Math" w:eastAsiaTheme="minorEastAsia"/>
                        <w:sz w:val="28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eastAsiaTheme="minorEastAsia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eastAsiaTheme="minorEastAsia"/>
                        <w:sz w:val="28"/>
                        <w:szCs w:val="28"/>
                      </w:rPr>
                      <m:t>T</m:t>
                    </m:r>
                    <m:ctrlP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</m:ctrlPr>
                  </m:sup>
                </m:sSup>
              </m:oMath>
            </m:oMathPara>
          </w:p>
          <w:p w14:paraId="2574488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70" w:lineRule="auto"/>
              <w:jc w:val="center"/>
              <w:textAlignment w:val="auto"/>
              <w:rPr>
                <w:rFonts w:hint="eastAsia" w:hAnsi="Cambria Math" w:eastAsiaTheme="minorEastAsia" w:cstheme="minorBidi"/>
                <w:i w:val="0"/>
                <w:sz w:val="28"/>
                <w:szCs w:val="28"/>
                <w:lang w:val="en-US" w:eastAsia="en-US" w:bidi="ar-SA"/>
              </w:rPr>
            </w:pPr>
            <m:oMathPara>
              <m:oMath>
                <m:r>
                  <m:rPr/>
                  <w:rPr>
                    <w:rFonts w:hint="default" w:ascii="Cambria Math" w:hAnsi="Cambria Math" w:eastAsiaTheme="minorEastAsia"/>
                    <w:sz w:val="28"/>
                    <w:szCs w:val="28"/>
                  </w:rPr>
                  <m:t> Σ=VΛ</m:t>
                </m:r>
                <m:sSup>
                  <m:sSupPr>
                    <m:ctrlPr>
                      <w:rPr>
                        <w:rFonts w:hint="default" w:ascii="Cambria Math" w:hAnsi="Cambria Math" w:eastAsiaTheme="minorEastAsia"/>
                        <w:sz w:val="28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eastAsiaTheme="minorEastAsia"/>
                        <w:sz w:val="28"/>
                        <w:szCs w:val="28"/>
                      </w:rPr>
                      <m:t>V</m:t>
                    </m:r>
                    <m:ctrlP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eastAsiaTheme="minorEastAsia"/>
                        <w:sz w:val="28"/>
                        <w:szCs w:val="28"/>
                      </w:rPr>
                      <m:t>T</m:t>
                    </m:r>
                    <m:ctrlP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</m:ctrlPr>
                  </m:sup>
                </m:sSup>
              </m:oMath>
            </m:oMathPara>
          </w:p>
          <w:p w14:paraId="5CB8B86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70" w:lineRule="auto"/>
              <w:jc w:val="center"/>
              <w:textAlignment w:val="auto"/>
              <w:rPr>
                <w:rFonts w:hint="eastAsia" w:hAnsi="Cambria Math" w:eastAsiaTheme="minorEastAsia" w:cstheme="minorBidi"/>
                <w:i w:val="0"/>
                <w:sz w:val="22"/>
                <w:szCs w:val="22"/>
                <w:lang w:val="en-US" w:eastAsia="en-US" w:bidi="ar-SA"/>
              </w:rPr>
            </w:pPr>
            <m:oMathPara>
              <m:oMath>
                <m:r>
                  <m:rPr/>
                  <w:rPr>
                    <w:rFonts w:hint="default" w:ascii="Cambria Math" w:hAnsi="Cambria Math" w:eastAsiaTheme="minorEastAsia"/>
                    <w:sz w:val="28"/>
                    <w:szCs w:val="28"/>
                  </w:rPr>
                  <m:t> Z=X</m:t>
                </m:r>
                <m:sSub>
                  <m:sSubPr>
                    <m:ctrlPr>
                      <w:rPr>
                        <w:rFonts w:hint="default" w:ascii="Cambria Math" w:hAnsi="Cambria Math" w:eastAsiaTheme="minorEastAsia"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Theme="minorEastAsia"/>
                        <w:sz w:val="28"/>
                        <w:szCs w:val="28"/>
                      </w:rPr>
                      <m:t>V</m:t>
                    </m:r>
                    <m:ctrlP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Theme="minorEastAsia"/>
                        <w:sz w:val="28"/>
                        <w:szCs w:val="28"/>
                      </w:rPr>
                      <m:t>k</m:t>
                    </m:r>
                    <m:ctrlP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1440" w:type="dxa"/>
          </w:tcPr>
          <w:p w14:paraId="170B976A">
            <w:pPr>
              <w:jc w:val="center"/>
            </w:pPr>
            <w:r>
              <w:rPr>
                <w:b/>
                <w:color w:val="FF0000"/>
                <w:sz w:val="28"/>
              </w:rPr>
              <w:t>VS</w:t>
            </w:r>
          </w:p>
        </w:tc>
        <w:tc>
          <w:tcPr>
            <w:tcW w:w="3600" w:type="dxa"/>
            <w:tcBorders>
              <w:top w:val="single" w:color="9C27B0" w:sz="4" w:space="0"/>
              <w:left w:val="single" w:color="9C27B0" w:sz="4" w:space="0"/>
              <w:bottom w:val="single" w:color="9C27B0" w:sz="4" w:space="0"/>
              <w:right w:val="single" w:color="9C27B0" w:sz="4" w:space="0"/>
            </w:tcBorders>
            <w:shd w:val="clear" w:color="auto" w:fill="E1BEE7"/>
          </w:tcPr>
          <w:p w14:paraId="3EB14CC9">
            <w:pPr>
              <w:jc w:val="center"/>
              <w:rPr>
                <w:rFonts w:hint="eastAsia" w:hAnsi="Cambria Math" w:eastAsiaTheme="minorEastAsia" w:cstheme="minorBidi"/>
                <w:i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</w:rPr>
              <w:t>ICA</w:t>
            </w:r>
            <w:r>
              <w:rPr>
                <w:rFonts w:hint="default" w:ascii="Times New Roman" w:hAnsi="Times New Roman" w:cs="Times New Roman"/>
              </w:rPr>
              <w:br w:type="textWrapping"/>
            </w:r>
            <m:oMathPara>
              <m:oMath>
                <m:r>
                  <m:rPr/>
                  <w:rPr>
                    <w:rFonts w:hint="default" w:ascii="Cambria Math" w:hAnsi="Cambria Math" w:eastAsiaTheme="minorEastAsia"/>
                    <w:sz w:val="22"/>
                  </w:rPr>
                  <m:t>J=</m:t>
                </m:r>
                <m:nary>
                  <m:naryPr>
                    <m:chr m:val="∑"/>
                    <m:limLoc m:val="undOvr"/>
                    <m:ctrlPr>
                      <w:rPr>
                        <w:rFonts w:hint="default" w:ascii="Cambria Math" w:hAnsi="Cambria Math" w:eastAsiaTheme="minorEastAsia"/>
                        <w:sz w:val="22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eastAsiaTheme="minorEastAsia"/>
                        <w:sz w:val="22"/>
                      </w:rPr>
                      <m:t>i=1</m:t>
                    </m:r>
                    <m:ctrlPr>
                      <w:rPr>
                        <w:rFonts w:ascii="Cambria Math" w:hAnsi="Cambria Math" w:eastAsiaTheme="minorEastAsia"/>
                        <w:sz w:val="22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eastAsiaTheme="minorEastAsia"/>
                        <w:sz w:val="22"/>
                      </w:rPr>
                      <m:t>k</m:t>
                    </m:r>
                    <m:ctrlPr>
                      <w:rPr>
                        <w:rFonts w:ascii="Cambria Math" w:hAnsi="Cambria Math" w:eastAsiaTheme="minorEastAsia"/>
                        <w:sz w:val="22"/>
                      </w:rPr>
                    </m:ctrlP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hint="default" w:ascii="Cambria Math" w:hAnsi="Cambria Math" w:eastAsiaTheme="minorEastAsia"/>
                            <w:sz w:val="22"/>
                          </w:rPr>
                        </m:ctrlPr>
                      </m:naryPr>
                      <m:sub>
                        <m:r>
                          <m:rPr/>
                          <w:rPr>
                            <w:rFonts w:hint="default" w:ascii="Cambria Math" w:hAnsi="Cambria Math" w:eastAsiaTheme="minorEastAsia"/>
                            <w:sz w:val="22"/>
                          </w:rPr>
                          <m:t>x∈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eastAsiaTheme="minorEastAsia"/>
                                <w:sz w:val="22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eastAsiaTheme="minorEastAsia"/>
                                <w:sz w:val="22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 w:eastAsiaTheme="minorEastAsia"/>
                                <w:sz w:val="22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eastAsiaTheme="minorEastAsia"/>
                                <w:sz w:val="22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 w:eastAsiaTheme="minorEastAsia"/>
                                <w:sz w:val="22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Theme="minorEastAsia"/>
                            <w:sz w:val="22"/>
                          </w:rPr>
                        </m:ctrlPr>
                      </m:sub>
                      <m:sup>
                        <m:ctrlPr>
                          <w:rPr>
                            <w:rFonts w:hint="default" w:ascii="Cambria Math" w:hAnsi="Cambria Math" w:eastAsiaTheme="minorEastAsia"/>
                            <w:sz w:val="22"/>
                          </w:rPr>
                        </m:ctrlPr>
                      </m:sup>
                      <m:e>
                        <m:r>
                          <m:rPr/>
                          <w:rPr>
                            <w:rFonts w:hint="default" w:ascii="Cambria Math" w:hAnsi="Cambria Math" w:eastAsiaTheme="minorEastAsia"/>
                            <w:sz w:val="22"/>
                          </w:rPr>
                          <m:t>‖</m:t>
                        </m:r>
                        <m:ctrlPr>
                          <w:rPr>
                            <w:rFonts w:hint="default" w:ascii="Cambria Math" w:hAnsi="Cambria Math" w:eastAsiaTheme="minorEastAsia"/>
                            <w:sz w:val="22"/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eastAsiaTheme="minorEastAsia"/>
                        <w:sz w:val="22"/>
                      </w:rPr>
                    </m:ctrlPr>
                  </m:e>
                </m:nary>
                <m:r>
                  <m:rPr/>
                  <w:rPr>
                    <w:rFonts w:hint="default" w:ascii="Cambria Math" w:hAnsi="Cambria Math" w:eastAsiaTheme="minorEastAsia"/>
                    <w:sz w:val="22"/>
                  </w:rPr>
                  <m:t>x−</m:t>
                </m:r>
                <m:sSub>
                  <m:sSubPr>
                    <m:ctrlPr>
                      <w:rPr>
                        <w:rFonts w:hint="default" w:ascii="Cambria Math" w:hAnsi="Cambria Math" w:eastAsiaTheme="minorEastAsia"/>
                        <w:sz w:val="22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Theme="minorEastAsia"/>
                        <w:sz w:val="22"/>
                      </w:rPr>
                      <m:t>μ</m:t>
                    </m:r>
                    <m:ctrlPr>
                      <w:rPr>
                        <w:rFonts w:hint="default" w:ascii="Cambria Math" w:hAnsi="Cambria Math" w:eastAsiaTheme="minorEastAsia"/>
                        <w:sz w:val="22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Theme="minorEastAsia"/>
                        <w:sz w:val="22"/>
                      </w:rPr>
                      <m:t>i</m:t>
                    </m:r>
                    <m:ctrlPr>
                      <w:rPr>
                        <w:rFonts w:hint="default" w:ascii="Cambria Math" w:hAnsi="Cambria Math" w:eastAsiaTheme="minorEastAsia"/>
                        <w:sz w:val="22"/>
                      </w:rPr>
                    </m:ctrlPr>
                  </m:sub>
                </m:sSub>
                <m:sSup>
                  <m:sSupPr>
                    <m:ctrlPr>
                      <w:rPr>
                        <w:rFonts w:hint="default" w:ascii="Cambria Math" w:hAnsi="Cambria Math" w:eastAsiaTheme="minorEastAsia"/>
                        <w:sz w:val="22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eastAsiaTheme="minorEastAsia"/>
                        <w:sz w:val="22"/>
                      </w:rPr>
                      <m:t>‖</m:t>
                    </m:r>
                    <m:ctrlPr>
                      <w:rPr>
                        <w:rFonts w:hint="default" w:ascii="Cambria Math" w:hAnsi="Cambria Math" w:eastAsiaTheme="minorEastAsia"/>
                        <w:sz w:val="22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eastAsiaTheme="minorEastAsia"/>
                        <w:sz w:val="22"/>
                      </w:rPr>
                      <m:t>2</m:t>
                    </m:r>
                    <m:ctrlPr>
                      <w:rPr>
                        <w:rFonts w:hint="default" w:ascii="Cambria Math" w:hAnsi="Cambria Math" w:eastAsiaTheme="minorEastAsia"/>
                        <w:sz w:val="22"/>
                      </w:rPr>
                    </m:ctrlPr>
                  </m:sup>
                </m:sSup>
              </m:oMath>
            </m:oMathPara>
          </w:p>
          <w:p w14:paraId="1DFB9FC6">
            <w:pPr>
              <w:jc w:val="center"/>
              <w:rPr>
                <w:rFonts w:hint="eastAsia" w:hAnsi="Cambria Math" w:eastAsiaTheme="minorEastAsia" w:cstheme="minorBidi"/>
                <w:i w:val="0"/>
                <w:sz w:val="22"/>
                <w:szCs w:val="22"/>
                <w:lang w:val="en-US" w:eastAsia="en-US" w:bidi="ar-SA"/>
              </w:rPr>
            </w:pPr>
            <m:oMathPara>
              <m:oMath>
                <m:r>
                  <m:rPr/>
                  <w:rPr>
                    <w:rFonts w:hint="default" w:ascii="Cambria Math" w:hAnsi="Cambria Math" w:eastAsiaTheme="minorEastAsia"/>
                    <w:sz w:val="22"/>
                  </w:rPr>
                  <m:t> </m:t>
                </m:r>
                <m:r>
                  <m:rPr>
                    <m:sty m:val="p"/>
                  </m:rPr>
                  <w:rPr>
                    <w:rFonts w:hint="default" w:ascii="Cambria Math" w:hAnsi="Cambria Math" w:eastAsiaTheme="minorEastAsia"/>
                    <w:sz w:val="22"/>
                  </w:rPr>
                  <m:t>i.e.</m:t>
                </m:r>
              </m:oMath>
            </m:oMathPara>
          </w:p>
          <w:p w14:paraId="7E39F3F3">
            <w:pPr>
              <w:jc w:val="center"/>
              <w:rPr>
                <w:rFonts w:hint="eastAsia" w:hAnsi="Cambria Math" w:eastAsiaTheme="minorEastAsia" w:cstheme="minorBidi"/>
                <w:i w:val="0"/>
                <w:sz w:val="22"/>
                <w:szCs w:val="22"/>
                <w:lang w:val="en-US" w:eastAsia="en-US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eastAsiaTheme="minorEastAsia"/>
                        <w:sz w:val="22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Theme="minorEastAsia"/>
                        <w:sz w:val="22"/>
                      </w:rPr>
                      <m:t>μ</m:t>
                    </m:r>
                    <m:ctrlPr>
                      <w:rPr>
                        <w:rFonts w:ascii="Cambria Math" w:hAnsi="Cambria Math" w:eastAsiaTheme="minorEastAsia"/>
                        <w:sz w:val="22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Theme="minorEastAsia"/>
                        <w:sz w:val="22"/>
                      </w:rPr>
                      <m:t>i</m:t>
                    </m:r>
                    <m:ctrlPr>
                      <w:rPr>
                        <w:rFonts w:ascii="Cambria Math" w:hAnsi="Cambria Math" w:eastAsiaTheme="minorEastAsia"/>
                        <w:sz w:val="22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eastAsiaTheme="minorEastAsia"/>
                    <w:sz w:val="22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eastAsiaTheme="minorEastAsia"/>
                        <w:i/>
                        <w:sz w:val="22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eastAsiaTheme="minorEastAsia"/>
                        <w:sz w:val="22"/>
                      </w:rPr>
                      <m:t>1</m:t>
                    </m:r>
                    <m:ctrlPr>
                      <w:rPr>
                        <w:rFonts w:ascii="Cambria Math" w:hAnsi="Cambria Math" w:eastAsiaTheme="minorEastAsia"/>
                        <w:sz w:val="22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eastAsiaTheme="minorEastAsia"/>
                        <w:sz w:val="22"/>
                      </w:rPr>
                      <m:t>|</m:t>
                    </m:r>
                    <m:sSub>
                      <m:sSubPr>
                        <m:ctrlPr>
                          <w:rPr>
                            <w:rFonts w:hint="default" w:ascii="Cambria Math" w:hAnsi="Cambria Math" w:eastAsiaTheme="minorEastAsia"/>
                            <w:sz w:val="22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eastAsiaTheme="minorEastAsia"/>
                            <w:sz w:val="22"/>
                          </w:rPr>
                          <m:t>C</m:t>
                        </m:r>
                        <m:ctrlPr>
                          <w:rPr>
                            <w:rFonts w:ascii="Cambria Math" w:hAnsi="Cambria Math" w:eastAsiaTheme="minorEastAsia"/>
                            <w:sz w:val="22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eastAsiaTheme="minorEastAsia"/>
                            <w:sz w:val="22"/>
                          </w:rPr>
                          <m:t>i</m:t>
                        </m:r>
                        <m:ctrlPr>
                          <w:rPr>
                            <w:rFonts w:ascii="Cambria Math" w:hAnsi="Cambria Math" w:eastAsiaTheme="minorEastAsia"/>
                            <w:sz w:val="22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eastAsiaTheme="minorEastAsia"/>
                        <w:sz w:val="22"/>
                      </w:rPr>
                      <m:t>|</m:t>
                    </m:r>
                    <m:ctrlPr>
                      <w:rPr>
                        <w:rFonts w:hint="default" w:ascii="Cambria Math" w:hAnsi="Cambria Math" w:eastAsiaTheme="minorEastAsia"/>
                        <w:sz w:val="22"/>
                      </w:rPr>
                    </m:ctrlPr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hint="default" w:ascii="Cambria Math" w:hAnsi="Cambria Math" w:eastAsiaTheme="minorEastAsia"/>
                        <w:sz w:val="22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eastAsiaTheme="minorEastAsia"/>
                        <w:sz w:val="22"/>
                      </w:rPr>
                      <m:t>x∈</m:t>
                    </m:r>
                    <m:sSub>
                      <m:sSubPr>
                        <m:ctrlPr>
                          <w:rPr>
                            <w:rFonts w:hint="default" w:ascii="Cambria Math" w:hAnsi="Cambria Math" w:eastAsiaTheme="minorEastAsia"/>
                            <w:sz w:val="22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eastAsiaTheme="minorEastAsia"/>
                            <w:sz w:val="22"/>
                          </w:rPr>
                          <m:t>C</m:t>
                        </m:r>
                        <m:ctrlPr>
                          <w:rPr>
                            <w:rFonts w:ascii="Cambria Math" w:hAnsi="Cambria Math" w:eastAsiaTheme="minorEastAsia"/>
                            <w:sz w:val="22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eastAsiaTheme="minorEastAsia"/>
                            <w:sz w:val="22"/>
                          </w:rPr>
                          <m:t>i</m:t>
                        </m:r>
                        <m:ctrlPr>
                          <w:rPr>
                            <w:rFonts w:ascii="Cambria Math" w:hAnsi="Cambria Math" w:eastAsiaTheme="minorEastAsia"/>
                            <w:sz w:val="22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eastAsiaTheme="minorEastAsia"/>
                        <w:sz w:val="22"/>
                      </w:rPr>
                    </m:ctrlPr>
                  </m:sub>
                  <m:sup>
                    <m:ctrlPr>
                      <w:rPr>
                        <w:rFonts w:hint="default" w:ascii="Cambria Math" w:hAnsi="Cambria Math" w:eastAsiaTheme="minorEastAsia"/>
                        <w:sz w:val="22"/>
                      </w:rPr>
                    </m:ctrlPr>
                  </m:sup>
                  <m:e>
                    <m:r>
                      <m:rPr/>
                      <w:rPr>
                        <w:rFonts w:hint="default" w:ascii="Cambria Math" w:hAnsi="Cambria Math" w:eastAsiaTheme="minorEastAsia"/>
                        <w:sz w:val="22"/>
                      </w:rPr>
                      <m:t>x</m:t>
                    </m:r>
                    <m:ctrlPr>
                      <w:rPr>
                        <w:rFonts w:hint="default" w:ascii="Cambria Math" w:hAnsi="Cambria Math" w:eastAsiaTheme="minorEastAsia"/>
                        <w:sz w:val="22"/>
                      </w:rPr>
                    </m:ctrlPr>
                  </m:e>
                </m:nary>
              </m:oMath>
            </m:oMathPara>
            <w:r>
              <w:br w:type="textWrapping"/>
            </w:r>
            <m:oMathPara>
              <m:oMath>
                <m:sSup>
                  <m:sSupPr>
                    <m:ctrlPr>
                      <w:rPr>
                        <w:rFonts w:hint="default" w:ascii="Cambria Math" w:hAnsi="Cambria Math" w:eastAsiaTheme="minorEastAsia"/>
                        <w:sz w:val="22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eastAsiaTheme="minorEastAsia"/>
                        <w:sz w:val="22"/>
                      </w:rPr>
                      <m:t>W</m:t>
                    </m:r>
                    <m:ctrlPr>
                      <w:rPr>
                        <w:rFonts w:ascii="Cambria Math" w:hAnsi="Cambria Math" w:eastAsiaTheme="minorEastAsia"/>
                        <w:sz w:val="22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eastAsiaTheme="minorEastAsia"/>
                        <w:sz w:val="22"/>
                      </w:rPr>
                      <m:t>∗</m:t>
                    </m:r>
                    <m:ctrlPr>
                      <w:rPr>
                        <w:rFonts w:ascii="Cambria Math" w:hAnsi="Cambria Math" w:eastAsiaTheme="minorEastAsia"/>
                        <w:sz w:val="22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eastAsiaTheme="minorEastAsia"/>
                    <w:sz w:val="22"/>
                  </w:rPr>
                  <m:t>=</m:t>
                </m:r>
                <m:func>
                  <m:funcPr>
                    <m:ctrlPr>
                      <w:rPr>
                        <w:rFonts w:hint="default" w:ascii="Cambria Math" w:hAnsi="Cambria Math" w:eastAsiaTheme="minorEastAsia"/>
                        <w:sz w:val="22"/>
                      </w:rPr>
                    </m:ctrlPr>
                  </m:funcPr>
                  <m:fName>
                    <m:r>
                      <m:rPr/>
                      <w:rPr>
                        <w:rFonts w:hint="default" w:ascii="Cambria Math" w:hAnsi="Cambria Math" w:eastAsiaTheme="minorEastAsia"/>
                        <w:sz w:val="22"/>
                      </w:rPr>
                      <m:t>arg</m:t>
                    </m:r>
                    <m:ctrlPr>
                      <w:rPr>
                        <w:rFonts w:ascii="Cambria Math" w:hAnsi="Cambria Math" w:eastAsiaTheme="minorEastAsia"/>
                        <w:sz w:val="22"/>
                      </w:rPr>
                    </m:ctrlPr>
                  </m:fName>
                  <m:e>
                    <m:func>
                      <m:funcPr>
                        <m:ctrlPr>
                          <w:rPr>
                            <w:rFonts w:hint="default" w:ascii="Cambria Math" w:hAnsi="Cambria Math" w:eastAsiaTheme="minorEastAsia"/>
                            <w:sz w:val="22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hint="default" w:ascii="Cambria Math" w:hAnsi="Cambria Math" w:eastAsiaTheme="minorEastAsia"/>
                                <w:sz w:val="22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Theme="minorEastAsia"/>
                                <w:sz w:val="22"/>
                              </w:rPr>
                              <m:t>max</m:t>
                            </m:r>
                            <m:ctrlPr>
                              <w:rPr>
                                <w:rFonts w:ascii="Cambria Math" w:hAnsi="Cambria Math" w:eastAsiaTheme="minorEastAsia"/>
                                <w:sz w:val="22"/>
                              </w:rPr>
                            </m:ctrlPr>
                          </m:e>
                          <m:lim>
                            <m:r>
                              <m:rPr/>
                              <w:rPr>
                                <w:rFonts w:hint="default" w:ascii="Cambria Math" w:hAnsi="Cambria Math" w:eastAsiaTheme="minorEastAsia"/>
                                <w:sz w:val="22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 w:eastAsiaTheme="minorEastAsia"/>
                                <w:sz w:val="22"/>
                              </w:rPr>
                            </m:ctrlPr>
                          </m:lim>
                        </m:limLow>
                        <m:ctrlPr>
                          <w:rPr>
                            <w:rFonts w:hint="default" w:ascii="Cambria Math" w:hAnsi="Cambria Math" w:eastAsiaTheme="minorEastAsia"/>
                            <w:sz w:val="22"/>
                          </w:rPr>
                        </m:ctrlPr>
                      </m:fNam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hint="default" w:ascii="Cambria Math" w:hAnsi="Cambria Math" w:eastAsiaTheme="minorEastAsia"/>
                                <w:sz w:val="22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hint="default" w:ascii="Cambria Math" w:hAnsi="Cambria Math" w:eastAsiaTheme="minorEastAsia"/>
                                <w:sz w:val="22"/>
                              </w:rPr>
                              <m:t>i=1</m:t>
                            </m:r>
                            <m:ctrlPr>
                              <w:rPr>
                                <w:rFonts w:ascii="Cambria Math" w:hAnsi="Cambria Math" w:eastAsiaTheme="minorEastAsia"/>
                                <w:sz w:val="22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Cambria Math" w:hAnsi="Cambria Math" w:eastAsiaTheme="minorEastAsia"/>
                                <w:sz w:val="22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 w:eastAsiaTheme="minorEastAsia"/>
                                <w:sz w:val="22"/>
                              </w:rPr>
                            </m:ctrlPr>
                          </m:sup>
                          <m:e>
                            <m:r>
                              <m:rPr/>
                              <w:rPr>
                                <w:rFonts w:hint="default" w:ascii="Cambria Math" w:hAnsi="Cambria Math" w:eastAsiaTheme="minorEastAsia"/>
                                <w:sz w:val="22"/>
                              </w:rPr>
                              <m:t>G</m:t>
                            </m:r>
                            <m:ctrlPr>
                              <w:rPr>
                                <w:rFonts w:ascii="Cambria Math" w:hAnsi="Cambria Math" w:eastAsiaTheme="minorEastAsia"/>
                                <w:sz w:val="22"/>
                              </w:rPr>
                            </m:ctrlPr>
                          </m:e>
                        </m:nary>
                        <m:ctrlPr>
                          <w:rPr>
                            <w:rFonts w:hint="default" w:ascii="Cambria Math" w:hAnsi="Cambria Math" w:eastAsiaTheme="minorEastAsia"/>
                            <w:sz w:val="22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eastAsiaTheme="minorEastAsia"/>
                        <w:sz w:val="22"/>
                      </w:rPr>
                    </m:ctrlPr>
                  </m:e>
                </m:func>
                <m:r>
                  <m:rPr/>
                  <w:rPr>
                    <w:rFonts w:hint="default" w:ascii="Cambria Math" w:hAnsi="Cambria Math" w:eastAsiaTheme="minorEastAsia"/>
                    <w:sz w:val="22"/>
                  </w:rPr>
                  <m:t>(</m:t>
                </m:r>
                <m:sSubSup>
                  <m:sSubSupPr>
                    <m:ctrlPr>
                      <w:rPr>
                        <w:rFonts w:hint="default" w:ascii="Cambria Math" w:hAnsi="Cambria Math" w:eastAsiaTheme="minorEastAsia"/>
                        <w:sz w:val="22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eastAsiaTheme="minorEastAsia"/>
                        <w:sz w:val="22"/>
                      </w:rPr>
                      <m:t>w</m:t>
                    </m:r>
                    <m:ctrlPr>
                      <w:rPr>
                        <w:rFonts w:hint="default" w:ascii="Cambria Math" w:hAnsi="Cambria Math" w:eastAsiaTheme="minorEastAsia"/>
                        <w:sz w:val="22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Theme="minorEastAsia"/>
                        <w:sz w:val="22"/>
                      </w:rPr>
                      <m:t>i</m:t>
                    </m:r>
                    <m:ctrlPr>
                      <w:rPr>
                        <w:rFonts w:hint="default" w:ascii="Cambria Math" w:hAnsi="Cambria Math" w:eastAsiaTheme="minorEastAsia"/>
                        <w:sz w:val="22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eastAsiaTheme="minorEastAsia"/>
                        <w:sz w:val="22"/>
                      </w:rPr>
                      <m:t>T</m:t>
                    </m:r>
                    <m:ctrlPr>
                      <w:rPr>
                        <w:rFonts w:hint="default" w:ascii="Cambria Math" w:hAnsi="Cambria Math" w:eastAsiaTheme="minorEastAsia"/>
                        <w:sz w:val="22"/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 w:eastAsiaTheme="minorEastAsia"/>
                    <w:sz w:val="22"/>
                  </w:rPr>
                  <m:t>X)</m:t>
                </m:r>
              </m:oMath>
            </m:oMathPara>
          </w:p>
          <w:p w14:paraId="72751AD7">
            <w:pPr>
              <w:jc w:val="center"/>
              <w:rPr>
                <w:rFonts w:hint="eastAsia" w:hAnsi="Cambria Math" w:eastAsiaTheme="minorEastAsia" w:cstheme="minorBidi"/>
                <w:i w:val="0"/>
                <w:sz w:val="22"/>
                <w:szCs w:val="22"/>
                <w:lang w:val="en-US" w:eastAsia="en-US" w:bidi="ar-SA"/>
              </w:rPr>
            </w:pPr>
          </w:p>
        </w:tc>
      </w:tr>
    </w:tbl>
    <w:p w14:paraId="48C211F5">
      <w:pPr>
        <w:jc w:val="center"/>
      </w:pPr>
      <w:r>
        <w:rPr>
          <w:sz w:val="32"/>
        </w:rPr>
        <w:t xml:space="preserve">                          </w:t>
      </w:r>
      <w:r>
        <w:rPr>
          <w:rFonts w:hint="eastAsia" w:eastAsia="宋体"/>
          <w:sz w:val="32"/>
          <w:lang w:val="en-US" w:eastAsia="zh-CN"/>
        </w:rPr>
        <w:t xml:space="preserve">                                    </w:t>
      </w:r>
      <w:bookmarkStart w:id="0" w:name="_GoBack"/>
      <w:bookmarkEnd w:id="0"/>
      <w:r>
        <w:rPr>
          <w:sz w:val="32"/>
        </w:rPr>
        <w:t>↓</w:t>
      </w:r>
    </w:p>
    <w:tbl>
      <w:tblPr>
        <w:tblStyle w:val="32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0"/>
      </w:tblGrid>
      <w:tr w14:paraId="465CE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0" w:type="dxa"/>
            <w:tcBorders>
              <w:top w:val="single" w:color="9C27B0" w:sz="4" w:space="0"/>
              <w:left w:val="single" w:color="9C27B0" w:sz="4" w:space="0"/>
              <w:bottom w:val="single" w:color="9C27B0" w:sz="4" w:space="0"/>
              <w:right w:val="single" w:color="9C27B0" w:sz="4" w:space="0"/>
            </w:tcBorders>
            <w:shd w:val="clear" w:color="auto" w:fill="E1BEE7"/>
          </w:tcPr>
          <w:p w14:paraId="7B344650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Step 4: Risk factor identification</w:t>
            </w:r>
            <w:r>
              <w:rPr>
                <w:b/>
                <w:bCs/>
              </w:rPr>
              <w:br w:type="textWrapping"/>
            </w:r>
            <w:r>
              <w:rPr>
                <w:rFonts w:hint="eastAsia"/>
              </w:rPr>
              <w:t>Four independent risk factors were accurately identified</w:t>
            </w:r>
            <w:r>
              <w:br w:type="textWrapping"/>
            </w:r>
            <w:r>
              <w:rPr>
                <w:rFonts w:hint="eastAsia"/>
              </w:rPr>
              <w:t xml:space="preserve">IC1: Peak risk factor </w:t>
            </w:r>
          </w:p>
          <w:p w14:paraId="518F26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IC2: Volatility risk factor</w:t>
            </w:r>
            <w:r>
              <w:br w:type="textWrapping"/>
            </w:r>
            <w:r>
              <w:rPr>
                <w:rFonts w:hint="eastAsia"/>
              </w:rPr>
              <w:t xml:space="preserve">IC3: Distribution morphological factor </w:t>
            </w:r>
          </w:p>
          <w:p w14:paraId="0FBB7924">
            <w:pPr>
              <w:jc w:val="center"/>
            </w:pPr>
            <w:r>
              <w:rPr>
                <w:rFonts w:hint="eastAsia"/>
              </w:rPr>
              <w:t>IC4: Yield risk factor</w:t>
            </w:r>
          </w:p>
        </w:tc>
      </w:tr>
    </w:tbl>
    <w:p w14:paraId="67313C39">
      <w:pPr>
        <w:jc w:val="center"/>
      </w:pPr>
      <w:r>
        <w:rPr>
          <w:sz w:val="32"/>
        </w:rPr>
        <w:t>↓</w:t>
      </w:r>
    </w:p>
    <w:tbl>
      <w:tblPr>
        <w:tblStyle w:val="32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0"/>
      </w:tblGrid>
      <w:tr w14:paraId="6F3514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0" w:type="dxa"/>
            <w:tcBorders>
              <w:top w:val="single" w:color="00BCD4" w:sz="4" w:space="0"/>
              <w:left w:val="single" w:color="00BCD4" w:sz="4" w:space="0"/>
              <w:bottom w:val="single" w:color="00BCD4" w:sz="4" w:space="0"/>
              <w:right w:val="single" w:color="00BCD4" w:sz="4" w:space="0"/>
            </w:tcBorders>
            <w:shd w:val="clear" w:color="auto" w:fill="E0F7FA"/>
          </w:tcPr>
          <w:p w14:paraId="7AB0BEA1">
            <w:pPr>
              <w:jc w:val="center"/>
              <w:rPr>
                <w:rFonts w:hint="eastAsia" w:eastAsia="宋体"/>
                <w:b/>
                <w:color w:val="212121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color w:val="212121"/>
                <w:sz w:val="24"/>
                <w:lang w:val="en-US" w:eastAsia="zh-CN"/>
              </w:rPr>
              <w:t>Step</w:t>
            </w:r>
            <w:r>
              <w:rPr>
                <w:b/>
                <w:color w:val="212121"/>
                <w:sz w:val="24"/>
              </w:rPr>
              <w:t>5: K-Means</w:t>
            </w:r>
            <w:r>
              <w:rPr>
                <w:rFonts w:hint="eastAsia" w:eastAsia="宋体"/>
                <w:b/>
                <w:color w:val="212121"/>
                <w:sz w:val="24"/>
                <w:lang w:val="en-US" w:eastAsia="zh-CN"/>
              </w:rPr>
              <w:t xml:space="preserve"> Clustering</w:t>
            </w:r>
          </w:p>
          <w:p w14:paraId="2F80E2B2">
            <w:pPr>
              <w:jc w:val="center"/>
            </w:pPr>
            <w:r>
              <w:br w:type="textWrapping"/>
            </w:r>
            <w:r>
              <w:rPr>
                <w:rFonts w:hint="eastAsia" w:eastAsia="宋体"/>
                <w:lang w:val="en-US" w:eastAsia="zh-CN"/>
              </w:rPr>
              <w:t xml:space="preserve">Building </w:t>
            </w:r>
            <w:r>
              <w:rPr>
                <w:rFonts w:hint="eastAsia"/>
              </w:rPr>
              <w:t>Five portfolio cluster</w:t>
            </w:r>
            <w:r>
              <w:rPr>
                <w:rFonts w:hint="eastAsia" w:eastAsia="宋体"/>
                <w:lang w:val="en-US" w:eastAsia="zh-CN"/>
              </w:rPr>
              <w:t>s</w:t>
            </w:r>
            <w:r>
              <w:br w:type="textWrapping"/>
            </w:r>
            <w:r>
              <w:rPr>
                <w:rFonts w:hint="eastAsia"/>
              </w:rPr>
              <w:t>Cluster 0: Low risk and robust</w:t>
            </w:r>
            <w:r>
              <w:t xml:space="preserve">   </w:t>
            </w:r>
            <w:r>
              <w:rPr>
                <w:rFonts w:hint="eastAsia"/>
              </w:rPr>
              <w:t>Cluster 1: High growth technology</w:t>
            </w:r>
            <w:r>
              <w:t xml:space="preserve">   </w:t>
            </w:r>
          </w:p>
          <w:p w14:paraId="03B39D5B">
            <w:pPr>
              <w:jc w:val="center"/>
            </w:pPr>
            <w:r>
              <w:rPr>
                <w:rFonts w:hint="eastAsia"/>
              </w:rPr>
              <w:t>Cluster 2: Period value type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Cluster 3: Defensive revenue type</w:t>
            </w:r>
            <w:r>
              <w:t xml:space="preserve">   </w:t>
            </w:r>
          </w:p>
          <w:p w14:paraId="3F6B6653">
            <w:pPr>
              <w:jc w:val="center"/>
            </w:pPr>
            <w:r>
              <w:rPr>
                <w:rFonts w:hint="eastAsia"/>
              </w:rPr>
              <w:t>Group 4: Resource sensitive</w:t>
            </w:r>
          </w:p>
        </w:tc>
      </w:tr>
    </w:tbl>
    <w:p w14:paraId="65F43678">
      <w:pPr>
        <w:jc w:val="center"/>
      </w:pPr>
      <w:r>
        <w:rPr>
          <w:sz w:val="32"/>
        </w:rPr>
        <w:t xml:space="preserve">      ↙                    ↘</w:t>
      </w:r>
    </w:p>
    <w:tbl>
      <w:tblPr>
        <w:tblStyle w:val="32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2"/>
        <w:gridCol w:w="576"/>
        <w:gridCol w:w="4032"/>
      </w:tblGrid>
      <w:tr w14:paraId="7AA68B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32" w:type="dxa"/>
            <w:tcBorders>
              <w:top w:val="single" w:color="FF9800" w:sz="4" w:space="0"/>
              <w:left w:val="single" w:color="FF9800" w:sz="4" w:space="0"/>
              <w:bottom w:val="single" w:color="FF9800" w:sz="4" w:space="0"/>
              <w:right w:val="single" w:color="FF9800" w:sz="4" w:space="0"/>
            </w:tcBorders>
            <w:shd w:val="clear" w:color="auto" w:fill="FFE0B2"/>
          </w:tcPr>
          <w:p w14:paraId="57A73A37">
            <w:pPr>
              <w:jc w:val="center"/>
            </w:pPr>
            <w:r>
              <w:rPr>
                <w:rFonts w:hint="eastAsia"/>
              </w:rPr>
              <w:t>Statistical significance test</w:t>
            </w:r>
            <w:r>
              <w:br w:type="textWrapping"/>
            </w:r>
            <w:r>
              <w:t>ANOVA</w:t>
            </w:r>
            <w:r>
              <w:rPr>
                <w:rFonts w:hint="eastAsia" w:eastAsia="宋体"/>
                <w:lang w:val="en-US" w:eastAsia="zh-CN"/>
              </w:rPr>
              <w:t xml:space="preserve"> test</w:t>
            </w:r>
            <w:r>
              <w:br w:type="textWrapping"/>
            </w:r>
            <w:r>
              <w:rPr>
                <w:rFonts w:hint="eastAsia"/>
              </w:rPr>
              <w:t>Quantitative comparison in 7 dimensions</w:t>
            </w:r>
            <w:r>
              <w:br w:type="textWrapping"/>
            </w:r>
            <w:r>
              <w:t>ICA vs PCA: 0.231 vs 0.150</w:t>
            </w:r>
          </w:p>
        </w:tc>
        <w:tc>
          <w:tcPr>
            <w:tcW w:w="576" w:type="dxa"/>
          </w:tcPr>
          <w:p w14:paraId="31616ECE"/>
        </w:tc>
        <w:tc>
          <w:tcPr>
            <w:tcW w:w="4032" w:type="dxa"/>
            <w:tcBorders>
              <w:top w:val="single" w:color="F44336" w:sz="4" w:space="0"/>
              <w:left w:val="single" w:color="F44336" w:sz="4" w:space="0"/>
              <w:bottom w:val="single" w:color="F44336" w:sz="4" w:space="0"/>
              <w:right w:val="single" w:color="F44336" w:sz="4" w:space="0"/>
            </w:tcBorders>
            <w:shd w:val="clear" w:color="auto" w:fill="FFEBEE"/>
          </w:tcPr>
          <w:p w14:paraId="6C3D3FD0">
            <w:pPr>
              <w:jc w:val="center"/>
            </w:pPr>
            <w:r>
              <w:rPr>
                <w:rFonts w:hint="eastAsia"/>
              </w:rPr>
              <w:t>Portfolio backtest verification</w:t>
            </w:r>
            <w:r>
              <w:br w:type="textWrapping"/>
            </w:r>
            <w:r>
              <w:rPr>
                <w:rFonts w:hint="eastAsia"/>
              </w:rPr>
              <w:t>Risk control strategy</w:t>
            </w:r>
            <w:r>
              <w:br w:type="textWrapping"/>
            </w:r>
            <w:r>
              <w:rPr>
                <w:rFonts w:hint="eastAsia"/>
              </w:rPr>
              <w:t>Quantitative transaction verification</w:t>
            </w:r>
            <w:r>
              <w:br w:type="textWrapping"/>
            </w:r>
            <w:r>
              <w:rPr>
                <w:rFonts w:hint="eastAsia"/>
              </w:rPr>
              <w:t>Energy and technology sector, differentiated risk characteristics</w:t>
            </w:r>
          </w:p>
        </w:tc>
      </w:tr>
    </w:tbl>
    <w:p w14:paraId="1F5F2107">
      <w:pPr>
        <w:jc w:val="center"/>
      </w:pPr>
      <w:r>
        <w:rPr>
          <w:sz w:val="32"/>
        </w:rPr>
        <w:t xml:space="preserve">      ↘                    ↙</w:t>
      </w:r>
    </w:p>
    <w:tbl>
      <w:tblPr>
        <w:tblStyle w:val="32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0"/>
      </w:tblGrid>
      <w:tr w14:paraId="0C952E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0" w:type="dxa"/>
            <w:tcBorders>
              <w:top w:val="single" w:color="4CAF50" w:sz="6" w:space="0"/>
              <w:left w:val="single" w:color="4CAF50" w:sz="6" w:space="0"/>
              <w:bottom w:val="single" w:color="4CAF50" w:sz="6" w:space="0"/>
              <w:right w:val="single" w:color="4CAF50" w:sz="6" w:space="0"/>
            </w:tcBorders>
            <w:shd w:val="clear" w:color="auto" w:fill="C8E6C9"/>
          </w:tcPr>
          <w:p w14:paraId="705E870B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Core achievements and applications</w:t>
            </w:r>
            <w:r>
              <w:br w:type="textWrapping"/>
            </w:r>
            <w:r>
              <w:rPr>
                <w:rFonts w:hint="eastAsia"/>
              </w:rPr>
              <w:t>Portfolio management optimization | Quantitative identification of risk factors</w:t>
            </w:r>
            <w:r>
              <w:br w:type="textWrapping"/>
            </w:r>
            <w:r>
              <w:rPr>
                <w:rFonts w:hint="eastAsia" w:eastAsia="宋体"/>
                <w:lang w:val="en-US" w:eastAsia="zh-CN"/>
              </w:rPr>
              <w:t>Providing Support for Scientific Decision-Making</w:t>
            </w:r>
          </w:p>
        </w:tc>
      </w:tr>
    </w:tbl>
    <w:p w14:paraId="5DBC1523">
      <w:pPr>
        <w:jc w:val="both"/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4EB0520"/>
    <w:rsid w:val="1B8D11AB"/>
    <w:rsid w:val="3E4E2AFC"/>
    <w:rsid w:val="6D0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296</Words>
  <Characters>361</Characters>
  <Lines>0</Lines>
  <Paragraphs>0</Paragraphs>
  <TotalTime>112</TotalTime>
  <ScaleCrop>false</ScaleCrop>
  <LinksUpToDate>false</LinksUpToDate>
  <CharactersWithSpaces>500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南边来的一只喵</cp:lastModifiedBy>
  <dcterms:modified xsi:type="dcterms:W3CDTF">2025-07-19T16:20:43Z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eyJoZGlkIjoiOGJmMDA2NGQyMzZlNjM5MzA0YmFjNTc5NjdkZmMxODQiLCJ1c2VySWQiOiIyODc2ODc0NDUifQ==</vt:lpwstr>
  </property>
  <property fmtid="{D5CDD505-2E9C-101B-9397-08002B2CF9AE}" pid="3" name="KSOProductBuildVer">
    <vt:lpwstr>2052-12.1.0.21915</vt:lpwstr>
  </property>
  <property fmtid="{D5CDD505-2E9C-101B-9397-08002B2CF9AE}" pid="4" name="ICV">
    <vt:lpwstr>648EE2BAEFC542D3826BC15E34CE0CE9_13</vt:lpwstr>
  </property>
</Properties>
</file>