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todologia"/>
    <w:p>
      <w:pPr>
        <w:pStyle w:val="Heading1"/>
      </w:pPr>
      <w:r>
        <w:rPr>
          <w:rFonts w:ascii="Times New Roman" w:hAnsi="Times New Roman"/>
          <w:b/>
          <w:color w:val="000000"/>
        </w:rPr>
        <w:t xml:space="preserve">3. Metodologia</w:t>
      </w:r>
    </w:p>
    <w:bookmarkStart w:id="20" w:name="fonte-de-dados-e-amostra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3.1 Fonte de Dados e Amostra</w:t>
      </w:r>
    </w:p>
    <w:p>
      <w:pPr>
        <w:pStyle w:val="FirstParagraph"/>
        <w:jc w:val="both"/>
      </w:pPr>
      <w:r>
        <w:t xml:space="preserve">Os dados foram obtidos do GitHub Innovation Graph (github.com/github/innovationgraph), base de dados abertos mantida pelo GitHub sob licença CC0-1.0 e extraída em [PREENCHER: data de extração]. A base reúne oito arquivos com métricas de atividade pública na plataforma, agregadas por economia e reportadas a cada trimestre desde o primeiro trimestre de 2020. O termo economia é usado aqui, como na própria base, porque as unidades incluem países e territórios, como Hong Kong. A mesma base foi usada por Juhász et al. (2026) para medir a complexidade de software das nações e por Quispe e Grijalba (2024) para estimar o efeito da disponibilização do ChatGPT sobre a atividade de desenvolvimento, o que a torna uma fonte já validada na literatura para o tipo de pergunta investigada aqui.</w:t>
      </w:r>
    </w:p>
    <w:p>
      <w:pPr>
        <w:pStyle w:val="BodyText"/>
        <w:jc w:val="both"/>
      </w:pPr>
      <w:r>
        <w:t xml:space="preserve">Por definição do provedor, uma métrica só é publicada para uma economia em um trimestre quando 100 ou mais desenvolvedores únicos realizaram a atividade correspondente naquele período. Economias pequenas, portanto, aparecem e desaparecem da base conforme cruzam esse limiar, o que produz um painel desbalanceado, ou seja, um painel em que nem todas as unidades são observadas em todos os períodos. A base traz 193 economias entre 2020Q1 e 2026Q1 (25 trimestres). Para o modelo principal, foram mantidas as 165 economias com pelo menos 20 dos 25 trimestres possíveis, critério que preserva a maior parte da cobertura geográfica sem incluir séries curtas demais para estimar um efeito próprio de cada economia.</w:t>
      </w:r>
    </w:p>
    <w:p>
      <w:pPr>
        <w:pStyle w:val="BodyText"/>
        <w:jc w:val="both"/>
      </w:pPr>
      <w:r>
        <w:t xml:space="preserve">Dois cuidados de tratamento merecem registro. O primeiro: o código ISO 3166-1 alpha-2 da Namíbia (NA) é lido como valor ausente pela configuração padrão da biblioteca pandas, o que excluía silenciosamente essa economia; a leitura foi configurada para tratar apenas células vazias como ausentes, e a Namíbia foi mantida em todas as análises. O segundo: a base inclui a União Europeia (EU) como um agregado dos países membros, que também aparecem individualmente. Para evitar que a atividade de Alemanha, França ou Itália fosse contada duas vezes, o agregado EU foi excluído de todas as análises.</w:t>
      </w:r>
    </w:p>
    <w:bookmarkEnd w:id="20"/>
    <w:bookmarkStart w:id="21" w:name="variáveis-de-análise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3.2 Variáveis de Análise</w:t>
      </w:r>
    </w:p>
    <w:p>
      <w:pPr>
        <w:pStyle w:val="FirstParagraph"/>
        <w:jc w:val="both"/>
      </w:pPr>
      <w:r>
        <w:t xml:space="preserve">Quatro variáveis do Innovation Graph compõem o núcleo da análise, e três variáveis adicionais sustentam as análises de robustez e o estudo de caso do Brasil. A Tabela 1 apresenta cada uma delas, o que mede, como foi operacionalizada e como interpretar seu valor. Como todas as variáveis de crescimento seguem a mesma transformação (Equação 1, na seção 3.3), a tabela indica apenas a variável de origem.</w:t>
      </w:r>
    </w:p>
    <w:p>
      <w:pPr>
        <w:pStyle w:val="BodyText"/>
        <w:jc w:val="both"/>
      </w:pPr>
      <w:r>
        <w:rPr>
          <w:bCs/>
          <w:b/>
        </w:rPr>
        <w:t xml:space="preserve">Tabela 1</w:t>
      </w:r>
    </w:p>
    <w:p>
      <w:pPr>
        <w:pStyle w:val="BodyText"/>
        <w:jc w:val="both"/>
      </w:pPr>
      <w:r>
        <w:rPr>
          <w:iCs/>
          <w:i/>
        </w:rPr>
        <w:t xml:space="preserve">Variáveis de Análise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6" w:color="000000"/>
          <w:bottom w:val="single" w:sz="6" w:color="000000"/>
          <w:left w:val="nil"/>
          <w:right w:val="nil"/>
          <w:insideH w:val="nil"/>
          <w:insideV w:val="nil"/>
        </w:tblBorders>
      </w:tblPr>
      <w:tblGrid>
        <w:gridCol w:w="2608"/>
        <w:gridCol w:w="2381"/>
        <w:gridCol w:w="2381"/>
        <w:gridCol w:w="1928"/>
      </w:tblGrid>
      <w:tr>
        <w:trPr>
          <w:tblHeader w:val="true"/>
        </w:trPr>
        <w:tc>
          <w:tcPr>
            <w:tcW w:type="dxa" w:w="2608"/>
            <w:tcBorders>
              <w:bottom w:val="single" w:sz="6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Variável</w:t>
            </w:r>
          </w:p>
        </w:tc>
        <w:tc>
          <w:tcPr>
            <w:tcW w:type="dxa" w:w="2381"/>
            <w:tcBorders>
              <w:bottom w:val="single" w:sz="6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Descrição</w:t>
            </w:r>
          </w:p>
        </w:tc>
        <w:tc>
          <w:tcPr>
            <w:tcW w:type="dxa" w:w="2381"/>
            <w:tcBorders>
              <w:bottom w:val="single" w:sz="6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Operacionalização</w:t>
            </w:r>
          </w:p>
        </w:tc>
        <w:tc>
          <w:tcPr>
            <w:tcW w:type="dxa" w:w="1928"/>
            <w:tcBorders>
              <w:bottom w:val="single" w:sz="6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Papel no estudo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organizations_growth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número de contas do tipo Organization associadas à economia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a</w:t>
            </w:r>
            <w:r>
              <w:t xml:space="preserve"> </w:t>
            </w:r>
            <w:r>
              <w:rPr>
                <w:iCs/>
                <w:i/>
              </w:rPr>
              <w:t xml:space="preserve">organizations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Variável dependente de todos os modelos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git_pushes_growth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número de operações de envio de código (push)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a</w:t>
            </w:r>
            <w:r>
              <w:t xml:space="preserve"> </w:t>
            </w:r>
            <w:r>
              <w:rPr>
                <w:iCs/>
                <w:i/>
              </w:rPr>
              <w:t xml:space="preserve">git_pushes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Variável independente do modelo principal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developers_growth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número de contas de desenvolvedor, excluídos bots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a</w:t>
            </w:r>
            <w:r>
              <w:t xml:space="preserve"> </w:t>
            </w:r>
            <w:r>
              <w:rPr>
                <w:iCs/>
                <w:i/>
              </w:rPr>
              <w:t xml:space="preserve">developers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Variável independente nos testes de Hausman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repositories_growth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número de repositórios, de organizações e de usuários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a</w:t>
            </w:r>
            <w:r>
              <w:t xml:space="preserve"> </w:t>
            </w:r>
            <w:r>
              <w:rPr>
                <w:iCs/>
                <w:i/>
              </w:rPr>
              <w:t xml:space="preserve">repositories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Variável independente nos testes de Hausman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ai_topic_engagement_growth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da soma de desenvolvedores ativos em 31 tópicos de IA generativa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à soma de</w:t>
            </w:r>
            <w:r>
              <w:t xml:space="preserve"> </w:t>
            </w:r>
            <w:r>
              <w:rPr>
                <w:iCs/>
                <w:i/>
              </w:rPr>
              <w:t xml:space="preserve">num_pushers</w:t>
            </w:r>
            <w:r>
              <w:t xml:space="preserve"> </w:t>
            </w:r>
            <w:r>
              <w:t xml:space="preserve">dos tópicos do Apêndice A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Robustez: medida específica de IA generativa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ai_topic_max_growth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maior número de desenvolvedores ativos em um único tópico de IA generativa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ao máximo de</w:t>
            </w:r>
            <w:r>
              <w:t xml:space="preserve"> </w:t>
            </w:r>
            <w:r>
              <w:rPr>
                <w:iCs/>
                <w:i/>
              </w:rPr>
              <w:t xml:space="preserve">num_pushers</w:t>
            </w:r>
            <w:r>
              <w:t xml:space="preserve"> </w:t>
            </w:r>
            <w:r>
              <w:t xml:space="preserve">entre os mesmos tópicos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Robustez: limite inferior sem dupla contagem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languages_growth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da soma de desenvolvedores ativos em Python, TypeScript e JavaScript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à soma de</w:t>
            </w:r>
            <w:r>
              <w:t xml:space="preserve"> </w:t>
            </w:r>
            <w:r>
              <w:rPr>
                <w:iCs/>
                <w:i/>
              </w:rPr>
              <w:t xml:space="preserve">num_pushers</w:t>
            </w:r>
            <w:r>
              <w:t xml:space="preserve"> </w:t>
            </w:r>
            <w:r>
              <w:t xml:space="preserve">das três linguagens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Robustez: medida ampla de atividade associada a IA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tech_growth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Crescimento do número de empresas abertas nas divisões 62 e 63 da CNAE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Equação 1 aplicada à contagem trimestral do CNPJ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Estudo de caso do Brasil: validação externa</w:t>
            </w:r>
          </w:p>
        </w:tc>
      </w:tr>
      <w:tr>
        <w:tc>
          <w:tcPr>
            <w:tcW w:type="dxa" w:w="2608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share_solo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Proporção de aberturas de tecnologia com zero ou um sócio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t xml:space="preserve">Aberturas solo dividido pelo total de aberturas, × 100</w:t>
            </w:r>
          </w:p>
        </w:tc>
        <w:tc>
          <w:tcPr>
            <w:tcW w:type="dxa" w:w="1928"/>
          </w:tcPr>
          <w:p>
            <w:pPr>
              <w:pStyle w:val="Compact"/>
              <w:jc w:val="left"/>
            </w:pPr>
            <w:r>
              <w:t xml:space="preserve">Estudo de caso do Brasil: empreendedorismo individual</w:t>
            </w:r>
          </w:p>
        </w:tc>
      </w:tr>
    </w:tbl>
    <w:p>
      <w:pPr>
        <w:pStyle w:val="BodyText"/>
        <w:jc w:val="both"/>
      </w:pPr>
      <w:r>
        <w:rPr>
          <w:iCs/>
          <w:i/>
        </w:rPr>
        <w:t xml:space="preserve">Nota.</w:t>
      </w:r>
      <w:r>
        <w:t xml:space="preserve"> </w:t>
      </w:r>
      <w:r>
        <w:t xml:space="preserve">Todas as variáveis de crescimento são expressas em pontos percentuais, com unidade economia-trimestre (Brasil-trimestre no estudo de caso). Valores positivos indicam expansão em relação ao mesmo trimestre do ano anterior. CNAE = Classificação Nacional de Atividades Econômicas; CNPJ = Cadastro Nacional da Pessoa Jurídica. Elaborado pelo autor com base em GitHub Innovation Graph e Receita Federal do Brasil.</w:t>
      </w:r>
    </w:p>
    <w:p>
      <w:pPr>
        <w:pStyle w:val="BodyText"/>
        <w:jc w:val="both"/>
      </w:pPr>
      <w:r>
        <w:t xml:space="preserve">A escolha de</w:t>
      </w:r>
      <w:r>
        <w:t xml:space="preserve"> </w:t>
      </w:r>
      <w:r>
        <w:rPr>
          <w:iCs/>
          <w:i/>
        </w:rPr>
        <w:t xml:space="preserve">organizations_growth</w:t>
      </w:r>
      <w:r>
        <w:t xml:space="preserve"> </w:t>
      </w:r>
      <w:r>
        <w:t xml:space="preserve">como variável dependente merece justificativa. No GitHub, a conta do tipo Organization é distinta da conta individual: agrupa repositórios sob uma entidade coletiva (empresa, projeto ou equipe) e exige um passo deliberado de formalização. Por isso, ela é tratada aqui como indicador de formação de estruturas organizacionais de desenvolvimento de software, o mais próximo de empreendedorismo tecnológico que a base permite observar. Essa escolha é validada externamente no estudo de caso do Brasil (seção 3.9), que compara a variável com a abertura efetiva de empresas de tecnologia registrada pela Receita Federal.</w:t>
      </w:r>
    </w:p>
    <w:p>
      <w:pPr>
        <w:pStyle w:val="BodyText"/>
        <w:jc w:val="both"/>
      </w:pPr>
      <w:r>
        <w:t xml:space="preserve">As duas medidas baseadas em tópicos exigem uma explicação adicional. Tópicos são etiquetas atribuídas de forma voluntária pelo mantenedor de um repositório, e a base informa, para cada tópico, o número de desenvolvedores únicos que enviaram código a repositórios com aquela etiqueta. Um mesmo desenvolvedor pode atuar em repositórios de vários tópicos (por exemplo,</w:t>
      </w:r>
      <w:r>
        <w:t xml:space="preserve"> </w:t>
      </w:r>
      <w:r>
        <w:rPr>
          <w:iCs/>
          <w:i/>
        </w:rPr>
        <w:t xml:space="preserve">llm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openai</w:t>
      </w:r>
      <w:r>
        <w:t xml:space="preserve">), de modo que a soma entre tópicos conta essa pessoa mais de uma vez. Por esse motivo,</w:t>
      </w:r>
      <w:r>
        <w:t xml:space="preserve"> </w:t>
      </w:r>
      <w:r>
        <w:rPr>
          <w:iCs/>
          <w:i/>
        </w:rPr>
        <w:t xml:space="preserve">ai_topic_engagement</w:t>
      </w:r>
      <w:r>
        <w:t xml:space="preserve"> </w:t>
      </w:r>
      <w:r>
        <w:t xml:space="preserve">não é interpretada como número de pessoas, mas como índice de intensidade de participação em projetos de IA generativa. O máximo entre tópicos (</w:t>
      </w:r>
      <w:r>
        <w:rPr>
          <w:iCs/>
          <w:i/>
        </w:rPr>
        <w:t xml:space="preserve">ai_topic_max</w:t>
      </w:r>
      <w:r>
        <w:t xml:space="preserve">) não sofre dupla contagem e funciona como limite inferior do número de desenvolvedores distintos envolvidos. Estimar o modelo com as duas medidas permite verificar se o resultado depende da dupla contagem.</w:t>
      </w:r>
    </w:p>
    <w:bookmarkEnd w:id="21"/>
    <w:bookmarkStart w:id="22" w:name="X81081e8521031be3674122498d4630600fde2e7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3.3 Tratamento das Séries e Definição das Eras</w:t>
      </w:r>
    </w:p>
    <w:p>
      <w:pPr>
        <w:pStyle w:val="FirstParagraph"/>
        <w:jc w:val="both"/>
      </w:pPr>
      <w:r>
        <w:t xml:space="preserve">As quatro variáveis centrais são contagens acumuladas que crescem de forma quase monotônica ao longo do tempo, o que as torna não estacionárias, isto é, com média que se desloca ao longo do período. Regredir os níveis dessas séries entre si tende a produzir coeficientes estatisticamente significativos mesmo sem relação real entre as variáveis, fenômeno conhecido como regressão espúria (Granger &amp; Newbold, 1974). Além disso, uma inspeção dos tópicos de maior volume revelou tópicos ligados a eventos de calendário, em especial o</w:t>
      </w:r>
      <w:r>
        <w:t xml:space="preserve"> </w:t>
      </w:r>
      <w:r>
        <w:rPr>
          <w:iCs/>
          <w:i/>
        </w:rPr>
        <w:t xml:space="preserve">hacktoberfest</w:t>
      </w:r>
      <w:r>
        <w:t xml:space="preserve">, concentrado todo mês de outubro, o que indica um componente sazonal na atividade da plataforma.</w:t>
      </w:r>
    </w:p>
    <w:p>
      <w:pPr>
        <w:pStyle w:val="BodyText"/>
        <w:jc w:val="both"/>
      </w:pPr>
      <w:r>
        <w:t xml:space="preserve">Os dois problemas foram tratados com a mesma transformação: a taxa de crescimento ano sobre ano, que compara cada trimestre ao mesmo trimestre do ano anterior dentro da série de cada economia. Esse procedimento remove efeitos sazonais recorrentes e é padrão entre institutos de estatística e bancos centrais (Federal Reserve Bank of Dallas, 2021; International Monetary Fund, 2017). Para uma variável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da economia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no trimestre</w:t>
      </w:r>
      <w:r>
        <w:t xml:space="preserve"> </w:t>
      </w:r>
      <w:r>
        <w:rPr>
          <w:iCs/>
          <w:i/>
        </w:rPr>
        <w:t xml:space="preserve">t</w:t>
      </w:r>
      <w:r>
        <w:t xml:space="preserve">, a taxa é calculada conforme a Equação 1.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X</m:t>
              </m:r>
              <m:r>
                <m:rPr>
                  <m:sty m:val="i"/>
                </m:rPr>
                <m:t>_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w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jc w:val="both"/>
      </w:pPr>
      <w:r>
        <w:t xml:space="preserve">em que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o valor da variável no trimestre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rPr>
          <w:vertAlign w:val="subscript"/>
        </w:rPr>
        <w:t xml:space="preserve">−4</w:t>
      </w:r>
      <w:r>
        <w:t xml:space="preserve"> </w:t>
      </w:r>
      <w:r>
        <w:t xml:space="preserve">é o valor no mesmo trimestre do ano anterior. Um valor de 20, por exemplo, indica que a variável é 20% maior do que era um ano antes.</w:t>
      </w:r>
    </w:p>
    <w:p>
      <w:pPr>
        <w:pStyle w:val="BodyText"/>
        <w:jc w:val="both"/>
      </w:pPr>
      <w:r>
        <w:t xml:space="preserve">O trimestre de comparação é identificado pelo calendário, e não pela posição da linha na série. A distinção importa em um painel desbalanceado: se uma economia não tem dado em algum trimestre, deslocar quatro linhas compararia trimestres que não se correspondem. Quando o trimestre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− 4 não existe, a observação é descartada. Por construção, os quatro primeiros trimestres de cada série também são perdidos. Das 4.079 observações economia-trimestre das 165 economias, 3.418 têm taxa de crescimento calculável para as duas variáveis do modelo principal. Dessas, sete foram excluídas por apresentarem crescimento absoluto acima de 500%, valor que ocorre quando uma economia cruza o limiar de publicação entre os dois trimestres comparados e produz variação extrema por efeito de base pequena. A amostra final do modelo principal tem 3.411 observações.</w:t>
      </w:r>
    </w:p>
    <w:p>
      <w:pPr>
        <w:pStyle w:val="BodyText"/>
        <w:jc w:val="both"/>
      </w:pPr>
      <w:r>
        <w:t xml:space="preserve">Para testar se a associação muda ao longo do tempo, o período foi dividido em três eras, delimitadas por marcos públicos de lançamento de ferramentas de IA generativa: (i) pré-ChatGPT, até 2022Q3; (ii) pós-ChatGPT, de 2022Q4, trimestre do lançamento público do ChatGPT em 30 de novembro de 2022, até 2025Q1; e (iii) era dos agentes autônomos de codificação, a partir de 2025Q2, quando ferramentas como Claude Code e Codex CLI passaram a ter disponibilidade geral. Como a data de corte da terceira era envolve alguma arbitrariedade, sua sensibilidade é testada (seção 3.7).</w:t>
      </w:r>
    </w:p>
    <w:bookmarkEnd w:id="22"/>
    <w:bookmarkStart w:id="23" w:name="X533619511ae597647c53603c2c68984adccb141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3.4 Etapas da Análise e Análise de Correlação</w:t>
      </w:r>
    </w:p>
    <w:p>
      <w:pPr>
        <w:pStyle w:val="FirstParagraph"/>
        <w:jc w:val="both"/>
      </w:pPr>
      <w:r>
        <w:t xml:space="preserve">A análise seguiu três etapas. Na primeira, mediu-se a associação bruta entre as variáveis por coeficientes de correlação. Na segunda, estimou-se a associação em um modelo de regressão em painel, que controla características próprias de cada economia e choques comuns a cada trimestre, e testou-se se ela varia entre eras. Na terceira, compararam-se as médias de crescimento por era, para verificar se a associação estimada corresponde a uma mudança de patamar na variável dependente ou apenas a covariação estatística.</w:t>
      </w:r>
    </w:p>
    <w:p>
      <w:pPr>
        <w:pStyle w:val="BodyText"/>
        <w:jc w:val="both"/>
      </w:pPr>
      <w:r>
        <w:t xml:space="preserve">A primeira etapa usou o coeficiente de correlação de Pearson, que mede a força da relação linear entre duas variáveis, e o coeficiente de Spearman, que mede a mesma relação sobre as posições ordenadas dos valores. Os dois variam de −1 a 1: valores próximos de 1 indicam que as variáveis sobem juntas, valores próximos de 0 indicam ausência de relação. O coeficiente de Spearman foi usado como checagem porque as variáveis de crescimento apresentam assimetria positiva e excesso de curtose, isto é, caudas longas com valores extremos, que podem distorcer o coeficiente de Pearson. As correlações foram calculadas entre todos os pares das quatro variáveis centrais, organizadas em matriz, o que permite comparar a força relativa de cada relação, não só a do par usado no modelo principal.</w:t>
      </w:r>
    </w:p>
    <w:p>
      <w:pPr>
        <w:pStyle w:val="BodyText"/>
        <w:jc w:val="both"/>
      </w:pPr>
      <w:r>
        <w:t xml:space="preserve">Todas as estimações foram feitas em Python 3, com as bibliotecas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linearmodels</w:t>
      </w:r>
      <w:r>
        <w:t xml:space="preserve"> </w:t>
      </w:r>
      <w:r>
        <w:t xml:space="preserve">(versão 7.0, classes</w:t>
      </w:r>
      <w:r>
        <w:t xml:space="preserve"> </w:t>
      </w:r>
      <w:r>
        <w:rPr>
          <w:rStyle w:val="VerbatimChar"/>
        </w:rPr>
        <w:t xml:space="preserve">PanelOLS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RandomEffects</w:t>
      </w:r>
      <w:r>
        <w:t xml:space="preserve">). O script completo, que reproduz todas as tabelas e testes a partir dos arquivos originais, está disponível em https://github.com/CaduPereira0921/artigo_genAI_datascience.</w:t>
      </w:r>
    </w:p>
    <w:bookmarkEnd w:id="23"/>
    <w:bookmarkStart w:id="24" w:name="X6599edbbe22d9decb513e662bd38ab4f9c46d9a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3.5 Modelo de Regressão em Painel com Efeitos Fixos</w:t>
      </w:r>
    </w:p>
    <w:p>
      <w:pPr>
        <w:pStyle w:val="FirstParagraph"/>
        <w:jc w:val="both"/>
      </w:pPr>
      <w:r>
        <w:t xml:space="preserve">Dados em painel acompanham as mesmas unidades (aqui, economias) ao longo de vários períodos (aqui, trimestres). Essa estrutura permite separar dois tipos de variação: a variação entre economias, que reflete diferenças permanentes entre elas, e a variação dentro de cada economia ao longo do tempo (Wooldridge, 2010). A vantagem para este estudo é direta. Economias com cultura de desenvolvimento mais forte ou infraestrutura digital melhor podem ter, ao mesmo tempo, mais atividade de código e mais formação de organizações, sem que uma cause a outra. Um modelo de efeitos fixos neutraliza esse tipo de diferença permanente, mesmo quando ela não é observada.</w:t>
      </w:r>
    </w:p>
    <w:p>
      <w:pPr>
        <w:pStyle w:val="BodyText"/>
        <w:jc w:val="both"/>
      </w:pPr>
      <w:r>
        <w:t xml:space="preserve">A especificação geral é dada pela Equação 2.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_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w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  <w:jc w:val="both"/>
      </w:pPr>
      <w:r>
        <w:t xml:space="preserve">em que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a variável independente da especificação (</w:t>
      </w:r>
      <w:r>
        <w:rPr>
          <w:iCs/>
          <w:i/>
        </w:rPr>
        <w:t xml:space="preserve">git_pushes_growth</w:t>
      </w:r>
      <w:r>
        <w:t xml:space="preserve"> </w:t>
      </w:r>
      <w:r>
        <w:t xml:space="preserve">no modelo principal); β é o coeficiente de interesse, que indica quantos pontos percentuais</w:t>
      </w:r>
      <w:r>
        <w:t xml:space="preserve"> </w:t>
      </w:r>
      <w:r>
        <w:rPr>
          <w:iCs/>
          <w:i/>
        </w:rPr>
        <w:t xml:space="preserve">organizations_growth</w:t>
      </w:r>
      <w:r>
        <w:t xml:space="preserve"> </w:t>
      </w:r>
      <w:r>
        <w:t xml:space="preserve">varia, em média, quando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aumenta um ponto percentual;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é o efeito fixo de economia, que absorve tudo o que é constante em cada economia ao longo do período; τ</w:t>
      </w:r>
      <w:r>
        <w:rPr>
          <w:iCs/>
          <w:i/>
          <w:vertAlign w:val="subscript"/>
        </w:rPr>
        <w:t xml:space="preserve">t</w:t>
      </w:r>
      <w:r>
        <w:t xml:space="preserve"> </w:t>
      </w:r>
      <w:r>
        <w:t xml:space="preserve">é o efeito fixo de trimestre, que absorve choques comuns a todas as economias em um mesmo trimestre, como uma recessão global ou o próprio lançamento de uma ferramenta usada no mundo todo; e ε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o erro aleatório. Por incluir os dois efeitos, o modelo é chamado de efeitos fixos duplos (</w:t>
      </w:r>
      <w:r>
        <w:rPr>
          <w:iCs/>
          <w:i/>
        </w:rPr>
        <w:t xml:space="preserve">two-way fixed effects</w:t>
      </w:r>
      <w:r>
        <w:t xml:space="preserve">).</w:t>
      </w:r>
    </w:p>
    <w:p>
      <w:pPr>
        <w:pStyle w:val="BodyText"/>
        <w:jc w:val="both"/>
      </w:pPr>
      <w:r>
        <w:t xml:space="preserve">O estimador elimina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por meio da transformação</w:t>
      </w:r>
      <w:r>
        <w:t xml:space="preserve"> </w:t>
      </w:r>
      <w:r>
        <w:rPr>
          <w:iCs/>
          <w:i/>
        </w:rPr>
        <w:t xml:space="preserve">within</w:t>
      </w:r>
      <w:r>
        <w:t xml:space="preserve">, que subtrai de cada observação a média da própria economia ao longo do tempo (Equação 3).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τ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  <w:jc w:val="both"/>
      </w:pPr>
      <w:r>
        <w:t xml:space="preserve">em que</w:t>
      </w:r>
      <w:r>
        <w:t xml:space="preserve"> </w:t>
      </w:r>
      <w:r>
        <w:rPr>
          <w:iCs/>
          <w:i/>
        </w:rPr>
        <w:t xml:space="preserve">y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</w:t>
      </w:r>
      <w:r>
        <w:t xml:space="preserve"> </w:t>
      </w:r>
      <w:r>
        <w:rPr>
          <w:iCs/>
          <w:i/>
        </w:rPr>
        <w:t xml:space="preserve">organizations_growth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e a barra indica a média da economia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nos trimestres em que ela é observada. Como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é constante no tempo, ele desaparece da equação. O β resultante é estimado apenas a partir de como cada economia se desvia da própria média: ou seja, responde se, nos trimestres em que uma economia teve crescimento de atividade acima do seu padrão, ela também teve crescimento de organizações acima do seu padrão. Os efeitos de trimestre τ</w:t>
      </w:r>
      <w:r>
        <w:rPr>
          <w:iCs/>
          <w:i/>
          <w:vertAlign w:val="subscript"/>
        </w:rPr>
        <w:t xml:space="preserve">t</w:t>
      </w:r>
      <w:r>
        <w:t xml:space="preserve"> </w:t>
      </w:r>
      <w:r>
        <w:t xml:space="preserve">são estimados por variáveis indicadoras (</w:t>
      </w:r>
      <w:r>
        <w:rPr>
          <w:iCs/>
          <w:i/>
        </w:rPr>
        <w:t xml:space="preserve">dummies</w:t>
      </w:r>
      <w:r>
        <w:t xml:space="preserve">) de trimestre, e o modelo é ajustado por Mínimos Quadrados Ordinários sobre as variáveis transformadas. A transformação funciona em painel desbalanceado, porque cada média é calculada apenas sobre os trimestres disponíveis da economia.</w:t>
      </w:r>
    </w:p>
    <w:p>
      <w:pPr>
        <w:pStyle w:val="BodyText"/>
        <w:jc w:val="both"/>
      </w:pPr>
      <w:r>
        <w:t xml:space="preserve">Os erros padrão foram clusterizados por economia. Observações de uma mesma economia em trimestres seguidos tendem a ter erros correlacionados, e ignorar essa correlação serial leva a erros padrão subestimados e, portanto, a valores de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artificialmente baixos (Petersen, 2009). A clusterização permite qualquer padrão de correlação entre os erros de uma mesma economia e é adequada aqui, dado o número elevado de clusters (165). A relevância dos efeitos fixos foi verificada pelo teste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poolability</w:t>
      </w:r>
      <w:r>
        <w:t xml:space="preserve">, que compara o modelo com efeitos fixos a uma regressão agrupada simples; rejeitar a hipótese nula indica que as economias diferem de forma sistemática e que os efeitos fixos são necessários. O desenho segue o precedente de Zhang et al. (2023), que usaram painel com efeitos fixos sobre 110 países para associar tecnologia digital nacional a empreendedorismo nacional.</w:t>
      </w:r>
    </w:p>
    <w:p>
      <w:pPr>
        <w:pStyle w:val="BodyText"/>
        <w:jc w:val="both"/>
      </w:pPr>
      <w:r>
        <w:t xml:space="preserve">O modelo foi estimado em duas versões. Na versão contemporânea,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medido no mesmo trimestre da variável dependente. Na versão defasada,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substituído por</w:t>
      </w:r>
      <w:r>
        <w:t xml:space="preserve"> </w:t>
      </w:r>
      <w:r>
        <w:rPr>
          <w:iCs/>
          <w:i/>
        </w:rPr>
        <w:t xml:space="preserve">x</w:t>
      </w:r>
      <w:r>
        <w:rPr>
          <w:iCs/>
          <w:i/>
          <w:vertAlign w:val="subscript"/>
        </w:rPr>
        <w:t xml:space="preserve">i,t</w:t>
      </w:r>
      <w:r>
        <w:rPr>
          <w:vertAlign w:val="subscript"/>
        </w:rPr>
        <w:t xml:space="preserve">−1</w:t>
      </w:r>
      <w:r>
        <w:t xml:space="preserve">, o valor do trimestre anterior, também identificado pelo calendário. A versão defasada responde se a atividade de código antecede a formação de organizações, o que reduz, sem eliminar, a possibilidade de causalidade reversa.</w:t>
      </w:r>
    </w:p>
    <w:bookmarkEnd w:id="24"/>
    <w:bookmarkStart w:id="25" w:name="efeitos-aleatórios-e-teste-de-hausman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3.6 Efeitos Aleatórios e Teste de Hausman</w:t>
      </w:r>
    </w:p>
    <w:p>
      <w:pPr>
        <w:pStyle w:val="FirstParagraph"/>
        <w:jc w:val="both"/>
      </w:pPr>
      <w:r>
        <w:t xml:space="preserve">A alternativa clássica ao modelo de efeitos fixos é o modelo de efeitos aleatórios. Ele trata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como uma variável aleatória, e não como um parâmetro a ser eliminado, e aproveita também a variação entre economias, o que o torna mais eficiente, isto é, com erros padrão menores. Essa vantagem depende de uma hipótese forte: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não pode ser correlacionado com a variável independente (Wooldridge, 2010). Se economias com maior crescimento de atividade de código forem também, de forma permanente, economias com maior formação de organizações, a hipótese falha e o estimador de efeitos aleatórios fica viesado.</w:t>
      </w:r>
    </w:p>
    <w:p>
      <w:pPr>
        <w:pStyle w:val="BodyText"/>
        <w:jc w:val="both"/>
      </w:pPr>
      <w:r>
        <w:t xml:space="preserve">O estimador de efeitos aleatórios aplica uma transformação parcial, chamada de</w:t>
      </w:r>
      <w:r>
        <w:t xml:space="preserve"> </w:t>
      </w:r>
      <w:r>
        <w:rPr>
          <w:iCs/>
          <w:i/>
        </w:rPr>
        <w:t xml:space="preserve">quasi-demeaning</w:t>
      </w:r>
      <w:r>
        <w:t xml:space="preserve">, que subtrai apenas uma fração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da média de cada economia (Equação 4).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β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τ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  <w:jc w:val="both"/>
      </w:pPr>
      <w:r>
        <w:t xml:space="preserve">em que β</w:t>
      </w:r>
      <w:r>
        <w:rPr>
          <w:vertAlign w:val="subscript"/>
        </w:rPr>
        <w:t xml:space="preserve">0</w:t>
      </w:r>
      <w:r>
        <w:t xml:space="preserve"> </w:t>
      </w:r>
      <w:r>
        <w:t xml:space="preserve">é o intercepto e</w:t>
      </w:r>
      <w:r>
        <w:t xml:space="preserve"> </w:t>
      </w:r>
      <w:r>
        <w:rPr>
          <w:iCs/>
          <w:i/>
        </w:rPr>
        <w:t xml:space="preserve">u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=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+ ε</w:t>
      </w:r>
      <w:r>
        <w:rPr>
          <w:iCs/>
          <w:i/>
          <w:vertAlign w:val="subscript"/>
        </w:rPr>
        <w:t xml:space="preserve">i,t</w:t>
      </w:r>
      <w:r>
        <w:t xml:space="preserve"> </w:t>
      </w:r>
      <w:r>
        <w:t xml:space="preserve">é o erro composto. A fração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é calculada conforme a Equação 5.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t>ε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ε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α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  <w:jc w:val="both"/>
      </w:pPr>
      <w:r>
        <w:t xml:space="preserve">em que σ²</w:t>
      </w:r>
      <w:r>
        <w:rPr>
          <w:vertAlign w:val="subscript"/>
        </w:rPr>
        <w:t xml:space="preserve">ε</w:t>
      </w:r>
      <w:r>
        <w:t xml:space="preserve"> </w:t>
      </w:r>
      <w:r>
        <w:t xml:space="preserve">é a variância do erro idiossincrático, σ²</w:t>
      </w:r>
      <w:r>
        <w:rPr>
          <w:vertAlign w:val="subscript"/>
        </w:rPr>
        <w:t xml:space="preserve">α</w:t>
      </w:r>
      <w:r>
        <w:t xml:space="preserve"> </w:t>
      </w:r>
      <w:r>
        <w:t xml:space="preserve">é a variância do efeito de economia e</w:t>
      </w:r>
      <w:r>
        <w:t xml:space="preserve"> </w:t>
      </w:r>
      <w:r>
        <w:rPr>
          <w:iCs/>
          <w:i/>
        </w:rPr>
        <w:t xml:space="preserve">T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é o número de trimestres observados da economia</w:t>
      </w:r>
      <w:r>
        <w:t xml:space="preserve"> </w:t>
      </w:r>
      <w:r>
        <w:rPr>
          <w:iCs/>
          <w:i/>
        </w:rPr>
        <w:t xml:space="preserve">i</w:t>
      </w:r>
      <w:r>
        <w:t xml:space="preserve">. As variâncias foram estimadas pelo método de Swamy e Arora (1972). A leitura de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é intuitiva: quando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= 0, o modelo equivale a uma regressão agrupada, que ignora as diferenças entre economias; quando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= 1, equivale ao modelo de efeitos fixos. Quanto maior a parcela da variância total explicada por diferenças permanentes entre economias, mais θ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se aproxima de 1.</w:t>
      </w:r>
    </w:p>
    <w:p>
      <w:pPr>
        <w:pStyle w:val="BodyText"/>
        <w:jc w:val="both"/>
      </w:pPr>
      <w:r>
        <w:t xml:space="preserve">O teste de especificação de Hausman (1978) decide entre os dois modelos. Sua lógica é a seguinte: se a hipótese do modelo de efeitos aleatórios for válida, os dois estimadores são consistentes e devem produzir coeficientes parecidos; se não for, só o de efeitos fixos é consistente, e os coeficientes se afastam. A estatística compara essa diferença com a diferença entre as variâncias dos dois estimadores (Equação 6).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F</m:t>
                          </m:r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F</m:t>
                      </m:r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R</m:t>
                      </m:r>
                      <m:r>
                        <m:t>E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∼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  <w:jc w:val="both"/>
      </w:pPr>
      <w:r>
        <w:t xml:space="preserve">em que β̂</w:t>
      </w:r>
      <w:r>
        <w:rPr>
          <w:vertAlign w:val="subscript"/>
        </w:rPr>
        <w:t xml:space="preserve">FE</w:t>
      </w:r>
      <w:r>
        <w:t xml:space="preserve"> </w:t>
      </w:r>
      <w:r>
        <w:t xml:space="preserve">e β̂</w:t>
      </w:r>
      <w:r>
        <w:rPr>
          <w:vertAlign w:val="subscript"/>
        </w:rPr>
        <w:t xml:space="preserve">RE</w:t>
      </w:r>
      <w:r>
        <w:t xml:space="preserve"> </w:t>
      </w:r>
      <w:r>
        <w:t xml:space="preserve">são os coeficientes de interesse estimados por efeitos fixos (</w:t>
      </w:r>
      <w:r>
        <w:rPr>
          <w:iCs/>
          <w:i/>
        </w:rPr>
        <w:t xml:space="preserve">fixed effects</w:t>
      </w:r>
      <w:r>
        <w:t xml:space="preserve">, FE) e por efeitos aleatórios (</w:t>
      </w:r>
      <w:r>
        <w:rPr>
          <w:iCs/>
          <w:i/>
        </w:rPr>
        <w:t xml:space="preserve">random effects</w:t>
      </w:r>
      <w:r>
        <w:t xml:space="preserve">, RE). Sob a hipótese nula de ausência de correlação entre α</w:t>
      </w:r>
      <w:r>
        <w:rPr>
          <w:iCs/>
          <w:i/>
          <w:vertAlign w:val="subscript"/>
        </w:rPr>
        <w:t xml:space="preserve">i</w:t>
      </w:r>
      <w:r>
        <w:t xml:space="preserve"> </w:t>
      </w:r>
      <w:r>
        <w:t xml:space="preserve">e a variável independente,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segue distribuição qui-quadrado com um grau de liberdade. Um valor de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abaixo de 0,05 rejeita a hipótese nula e indica que o modelo de efeitos fixos é necessário; um valor acima indica que o de efeitos aleatórios é tecnicamente admissível.</w:t>
      </w:r>
    </w:p>
    <w:p>
      <w:pPr>
        <w:pStyle w:val="BodyText"/>
        <w:jc w:val="both"/>
      </w:pPr>
      <w:r>
        <w:t xml:space="preserve">Três cuidados de implementação foram adotados. Primeiro, os dois modelos incluem as mesmas</w:t>
      </w:r>
      <w:r>
        <w:t xml:space="preserve"> </w:t>
      </w:r>
      <w:r>
        <w:rPr>
          <w:iCs/>
          <w:i/>
        </w:rPr>
        <w:t xml:space="preserve">dummies</w:t>
      </w:r>
      <w:r>
        <w:t xml:space="preserve"> </w:t>
      </w:r>
      <w:r>
        <w:t xml:space="preserve">de trimestre, de modo que a comparação recai apenas sobre o tratamento do efeito de economia. Segundo, as variâncias da Equação 6 foram calculadas com a fórmula convencional, e não com erros clusterizados, porque a derivação do teste supõe que o estimador de efeitos aleatórios seja eficiente sob a hipótese nula, o que deixa de valer com correção para correlação serial (Wooldridge, 2010); os erros clusterizados foram mantidos na inferência sobre os coeficientes. Terceiro, os dois modelos foram estimados sobre a mesma amostra completa de 165 economias, já que o estimador de Swamy e Arora aceita painel desbalanceado. O teste foi aplicado a três especificações univariadas, com</w:t>
      </w:r>
      <w:r>
        <w:t xml:space="preserve"> </w:t>
      </w:r>
      <w:r>
        <w:rPr>
          <w:iCs/>
          <w:i/>
        </w:rPr>
        <w:t xml:space="preserve">git_pushes_growth</w:t>
      </w:r>
      <w:r>
        <w:t xml:space="preserve">,</w:t>
      </w:r>
      <w:r>
        <w:t xml:space="preserve"> </w:t>
      </w:r>
      <w:r>
        <w:rPr>
          <w:iCs/>
          <w:i/>
        </w:rPr>
        <w:t xml:space="preserve">developers_growth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repositories_growth</w:t>
      </w:r>
      <w:r>
        <w:t xml:space="preserve"> </w:t>
      </w:r>
      <w:r>
        <w:t xml:space="preserve">como variável independente, em vez de um único modelo com as três. A razão é a colinearidade elevada entre elas (correlação de Pearson entre 0,50 e 0,75; ver seção 4.1), que tornaria instável a estimação conjunta dos coeficientes. As duas últimas especificações também respondem a uma pergunta própria: se a relação entre essas variáveis e</w:t>
      </w:r>
      <w:r>
        <w:t xml:space="preserve"> </w:t>
      </w:r>
      <w:r>
        <w:rPr>
          <w:iCs/>
          <w:i/>
        </w:rPr>
        <w:t xml:space="preserve">organizations_growth</w:t>
      </w:r>
      <w:r>
        <w:t xml:space="preserve">, observada na matriz de correlação, se sustenta quando estimada com controle de heterogeneidade entre economias.</w:t>
      </w:r>
    </w:p>
    <w:bookmarkEnd w:id="25"/>
    <w:bookmarkStart w:id="26" w:name="heterogeneidade-temporal-e-teste-de-wald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3.7 Heterogeneidade Temporal e Teste de Wald</w:t>
      </w:r>
    </w:p>
    <w:p>
      <w:pPr>
        <w:pStyle w:val="FirstParagraph"/>
        <w:jc w:val="both"/>
      </w:pPr>
      <w:r>
        <w:t xml:space="preserve">Para verificar se a associação mudou entre as eras, o coeficiente de</w:t>
      </w:r>
      <w:r>
        <w:t xml:space="preserve"> </w:t>
      </w:r>
      <w:r>
        <w:rPr>
          <w:iCs/>
          <w:i/>
        </w:rPr>
        <w:t xml:space="preserve">git_pushes_growth</w:t>
      </w:r>
      <w:r>
        <w:t xml:space="preserve"> </w:t>
      </w:r>
      <w:r>
        <w:t xml:space="preserve">foi interagido com variáveis indicadoras de era (Equação 7).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_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w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e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_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h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_</m:t>
                  </m:r>
                  <m:r>
                    <m:rPr>
                      <m:sty m:val="i"/>
                    </m:rPr>
                    <m:t>g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w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i"/>
                    </m:rP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sSubSup>
                <m:e>
                  <m:r>
                    <m:t>D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  <w:jc w:val="both"/>
      </w:pPr>
      <w:r>
        <w:t xml:space="preserve">em que</w:t>
      </w:r>
      <w:r>
        <w:t xml:space="preserve"> </w:t>
      </w:r>
      <w:r>
        <w:rPr>
          <w:iCs/>
          <w:i/>
        </w:rPr>
        <w:t xml:space="preserve">D</w:t>
      </w:r>
      <w:r>
        <w:rPr>
          <w:iCs/>
          <w:i/>
          <w:vertAlign w:val="superscript"/>
        </w:rPr>
        <w:t xml:space="preserve">e</w:t>
      </w:r>
      <w:r>
        <w:rPr>
          <w:iCs/>
          <w:i/>
          <w:vertAlign w:val="subscript"/>
        </w:rPr>
        <w:t xml:space="preserve">t</w:t>
      </w:r>
      <w:r>
        <w:t xml:space="preserve"> </w:t>
      </w:r>
      <w:r>
        <w:t xml:space="preserve">vale 1 quando o trimestre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pertence à era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(pré-ChatGPT, pós-ChatGPT ou agentes) e 0 caso contrário, e β</w:t>
      </w:r>
      <w:r>
        <w:rPr>
          <w:iCs/>
          <w:i/>
          <w:vertAlign w:val="subscript"/>
        </w:rPr>
        <w:t xml:space="preserve">e</w:t>
      </w:r>
      <w:r>
        <w:t xml:space="preserve"> </w:t>
      </w:r>
      <w:r>
        <w:t xml:space="preserve">é a associação específica daquela era. Os demais termos são os mesmos da Equação 2. Diferente do modelo com um único β, que produz uma média para todo o período, essa especificação permite que a associação tenha magnitude diferente em cada era.</w:t>
      </w:r>
    </w:p>
    <w:p>
      <w:pPr>
        <w:pStyle w:val="BodyText"/>
        <w:jc w:val="both"/>
      </w:pPr>
      <w:r>
        <w:t xml:space="preserve">Coeficientes com valores distintos não bastam para afirmar que a associação mudou: é preciso testar se a diferença entre eles é estatisticamente significativa. Para isso, usou-se o teste de Wald, que compara a diferença entre dois coeficientes com a incerteza dessa diferença (Equação 8).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g</m:t>
                          </m:r>
                          <m:r>
                            <m:t>e</m:t>
                          </m:r>
                          <m:r>
                            <m:t>n</m:t>
                          </m:r>
                          <m:r>
                            <m:t>t</m:t>
                          </m:r>
                          <m:r>
                            <m:t>e</m:t>
                          </m:r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p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s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∼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</w:p>
    <w:p>
      <w:pPr>
        <w:pStyle w:val="FirstParagraph"/>
        <w:jc w:val="both"/>
      </w:pPr>
      <w:r>
        <w:t xml:space="preserve">em que as variâncias e a covariância vêm da matriz de covariância clusterizada do modelo da Equação 7. Sob a hipótese nula de igualdade entre os coeficientes,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segue distribuição qui-quadrado com um grau de liberdade, e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0,05 indica que a associação mudou de forma significativa entre as duas eras. O mesmo teste foi aplicado aos outros dois pares de eras e, em versão conjunta com dois graus de liberdade, à hipótese de que os três coeficientes são iguais.</w:t>
      </w:r>
    </w:p>
    <w:p>
      <w:pPr>
        <w:pStyle w:val="BodyText"/>
        <w:jc w:val="both"/>
      </w:pPr>
      <w:r>
        <w:t xml:space="preserve">A sensibilidade do corte da era dos agentes foi avaliada reestimando a Equação 7 com cortes alternativos (2024Q4, 2025Q1, 2025Q3 e 2025Q4) e comparando o ajuste pela log-verossimilhança, medida em que valores maiores (menos negativos) indicam ajuste melhor. Por fim, para verificar se a associação corresponde a uma mudança de patamar, as médias de</w:t>
      </w:r>
      <w:r>
        <w:t xml:space="preserve"> </w:t>
      </w:r>
      <w:r>
        <w:rPr>
          <w:iCs/>
          <w:i/>
        </w:rPr>
        <w:t xml:space="preserve">organizations_growth</w:t>
      </w:r>
      <w:r>
        <w:t xml:space="preserve"> </w:t>
      </w:r>
      <w:r>
        <w:t xml:space="preserve">e de</w:t>
      </w:r>
      <w:r>
        <w:t xml:space="preserve"> </w:t>
      </w:r>
      <w:r>
        <w:rPr>
          <w:iCs/>
          <w:i/>
        </w:rPr>
        <w:t xml:space="preserve">git_pushes_growth</w:t>
      </w:r>
      <w:r>
        <w:t xml:space="preserve"> </w:t>
      </w:r>
      <w:r>
        <w:t xml:space="preserve">foram comparadas entre a era pré-ChatGPT e a era dos agentes por teste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de Welch, versão do teste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que não supõe variâncias iguais entre os grupos.</w:t>
      </w:r>
    </w:p>
    <w:bookmarkEnd w:id="26"/>
    <w:bookmarkStart w:id="27" w:name="análises-de-robustez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3.8 Análises de Robustez</w:t>
      </w:r>
    </w:p>
    <w:p>
      <w:pPr>
        <w:pStyle w:val="FirstParagraph"/>
        <w:jc w:val="both"/>
      </w:pPr>
      <w:r>
        <w:t xml:space="preserve">O modelo principal usa</w:t>
      </w:r>
      <w:r>
        <w:t xml:space="preserve"> </w:t>
      </w:r>
      <w:r>
        <w:rPr>
          <w:iCs/>
          <w:i/>
        </w:rPr>
        <w:t xml:space="preserve">git_pushes_growth</w:t>
      </w:r>
      <w:r>
        <w:t xml:space="preserve">, que mede atividade de código em geral, não só atividade ligada a IA generativa. Para verificar se o resultado depende dessa escolha, a Equação 2 foi reestimada com duas medidas alternativas de atividade ligada à tecnologia.</w:t>
      </w:r>
    </w:p>
    <w:p>
      <w:pPr>
        <w:pStyle w:val="BodyText"/>
        <w:jc w:val="both"/>
      </w:pPr>
      <w:r>
        <w:t xml:space="preserve">A primeira usa os tópicos de repositório. A base reporta 1.947 tópicos distintos, e muitos atingem o limiar de publicação só em poucas economias. Seguindo a lógica de Juhász et al. (2026), que restringiram sua análise de robustez aos tópicos de maior número médio de contribuidores, ordenaram-se os tópicos pela média global de desenvolvedores por trimestre ativo, e não pela soma acumulada, que favoreceria tópicos antigos em detrimento de tópicos emergentes. Dentre os 300 primeiros, identificaram-se 29 tópicos ligados especificamente a IA generativa e a codificação agêntica, aos quais se somaram dois tópicos de relevância teórica direta que não atingiram esse corte (</w:t>
      </w:r>
      <w:r>
        <w:rPr>
          <w:iCs/>
          <w:i/>
        </w:rPr>
        <w:t xml:space="preserve">vibe-coding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github-copilot</w:t>
      </w:r>
      <w:r>
        <w:t xml:space="preserve">), totalizando 31 tópicos (Apêndice A). Tópicos de aprendizado de máquina tradicional, como</w:t>
      </w:r>
      <w:r>
        <w:t xml:space="preserve"> </w:t>
      </w:r>
      <w:r>
        <w:rPr>
          <w:iCs/>
          <w:i/>
        </w:rPr>
        <w:t xml:space="preserve">machine-learning</w:t>
      </w:r>
      <w:r>
        <w:t xml:space="preserve">,</w:t>
      </w:r>
      <w:r>
        <w:t xml:space="preserve"> </w:t>
      </w:r>
      <w:r>
        <w:rPr>
          <w:iCs/>
          <w:i/>
        </w:rPr>
        <w:t xml:space="preserve">deep-learning</w:t>
      </w:r>
      <w:r>
        <w:t xml:space="preserve">,</w:t>
      </w:r>
      <w:r>
        <w:t xml:space="preserve"> </w:t>
      </w:r>
      <w:r>
        <w:rPr>
          <w:iCs/>
          <w:i/>
        </w:rPr>
        <w:t xml:space="preserve">pytorch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computer-vision</w:t>
      </w:r>
      <w:r>
        <w:t xml:space="preserve">, foram excluídos por não distinguirem IA generativa de técnicas anteriores a ela. Como tópicos de nicho atingem o limiar de publicação com menos frequência, essa análise foi restrita às economias com ao menos 12 dos 25 trimestres cobertos, o que resultou em 14 economias: Alemanha, Brasil, Canadá, China, Espanha, Estados Unidos, França, Hong Kong, Índia, Itália, Japão, Polônia, Reino Unido e Singapura. O modelo foi estimado com</w:t>
      </w:r>
      <w:r>
        <w:t xml:space="preserve"> </w:t>
      </w:r>
      <w:r>
        <w:rPr>
          <w:iCs/>
          <w:i/>
        </w:rPr>
        <w:t xml:space="preserve">ai_topic_engagement_growth</w:t>
      </w:r>
      <w:r>
        <w:t xml:space="preserve"> </w:t>
      </w:r>
      <w:r>
        <w:t xml:space="preserve">e com</w:t>
      </w:r>
      <w:r>
        <w:t xml:space="preserve"> </w:t>
      </w:r>
      <w:r>
        <w:rPr>
          <w:iCs/>
          <w:i/>
        </w:rPr>
        <w:t xml:space="preserve">ai_topic_max_growth</w:t>
      </w:r>
      <w:r>
        <w:t xml:space="preserve"> </w:t>
      </w:r>
      <w:r>
        <w:t xml:space="preserve">(Tabela 1), nas versões contemporânea e defasada.</w:t>
      </w:r>
    </w:p>
    <w:p>
      <w:pPr>
        <w:pStyle w:val="BodyText"/>
        <w:jc w:val="both"/>
      </w:pPr>
      <w:r>
        <w:t xml:space="preserve">A segunda medida,</w:t>
      </w:r>
      <w:r>
        <w:t xml:space="preserve"> </w:t>
      </w:r>
      <w:r>
        <w:rPr>
          <w:iCs/>
          <w:i/>
        </w:rPr>
        <w:t xml:space="preserve">languages_growth</w:t>
      </w:r>
      <w:r>
        <w:t xml:space="preserve">, soma os desenvolvedores ativos em Python, TypeScript e JavaScript, as linguagens mais usadas em aplicações e ferramentas de IA generativa, nas economias com ao menos 20 trimestres cobertos, o que resultou em 141 economias. As duas medidas têm limitações opostas. A de tópicos é específica, mas cobre poucas economias e capta só projetos cujo tema é a própria IA. A de linguagens cobre quase todo o painel, mas mede atividade que vai muito além de IA. Se as três especificações apontarem na mesma direção, o resultado deixa de depender de uma única forma de medir o fenômeno.</w:t>
      </w:r>
    </w:p>
    <w:bookmarkEnd w:id="27"/>
    <w:bookmarkStart w:id="28" w:name="estudo-de-caso-do-brasil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3.9 Estudo de Caso do Brasil</w:t>
      </w:r>
    </w:p>
    <w:p>
      <w:pPr>
        <w:pStyle w:val="FirstParagraph"/>
        <w:jc w:val="both"/>
      </w:pPr>
      <w:r>
        <w:t xml:space="preserve">Para validar a análise global com dado administrativo independente do GitHub, conduziu-se um estudo de caso do Brasil, escolhido pela disponibilidade de uma base pública e completa sobre abertura de empresas. Os dados vieram do CNPJ, mantido pela Receita Federal do Brasil e disponibilizado já tratado pela plataforma Base dos Dados. Foram usadas três tabelas: Estabelecimentos, com a data de início de atividade e a atividade econômica principal segundo a CNAE; Empresas, com natureza jurídica e porte; e Sócios, com o número de sócios por empresa. Como a base é atualizada mensalmente em fotografias cumulativas, cada consulta foi restrita à data de referência mais recente, para não contar a mesma empresa mais de uma vez.</w:t>
      </w:r>
    </w:p>
    <w:p>
      <w:pPr>
        <w:pStyle w:val="BodyText"/>
        <w:jc w:val="both"/>
      </w:pPr>
      <w:r>
        <w:t xml:space="preserve">As empresas abertas entre janeiro de 2020 e junho de 2026 foram classificadas em dois eixos. No eixo setorial, foram definidos seis grupos de divisões CNAE mutuamente exclusivos, de modo que nenhuma divisão pertence a mais de um grupo: tecnologia da informação (divisões 62 e 63); marketing e conteúdo (58, 59, 60 e 73); serviços profissionais (69 a 72 e 74); educação (85); e dois grupos de controle, comércio (45 a 47) e construção civil (41 a 43). Os quatro primeiros têm canal teórico plausível de uso de IA generativa na criação do negócio; os de controle não têm. A lógica do desenho é simples: se a IA generativa estiver estimulando a abertura de empresas, os grupos com canal teórico devem se descolar dos grupos de controle, sobretudo na era dos agentes; se todos se moverem juntos, as flutuações refletem um fator macroeconômico comum. No eixo estrutural, a empresa foi classificada como solo quando associada a zero ou um sócio (o que inclui Empresário Individual e Microempreendedor Individual, que não têm registro na tabela de Sócios) e como sociedade quando associada a dois ou mais sócios.</w:t>
      </w:r>
    </w:p>
    <w:p>
      <w:pPr>
        <w:pStyle w:val="BodyText"/>
        <w:jc w:val="both"/>
      </w:pPr>
      <w:r>
        <w:t xml:space="preserve">As séries mensais foram agregadas por trimestre e convertidas em taxas de crescimento ano sobre ano pela Equação 1, e</w:t>
      </w:r>
      <w:r>
        <w:t xml:space="preserve"> </w:t>
      </w:r>
      <w:r>
        <w:rPr>
          <w:iCs/>
          <w:i/>
        </w:rPr>
        <w:t xml:space="preserve">tech_growth</w:t>
      </w:r>
      <w:r>
        <w:t xml:space="preserve"> </w:t>
      </w:r>
      <w:r>
        <w:t xml:space="preserve">foi correlacionada com</w:t>
      </w:r>
      <w:r>
        <w:t xml:space="preserve"> </w:t>
      </w:r>
      <w:r>
        <w:rPr>
          <w:iCs/>
          <w:i/>
        </w:rPr>
        <w:t xml:space="preserve">organizations_growth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git_pushes_growth</w:t>
      </w:r>
      <w:r>
        <w:t xml:space="preserve"> </w:t>
      </w:r>
      <w:r>
        <w:t xml:space="preserve">do Brasil. Como essas séries têm apenas 21 trimestres em comum e taxas ano sobre ano de trimestres vizinhos compartilham três dos quatro trimestres de base, os erros tendem a ser autocorrelacionados, o que pode inflar a significância de uma correlação simples. Por isso, cada correlação foi também testada por regressão com erros padrão de Newey e West (1987), robustos a heterocedasticidade e autocorrelação, com quatro defasagens. Pela mesma razão, a correlação entre os grupos setoriais foi calculada também sobre as primeiras diferenças das taxas, isto é, sobre a variação de um trimestre para o seguinte, o que remove a tendência comum. Como evidência complementar, incorporou-se a pesquisa do Sebrae em parceria com o Instituto Brasileiro de Economia da Fundação Getulio Vargas e o Google (Sebrae &amp; FGV IBRE, 2025), realizada em dezembro de 2025 com cerca de 5.000 empresas brasileiras de todos os portes, sobre o uso de IA generativa por porte de empresa.</w:t>
      </w:r>
    </w:p>
    <w:bookmarkEnd w:id="28"/>
    <w:bookmarkStart w:id="29" w:name="apêndice-a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Apêndice A</w:t>
      </w:r>
    </w:p>
    <w:p>
      <w:pPr>
        <w:pStyle w:val="FirstParagraph"/>
        <w:jc w:val="both"/>
      </w:pPr>
      <w:r>
        <w:rPr>
          <w:iCs/>
          <w:i/>
        </w:rPr>
        <w:t xml:space="preserve">Tópicos de IA Generativa e Codificação Agêntica Usados em ai_topic_engagement e ai_topic_max</w:t>
      </w:r>
    </w:p>
    <w:p>
      <w:pPr>
        <w:pStyle w:val="BodyText"/>
        <w:jc w:val="both"/>
      </w:pPr>
      <w:r>
        <w:t xml:space="preserve">agent, agent-skills, agentic-ai, agents, ai, ai-agent, ai-agents, ai-tools, artificial-intelligence, chatbot, chatgpt, claude, claude-code, codex, gemini, gemini-api, generative-ai, github-copilot, langchain, large-language-models, llm, llms, mcp, mcp-server, model-context-protocol, multi-agent, ollama, openai, openclaw, rag, vibe-coding.</w:t>
      </w:r>
    </w:p>
    <w:p>
      <w:pPr>
        <w:pStyle w:val="BodyText"/>
        <w:jc w:val="both"/>
      </w:pPr>
      <w:r>
        <w:rPr>
          <w:iCs/>
          <w:i/>
        </w:rPr>
        <w:t xml:space="preserve">Nota.</w:t>
      </w:r>
      <w:r>
        <w:t xml:space="preserve"> </w:t>
      </w:r>
      <w:r>
        <w:t xml:space="preserve">Os tópicos</w:t>
      </w:r>
      <w:r>
        <w:t xml:space="preserve"> </w:t>
      </w:r>
      <w:r>
        <w:rPr>
          <w:iCs/>
          <w:i/>
        </w:rPr>
        <w:t xml:space="preserve">vibe-coding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github-copilot</w:t>
      </w:r>
      <w:r>
        <w:t xml:space="preserve"> </w:t>
      </w:r>
      <w:r>
        <w:t xml:space="preserve">não estão entre os 300 de maior média de desenvolvedores por trimestre ativo e foram incluídos por relevância teórica. Elaborado pelo autor com base em GitHub Innovation Graph.</w:t>
      </w:r>
    </w:p>
    <w:bookmarkEnd w:id="29"/>
    <w:bookmarkStart w:id="30" w:name="referências-novas-desta-seção"/>
    <w:p>
      <w:pPr>
        <w:pStyle w:val="Heading2"/>
      </w:pPr>
      <w:r>
        <w:rPr>
          <w:rFonts w:ascii="Times New Roman" w:hAnsi="Times New Roman"/>
          <w:b/>
          <w:color w:val="000000"/>
        </w:rPr>
        <w:t xml:space="preserve">Referências Novas Desta Seção</w:t>
      </w:r>
    </w:p>
    <w:p>
      <w:pPr>
        <w:pStyle w:val="FirstParagraph"/>
        <w:jc w:val="both"/>
      </w:pPr>
      <w:r>
        <w:t xml:space="preserve">Hausman, J. A. (1978). Specification tests in econometrics.</w:t>
      </w:r>
      <w:r>
        <w:t xml:space="preserve"> </w:t>
      </w:r>
      <w:r>
        <w:rPr>
          <w:iCs/>
          <w:i/>
        </w:rPr>
        <w:t xml:space="preserve">Econometrica, 46</w:t>
      </w:r>
      <w:r>
        <w:t xml:space="preserve">(6), 1251–1271. https://doi.org/10.2307/1913827</w:t>
      </w:r>
    </w:p>
    <w:p>
      <w:pPr>
        <w:pStyle w:val="BodyText"/>
        <w:jc w:val="both"/>
      </w:pPr>
      <w:r>
        <w:t xml:space="preserve">Newey, W. K., &amp; West, K. D. (1987). A simple, positive semi-definite, heteroskedasticity and autocorrelation consistent covariance matrix.</w:t>
      </w:r>
      <w:r>
        <w:t xml:space="preserve"> </w:t>
      </w:r>
      <w:r>
        <w:rPr>
          <w:iCs/>
          <w:i/>
        </w:rPr>
        <w:t xml:space="preserve">Econometrica, 55</w:t>
      </w:r>
      <w:r>
        <w:t xml:space="preserve">(3), 703–708. https://doi.org/10.2307/1913610</w:t>
      </w:r>
    </w:p>
    <w:p>
      <w:pPr>
        <w:pStyle w:val="BodyText"/>
        <w:jc w:val="both"/>
      </w:pPr>
      <w:r>
        <w:t xml:space="preserve">Swamy, P. A. V. B., &amp; Arora, S. S. (1972). The exact finite sample properties of the estimators of coefficients in the error components regression models.</w:t>
      </w:r>
      <w:r>
        <w:t xml:space="preserve"> </w:t>
      </w:r>
      <w:r>
        <w:rPr>
          <w:iCs/>
          <w:i/>
        </w:rPr>
        <w:t xml:space="preserve">Econometrica, 40</w:t>
      </w:r>
      <w:r>
        <w:t xml:space="preserve">(2), 261–275. https://doi.org/10.2307/1909405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hAnsi="Times New Roman" w:cs="Times New Roman" w:eastAsia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2026-09-28T21:48:59Z</dcterms:created>
  <dcterms:modified xsi:type="dcterms:W3CDTF">2026-09-28T21:48:59Z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