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E9D3" w14:textId="77777777" w:rsidR="00142C4A" w:rsidRDefault="00F2765E">
      <w:pPr>
        <w:pStyle w:val="Ttulo1"/>
        <w:spacing w:before="400" w:after="200"/>
      </w:pPr>
      <w:r>
        <w:rPr>
          <w:b/>
          <w:bCs/>
          <w:color w:val="1F3864"/>
        </w:rPr>
        <w:t>FS-MM-002 — Bloqueio Automático de Saída de Material com Estoque Zerado ou Negativo</w:t>
      </w:r>
      <w:proofErr w:type="gramStart"/>
      <w:r>
        <w:rPr>
          <w:b/>
          <w:bCs/>
          <w:color w:val="1F3864"/>
        </w:rPr>
      </w:r>
      <w:proofErr w:type="gramEnd"/>
      <w:r>
        <w:rPr>
          <w:b/>
          <w:bCs/>
          <w:color w:val="1F3864"/>
        </w:rPr>
      </w:r>
    </w:p>
    <w:p w14:paraId="40AF0C09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1. Identificação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1F083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6D7A95" w14:textId="77777777" w:rsidR="00142C4A" w:rsidRDefault="00F2765E">
            <w:r>
              <w:rPr>
                <w:b/>
                <w:bCs/>
              </w:rPr>
              <w:t>Código</w:t>
            </w:r>
          </w:p>
        </w:tc>
        <w:tc>
          <w:tcPr>
            <w:tcW w:w="6560" w:type="dxa"/>
          </w:tcPr>
          <w:p>
            <w:r>
              <w:t>FS-MM-002</w:t>
            </w:r>
          </w:p>
        </w:tc>
      </w:tr>
      <w:tr w:rsidR="00142C4A" w14:paraId="7B2FA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A850F98" w14:textId="77777777" w:rsidR="00142C4A" w:rsidRDefault="00F2765E">
            <w:r>
              <w:rPr>
                <w:b/>
                <w:bCs/>
              </w:rPr>
              <w:t>Versão</w:t>
            </w:r>
          </w:p>
        </w:tc>
        <w:tc>
          <w:tcPr>
            <w:tcW w:w="6560" w:type="dxa"/>
          </w:tcPr>
          <w:p>
            <w:r>
              <w:t>0.1 — Rascunho</w:t>
            </w:r>
          </w:p>
        </w:tc>
      </w:tr>
      <w:tr w:rsidR="00142C4A" w14:paraId="3B96A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6D5B95E9" w14:textId="77777777" w:rsidR="00142C4A" w:rsidRDefault="00F2765E">
            <w:r>
              <w:rPr>
                <w:b/>
                <w:bCs/>
              </w:rPr>
              <w:t>Autor</w:t>
            </w:r>
          </w:p>
        </w:tc>
        <w:tc>
          <w:tcPr>
            <w:tcW w:w="6560" w:type="dxa"/>
          </w:tcPr>
          <w:p>
            <w:r>
              <w:t>Equipe Ayesa – Consultoria SAP MM</w:t>
            </w:r>
          </w:p>
        </w:tc>
      </w:tr>
      <w:tr w:rsidR="00142C4A" w14:paraId="289D3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DC98B2A" w14:textId="77777777" w:rsidR="00142C4A" w:rsidRDefault="00F2765E">
            <w:r>
              <w:rPr>
                <w:b/>
                <w:bCs/>
              </w:rPr>
              <w:t>Data</w:t>
            </w:r>
          </w:p>
        </w:tc>
        <w:tc>
          <w:tcPr>
            <w:tcW w:w="6560" w:type="dxa"/>
          </w:tcPr>
          <w:p>
            <w:r>
              <w:t>02/07/2026</w:t>
            </w:r>
          </w:p>
        </w:tc>
      </w:tr>
      <w:tr w:rsidR="00142C4A" w14:paraId="59B28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14A4822" w14:textId="77777777" w:rsidR="00142C4A" w:rsidRDefault="00F2765E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</w:tcPr>
          <w:p>
            <w:r>
              <w:t>Em elaboração</w:t>
            </w:r>
          </w:p>
        </w:tc>
      </w:tr>
      <w:tr w:rsidR="00142C4A" w14:paraId="6AFA1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01EAE7E" w14:textId="77777777" w:rsidR="00142C4A" w:rsidRDefault="00F2765E">
            <w:r>
              <w:rPr>
                <w:b/>
                <w:bCs/>
              </w:rPr>
              <w:t>REQ de origem</w:t>
            </w:r>
          </w:p>
        </w:tc>
        <w:tc>
          <w:tcPr>
            <w:tcW w:w="6560" w:type="dxa"/>
          </w:tcPr>
          <w:p>
            <w:r>
              <w:t>REQ-MM-002</w:t>
            </w:r>
          </w:p>
        </w:tc>
      </w:tr>
      <w:tr w:rsidR="00142C4A" w14:paraId="0E1CD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7359E1" w14:textId="77777777" w:rsidR="00142C4A" w:rsidRDefault="00F2765E">
            <w:r>
              <w:rPr>
                <w:b/>
                <w:bCs/>
              </w:rPr>
              <w:t>Projeto</w:t>
            </w:r>
          </w:p>
        </w:tc>
        <w:tc>
          <w:tcPr>
            <w:tcW w:w="6560" w:type="dxa"/>
          </w:tcPr>
          <w:p>
            <w:r>
              <w:t>Projeto Indústria Alfa</w:t>
            </w:r>
          </w:p>
        </w:tc>
      </w:tr>
      <w:tr w:rsidR="00142C4A" w14:paraId="5D985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040BACAF" w14:textId="77777777" w:rsidR="00142C4A" w:rsidRDefault="00F2765E">
            <w:r>
              <w:rPr>
                <w:b/>
                <w:bCs/>
              </w:rPr>
              <w:t>Cliente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37E04C28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2. Objetivo</w:t>
      </w:r>
    </w:p>
    <w:p w14:paraId="32D67007" w14:textId="77777777" w:rsidR="00142C4A" w:rsidRDefault="00F2765E">
      <w:pPr>
        <w:spacing w:before="80" w:after="80"/>
      </w:pPr>
      <w:r>
        <w:rPr>
          <w:i/>
          <w:iCs/>
          <w:color w:val="7F6000"/>
        </w:rPr>
        <w:t>Impedir a ocorrência de estoque negativo por meio de bloqueio automático de saídas de material sem saldo disponível, eliminando o impacto recorrente no fechamento mensal causado por divergências de estoque.</w:t>
      </w:r>
    </w:p>
    <w:p w14:paraId="679479AF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3. Módulo e Transações SAP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0D2AB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60D10CE" w14:textId="77777777" w:rsidR="00142C4A" w:rsidRDefault="00F2765E">
            <w:r>
              <w:rPr>
                <w:b/>
                <w:bCs/>
              </w:rPr>
              <w:t>Módulos</w:t>
            </w:r>
          </w:p>
        </w:tc>
        <w:tc>
          <w:tcPr>
            <w:tcW w:w="6560" w:type="dxa"/>
          </w:tcPr>
          <w:p>
            <w:r>
              <w:t>MM</w:t>
            </w:r>
          </w:p>
        </w:tc>
      </w:tr>
      <w:tr w:rsidR="00142C4A" w14:paraId="06AA4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BC24C75" w14:textId="77777777" w:rsidR="00142C4A" w:rsidRDefault="00F2765E">
            <w:r>
              <w:rPr>
                <w:b/>
                <w:bCs/>
              </w:rPr>
              <w:t>Transações envolvidas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  <w:tr w:rsidR="00142C4A" w14:paraId="2F3B4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D615C19" w14:textId="77777777" w:rsidR="00142C4A" w:rsidRDefault="00F2765E">
            <w:r>
              <w:rPr>
                <w:b/>
                <w:bCs/>
              </w:rPr>
              <w:t>Versão SAP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10C695D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4. Escopo</w:t>
      </w:r>
    </w:p>
    <w:p w14:paraId="2D6EF9ED" w14:textId="77777777" w:rsidR="00142C4A" w:rsidRDefault="00F2765E">
      <w:pPr>
        <w:spacing w:before="100" w:after="60"/>
      </w:pPr>
      <w:r>
        <w:rPr>
          <w:b/>
          <w:bCs/>
        </w:rPr>
        <w:t>Dentro do escopo: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Validação automática de saldo disponível no momento do lançamento de saída de material.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Bloqueio da confirmação da operação quando o saldo for zero ou insuficiente.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Exibição de mensagem de erro rastreável ao usuário.</w:t>
      </w:r>
    </w:p>
    <w:p w14:paraId="07FD7017" w14:textId="77777777" w:rsidR="00142C4A" w:rsidRDefault="00F2765E">
      <w:pPr>
        <w:spacing w:before="100" w:after="60"/>
      </w:pPr>
      <w:r>
        <w:rPr>
          <w:b/>
          <w:bCs/>
        </w:rPr>
        <w:t>Fora do escopo: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Workflow de aprovação para liberação excepcional de saída bloqueada [VERIFICAR COM CLIENTE].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Ajustes de inventário e estornos (tratados como fluxo alternativo, não como escopo principal desta FS).</w:t>
      </w:r>
    </w:p>
    <w:p w14:paraId="48BC0C7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5. Fluxo Principal (caminho feliz)</w:t>
      </w:r>
    </w:p>
    <w:p w14:paraId="7136F33D" w14:textId="77777777" w:rsidR="00142C4A" w:rsidRDefault="00F2765E">
      <w:pPr>
        <w:spacing w:before="60" w:after="60"/>
        <w:ind w:left="360"/>
      </w:pPr>
      <w:r>
        <w:rPr>
          <w:b/>
          <w:bCs/>
        </w:rPr>
        <w:t>1. Almoxarife inicia lançamento de saída de material no SAP.</w:t>
      </w:r>
      <w:r>
        <w:rPr>
          <w:i/>
          <w:iCs/>
          <w:color w:val="7F6000"/>
        </w:rPr>
      </w:r>
    </w:p>
    <w:p w14:paraId="641E6C56" w14:textId="77777777" w:rsidR="00142C4A" w:rsidRDefault="00F2765E">
      <w:pPr>
        <w:spacing w:before="60" w:after="60"/>
        <w:ind w:left="360"/>
      </w:pPr>
      <w:r>
        <w:rPr>
          <w:b/>
          <w:bCs/>
        </w:rPr>
        <w:t>2. Sistema verifica o saldo disponível do material no depósito/centro informado.</w:t>
      </w:r>
      <w:r>
        <w:rPr>
          <w:i/>
          <w:iCs/>
          <w:color w:val="7F6000"/>
        </w:rPr>
      </w:r>
    </w:p>
    <w:p w14:paraId="7E2EFEC6" w14:textId="77777777" w:rsidR="00142C4A" w:rsidRDefault="00F2765E">
      <w:pPr>
        <w:spacing w:before="60" w:after="60"/>
        <w:ind w:left="360"/>
      </w:pPr>
      <w:r>
        <w:rPr>
          <w:b/>
          <w:bCs/>
        </w:rPr>
        <w:t>3. Se saldo suficiente, sistema permite a confirmação da saída.</w:t>
      </w:r>
      <w:r>
        <w:rPr>
          <w:i/>
          <w:iCs/>
          <w:color w:val="7F6000"/>
        </w:rPr>
      </w:r>
    </w:p>
    <w:p w14:paraId="6BF0E278" w14:textId="77777777" w:rsidR="00142C4A" w:rsidRDefault="00F2765E">
      <w:pPr>
        <w:spacing w:before="60" w:after="60"/>
        <w:ind w:left="360"/>
      </w:pPr>
      <w:r>
        <w:rPr>
          <w:b/>
          <w:bCs/>
        </w:rPr>
        <w:t>4. Sistema atualiza o estoque automaticamente.</w:t>
      </w:r>
      <w:r>
        <w:rPr>
          <w:i/>
          <w:iCs/>
          <w:color w:val="7F6000"/>
        </w:rPr>
      </w:r>
    </w:p>
    <w:p w14:paraId="132D0F35" w14:textId="77777777" w:rsidR="00142C4A" w:rsidRDefault="00F2765E">
      <w:pPr>
        <w:spacing w:before="60" w:after="60"/>
        <w:ind w:left="360"/>
      </w:pPr>
      <w:r>
        <w:rPr>
          <w:b/>
          <w:bCs/>
        </w:rPr>
        <w:t>5. Sistema registra o documento de saída.</w:t>
      </w:r>
      <w:r>
        <w:rPr>
          <w:i/>
          <w:iCs/>
          <w:color w:val="7F6000"/>
        </w:rPr>
      </w:r>
    </w:p>
    <w:p w14:paraId="42AD103D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6. Fluxos Alternativos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42C4A" w14:paraId="676A75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1F3864" w:fill="1F3864"/>
          </w:tcPr>
          <w:p w14:paraId="0454BF8B" w14:textId="77777777" w:rsidR="00142C4A" w:rsidRDefault="00F2765E">
            <w:r>
              <w:rPr>
                <w:b/>
                <w:bCs/>
                <w:color w:val="FFFFFF"/>
              </w:rPr>
              <w:t>Cenário</w:t>
            </w:r>
          </w:p>
        </w:tc>
        <w:tc>
          <w:tcPr>
            <w:tcW w:w="5860" w:type="dxa"/>
            <w:shd w:val="clear" w:color="1F3864" w:fill="1F3864"/>
          </w:tcPr>
          <w:p w14:paraId="4244E0A2" w14:textId="77777777" w:rsidR="00142C4A" w:rsidRDefault="00F2765E">
            <w:r>
              <w:rPr>
                <w:b/>
                <w:bCs/>
                <w:color w:val="FFFFFF"/>
              </w:rPr>
              <w:t>Tratamento esperado</w:t>
            </w:r>
          </w:p>
        </w:tc>
      </w:tr>
      <w:tr w:rsidR="00142C4A" w14:paraId="160E3A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Saldo zerado ou insuficiente para a quantidade solicitada</w:t>
            </w:r>
          </w:p>
        </w:tc>
        <w:tc>
          <w:tcPr>
            <w:tcW w:w="5860" w:type="dxa"/>
            <w:shd w:val="clear" w:color="FFF2CC" w:fill="FFF2CC"/>
          </w:tcPr>
          <w:p>
            <w:r>
              <w:t>Sistema bloqueia a confirmação e exibe mensagem de erro com código rastreável; saída não é registrada.</w:t>
            </w:r>
          </w:p>
        </w:tc>
      </w:tr>
      <w:tr w:rsidR="00142C4A" w14:paraId="7BBFB3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Estorno de saída/ajuste de inventário exigindo movimentação com saldo negativo temporário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4D486B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Liberação excepcional de saída bloqueada mediante aprovação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560AE1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Tipo de movimento não coberto pela regra de bloqueio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</w:tbl>
    <w:p w14:paraId="7A7C71C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7.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42C4A" w14:paraId="4793DA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326EEE3" w14:textId="77777777" w:rsidR="00142C4A" w:rsidRDefault="00F2765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60" w:type="dxa"/>
            <w:shd w:val="clear" w:color="1F3864" w:fill="1F3864"/>
          </w:tcPr>
          <w:p w14:paraId="57A74877" w14:textId="77777777" w:rsidR="00142C4A" w:rsidRDefault="00F2765E">
            <w:r>
              <w:rPr>
                <w:b/>
                <w:bCs/>
                <w:color w:val="FFFFFF"/>
              </w:rPr>
              <w:t>Regra</w:t>
            </w:r>
          </w:p>
        </w:tc>
      </w:tr>
      <w:tr w:rsidR="00142C4A" w14:paraId="6C5698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RN01</w:t>
            </w:r>
          </w:p>
        </w:tc>
        <w:tc>
          <w:tcPr>
            <w:tcW w:w="8160" w:type="dxa"/>
          </w:tcPr>
          <w:p>
            <w:r>
              <w:t>O sistema não deve permitir a confirmação de saída de material quando o saldo resultante for negativo, salvo tipos de movimento expressamente excluídos [VERIFICAR COM CLIENTE].</w:t>
            </w:r>
          </w:p>
        </w:tc>
      </w:tr>
      <w:tr w:rsidR="00142C4A" w14:paraId="7F016F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RN02</w:t>
            </w:r>
          </w:p>
        </w:tc>
        <w:tc>
          <w:tcPr>
            <w:tcW w:w="8160" w:type="dxa"/>
          </w:tcPr>
          <w:p>
            <w:r>
              <w:t>Toda tentativa de saída bloqueada deve gerar mensagem de erro com código identificável para fins de auditoria.</w:t>
            </w:r>
          </w:p>
        </w:tc>
      </w:tr>
      <w:tr w:rsidR="00142C4A" w14:paraId="43ECD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RN03</w:t>
            </w:r>
          </w:p>
        </w:tc>
        <w:tc>
          <w:tcPr>
            <w:tcW w:w="8160" w:type="dxa"/>
            <w:shd w:val="clear" w:color="FFF2CC" w:fill="FFF2CC"/>
          </w:tcPr>
          <w:p>
            <w:r>
              <w:t>[VERIFICAR COM CLIENTE] — definição de tolerância negativa (se aplicável em cenários específicos, ex: S/4HANA).</w:t>
            </w:r>
          </w:p>
        </w:tc>
      </w:tr>
    </w:tbl>
    <w:p w14:paraId="706C8654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8. Integrações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142C4A" w14:paraId="508221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3864" w:fill="1F3864"/>
          </w:tcPr>
          <w:p w14:paraId="0E6A4432" w14:textId="77777777" w:rsidR="00142C4A" w:rsidRDefault="00F2765E">
            <w:r>
              <w:rPr>
                <w:b/>
                <w:bCs/>
                <w:color w:val="FFFFFF"/>
              </w:rPr>
              <w:lastRenderedPageBreak/>
              <w:t>De</w:t>
            </w:r>
          </w:p>
        </w:tc>
        <w:tc>
          <w:tcPr>
            <w:tcW w:w="2500" w:type="dxa"/>
            <w:shd w:val="clear" w:color="1F3864" w:fill="1F3864"/>
          </w:tcPr>
          <w:p w14:paraId="1DC6F96C" w14:textId="77777777" w:rsidR="00142C4A" w:rsidRDefault="00F2765E">
            <w:r>
              <w:rPr>
                <w:b/>
                <w:bCs/>
                <w:color w:val="FFFFFF"/>
              </w:rPr>
              <w:t>Para</w:t>
            </w:r>
          </w:p>
        </w:tc>
        <w:tc>
          <w:tcPr>
            <w:tcW w:w="4360" w:type="dxa"/>
            <w:shd w:val="clear" w:color="1F3864" w:fill="1F3864"/>
          </w:tcPr>
          <w:p w14:paraId="755B741B" w14:textId="77777777" w:rsidR="00142C4A" w:rsidRDefault="00F2765E">
            <w:r>
              <w:rPr>
                <w:b/>
                <w:bCs/>
                <w:color w:val="FFFFFF"/>
              </w:rPr>
              <w:t>Comportamento em falha</w:t>
            </w:r>
          </w:p>
        </w:tc>
      </w:tr>
      <w:tr w:rsidR="00142C4A" w14:paraId="1DBB2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>
            <w:r>
              <w:t>MM</w:t>
            </w:r>
          </w:p>
        </w:tc>
        <w:tc>
          <w:tcPr>
            <w:tcW w:w="2500" w:type="dxa"/>
          </w:tcPr>
          <w:p>
            <w:r>
              <w:t>Notificação (e-mail/SAP Inbox) ao supervisor [HERDADO DO URS]</w:t>
            </w:r>
          </w:p>
        </w:tc>
        <w:tc>
          <w:tcPr>
            <w:tcW w:w="4360" w:type="dxa"/>
            <w:shd w:val="clear" w:color="FFF2CC" w:fill="FFF2CC"/>
          </w:tcPr>
          <w:p>
            <w:r>
              <w:t>Notificação em caso de bloqueio recorrente; comportamento em falha [VERIFICAR COM CLIENTE]</w:t>
            </w:r>
          </w:p>
        </w:tc>
      </w:tr>
      <w:tr>
        <w:tc>
          <w:tcPr>
            <w:tcW w:type="dxa" w:w="2500"/>
          </w:tcPr>
          <w:p>
            <w:r>
              <w:t>MM</w:t>
            </w:r>
          </w:p>
        </w:tc>
        <w:tc>
          <w:tcPr>
            <w:tcW w:type="dxa" w:w="2500"/>
          </w:tcPr>
          <w:p>
            <w:r>
              <w:t>WM/EWM (se depósito gerenciado) [HERDADO DO URS]</w:t>
            </w:r>
          </w:p>
        </w:tc>
        <w:tc>
          <w:tcPr>
            <w:tcW w:type="dxa" w:w="4360"/>
          </w:tcPr>
          <w:p>
            <w:r>
              <w:t>[VERIFICAR COM CLIENTE]</w:t>
            </w:r>
          </w:p>
        </w:tc>
      </w:tr>
    </w:tbl>
    <w:p w14:paraId="30E9CAE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9. Critérios de Aceite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160"/>
      </w:tblGrid>
      <w:tr w:rsidR="00142C4A" w14:paraId="02CDB1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41ACE1A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6361736A" w14:textId="77777777" w:rsidR="00142C4A" w:rsidRDefault="00F2765E">
            <w:r>
              <w:rPr>
                <w:b/>
                <w:bCs/>
                <w:color w:val="FFFFFF"/>
              </w:rPr>
              <w:t>Critério mensurável</w:t>
            </w:r>
          </w:p>
        </w:tc>
        <w:tc>
          <w:tcPr>
            <w:tcW w:w="3160" w:type="dxa"/>
            <w:shd w:val="clear" w:color="1F3864" w:fill="1F3864"/>
          </w:tcPr>
          <w:p w14:paraId="2C959DA6" w14:textId="77777777" w:rsidR="00142C4A" w:rsidRDefault="00F2765E">
            <w:r>
              <w:rPr>
                <w:b/>
                <w:bCs/>
                <w:color w:val="FFFFFF"/>
              </w:rPr>
              <w:t>Método de verificação</w:t>
            </w:r>
          </w:p>
        </w:tc>
      </w:tr>
      <w:tr w:rsidR="00142C4A" w14:paraId="17621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CA01</w:t>
            </w:r>
          </w:p>
        </w:tc>
        <w:tc>
          <w:tcPr>
            <w:tcW w:w="5000" w:type="dxa"/>
          </w:tcPr>
          <w:p>
            <w:r>
              <w:t>Zero ocorrências de estoque negativo, medido nos 90 dias após go-live, ambiente de produção.</w:t>
            </w:r>
          </w:p>
        </w:tc>
        <w:tc>
          <w:tcPr>
            <w:tcW w:w="3160" w:type="dxa"/>
          </w:tcPr>
          <w:p>
            <w:r>
              <w:t>Relatório de saldo de estoque [VERIFICAR COM CLIENTE — ex: MB52].</w:t>
            </w:r>
          </w:p>
        </w:tc>
      </w:tr>
      <w:tr w:rsidR="00142C4A" w14:paraId="354FB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CA02</w:t>
            </w:r>
          </w:p>
        </w:tc>
        <w:tc>
          <w:tcPr>
            <w:tcW w:w="5000" w:type="dxa"/>
          </w:tcPr>
          <w:p>
            <w:r>
              <w:t>100% das tentativas de saída sem saldo suficiente rejeitadas com código de erro rastreável, ambiente de produção.</w:t>
            </w:r>
          </w:p>
        </w:tc>
        <w:tc>
          <w:tcPr>
            <w:tcW w:w="3160" w:type="dxa"/>
          </w:tcPr>
          <w:p>
            <w:r>
              <w:t>Log de mensagens do sistema.</w:t>
            </w:r>
          </w:p>
        </w:tc>
      </w:tr>
      <w:tr w:rsidR="00142C4A" w14:paraId="5808AD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CA03</w:t>
            </w:r>
          </w:p>
        </w:tc>
        <w:tc>
          <w:tcPr>
            <w:tcW w:w="5000" w:type="dxa"/>
            <w:shd w:val="clear" w:color="FFF2CC" w:fill="FFF2CC"/>
          </w:tcPr>
          <w:p>
            <w:r>
              <w:t>[VERIFICAR COM CLIENTE] — definir critério mensurável para tratamento de exceções legítimas (estorno/ajuste de inventário), caso aplicável.</w:t>
            </w:r>
          </w:p>
        </w:tc>
        <w:tc>
          <w:tcPr>
            <w:tcW w:w="3160" w:type="dxa"/>
            <w:shd w:val="clear" w:color="FFF2CC" w:fill="FFF2CC"/>
          </w:tcPr>
          <w:p>
            <w:r>
              <w:t>[VERIFICAR COM CLIENTE]</w:t>
            </w:r>
          </w:p>
        </w:tc>
      </w:tr>
    </w:tbl>
    <w:p w14:paraId="5FEAE5D5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10. Pontos em Aberto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000"/>
        <w:gridCol w:w="1160"/>
      </w:tblGrid>
      <w:tr w:rsidR="00142C4A" w14:paraId="40C0BF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51801311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3968423A" w14:textId="77777777" w:rsidR="00142C4A" w:rsidRDefault="00F2765E">
            <w:r>
              <w:rPr>
                <w:b/>
                <w:bCs/>
                <w:color w:val="FFFFFF"/>
              </w:rPr>
              <w:t>Dúvida / Pendência</w:t>
            </w:r>
          </w:p>
        </w:tc>
        <w:tc>
          <w:tcPr>
            <w:tcW w:w="2000" w:type="dxa"/>
            <w:shd w:val="clear" w:color="1F3864" w:fill="1F3864"/>
          </w:tcPr>
          <w:p w14:paraId="6FC176BF" w14:textId="77777777" w:rsidR="00142C4A" w:rsidRDefault="00F2765E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160" w:type="dxa"/>
            <w:shd w:val="clear" w:color="1F3864" w:fill="1F3864"/>
          </w:tcPr>
          <w:p w14:paraId="6BF568C2" w14:textId="77777777" w:rsidR="00142C4A" w:rsidRDefault="00F2765E">
            <w:r>
              <w:rPr>
                <w:b/>
                <w:bCs/>
                <w:color w:val="FFFFFF"/>
              </w:rPr>
              <w:t>Prazo</w:t>
            </w:r>
          </w:p>
        </w:tc>
      </w:tr>
      <w:tr w:rsidR="00142C4A" w14:paraId="66C86B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P01 [HERDADO DO URS]</w:t>
            </w:r>
          </w:p>
        </w:tc>
        <w:tc>
          <w:tcPr>
            <w:tcW w:w="5000" w:type="dxa"/>
          </w:tcPr>
          <w:p>
            <w:r>
              <w:t>Existem exceções legítimas em que a saída sem saldo deve ser permitida (estorno, ajuste de inventário)?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7AAC9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P02 [HERDADO DO URS]</w:t>
            </w:r>
          </w:p>
        </w:tc>
        <w:tc>
          <w:tcPr>
            <w:tcW w:w="5000" w:type="dxa"/>
          </w:tcPr>
          <w:p>
            <w:r>
              <w:t>Quais tipos de movimento SAP devem ser cobertos pelo bloqueio?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050023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P03 [HERDADO DO URS]</w:t>
            </w:r>
          </w:p>
        </w:tc>
        <w:tc>
          <w:tcPr>
            <w:tcW w:w="5000" w:type="dxa"/>
          </w:tcPr>
          <w:p>
            <w:r>
              <w:t>SAP é ECC ou S/4HANA (impacta configuração de tolerância negativa)?</w:t>
            </w:r>
          </w:p>
        </w:tc>
        <w:tc>
          <w:tcPr>
            <w:tcW w:w="2000" w:type="dxa"/>
          </w:tcPr>
          <w:p>
            <w:r>
              <w:t>Cliente/TI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P04 [HERDADO DO URS]</w:t>
            </w:r>
          </w:p>
        </w:tc>
        <w:tc>
          <w:tcPr>
            <w:tcW w:type="dxa" w:w="5000"/>
          </w:tcPr>
          <w:p>
            <w:r>
              <w:t>Quem deve ser notificado quando uma saída for bloqueada — almoxarife, supervisor ou ambos?</w:t>
            </w:r>
          </w:p>
        </w:tc>
        <w:tc>
          <w:tcPr>
            <w:tcW w:type="dxa" w:w="2000"/>
          </w:tcPr>
          <w:p>
            <w:r>
              <w:t>Cliente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P05 [HERDADO DO URS]</w:t>
            </w:r>
          </w:p>
        </w:tc>
        <w:tc>
          <w:tcPr>
            <w:tcW w:type="dxa" w:w="5000"/>
          </w:tcPr>
          <w:p>
            <w:r>
              <w:t>Existe necessidade de workflow de aprovação para liberação excepcional de saída bloqueada?</w:t>
            </w:r>
          </w:p>
        </w:tc>
        <w:tc>
          <w:tcPr>
            <w:tcW w:type="dxa" w:w="2000"/>
          </w:tcPr>
          <w:p>
            <w:r>
              <w:t>Cliente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</w:tbl>
    <w:p w14:paraId="7152FB12" w14:textId="77777777" w:rsidR="00142C4A" w:rsidRDefault="00F2765E">
      <w:pPr>
        <w:spacing w:before="600"/>
      </w:pPr>
      <w:r>
        <w:rPr>
          <w:b/>
          <w:bCs/>
          <w:color w:val="1F3864"/>
          <w:sz w:val="24"/>
          <w:szCs w:val="24"/>
        </w:rPr>
        <w:t>Aprovações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42C4A" w14:paraId="25AD2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1F3864" w:fill="1F3864"/>
          </w:tcPr>
          <w:p w14:paraId="1776CD70" w14:textId="77777777" w:rsidR="00142C4A" w:rsidRDefault="00F2765E">
            <w:r>
              <w:rPr>
                <w:b/>
                <w:bCs/>
                <w:color w:val="FFFFFF"/>
              </w:rPr>
              <w:t>Analista Funcional</w:t>
            </w:r>
          </w:p>
        </w:tc>
        <w:tc>
          <w:tcPr>
            <w:tcW w:w="3120" w:type="dxa"/>
            <w:shd w:val="clear" w:color="1F3864" w:fill="1F3864"/>
          </w:tcPr>
          <w:p w14:paraId="43B40ABE" w14:textId="77777777" w:rsidR="00142C4A" w:rsidRDefault="00F2765E">
            <w:r>
              <w:rPr>
                <w:b/>
                <w:bCs/>
                <w:color w:val="FFFFFF"/>
              </w:rPr>
              <w:t>Líder de Projeto</w:t>
            </w:r>
          </w:p>
        </w:tc>
        <w:tc>
          <w:tcPr>
            <w:tcW w:w="3120" w:type="dxa"/>
            <w:shd w:val="clear" w:color="1F3864" w:fill="1F3864"/>
          </w:tcPr>
          <w:p w14:paraId="6D0CF8AE" w14:textId="77777777" w:rsidR="00142C4A" w:rsidRDefault="00F2765E">
            <w:r>
              <w:rPr>
                <w:b/>
                <w:bCs/>
                <w:color w:val="FFFFFF"/>
              </w:rPr>
              <w:t>Cliente</w:t>
            </w:r>
          </w:p>
        </w:tc>
      </w:tr>
      <w:tr w:rsidR="00142C4A" w14:paraId="510E9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B20FE3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D188620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0DE73D5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</w:tr>
      <w:tr w:rsidR="00142C4A" w14:paraId="758E5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A180F2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49DC9669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2E831376" w14:textId="77777777" w:rsidR="00142C4A" w:rsidRDefault="00F2765E">
            <w:r>
              <w:rPr>
                <w:color w:val="000000"/>
              </w:rPr>
              <w:t>[Nome / Data]</w:t>
            </w:r>
          </w:p>
        </w:tc>
      </w:tr>
    </w:tbl>
    <w:p w14:paraId="7197647F" w14:textId="77777777" w:rsidR="00F2765E" w:rsidRDefault="00F2765E"/>
    <w:sectPr w:rsidR="000000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0A82" w14:textId="77777777" w:rsidR="00F2765E" w:rsidRDefault="00F2765E">
      <w:r>
        <w:separator/>
      </w:r>
    </w:p>
  </w:endnote>
  <w:endnote w:type="continuationSeparator" w:id="0">
    <w:p w14:paraId="5ED9647C" w14:textId="77777777" w:rsidR="00F2765E" w:rsidRDefault="00F27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E5B8" w14:textId="77777777" w:rsidR="00142C4A" w:rsidRDefault="00F2765E">
    <w:pPr>
      <w:jc w:val="center"/>
    </w:pPr>
    <w:r>
      <w:rPr>
        <w:color w:val="666666"/>
        <w:sz w:val="16"/>
        <w:szCs w:val="16"/>
      </w:rPr>
      <w:t xml:space="preserve">Confidencial — </w:t>
    </w:r>
    <w:proofErr w:type="spellStart"/>
    <w:r>
      <w:rPr>
        <w:color w:val="666666"/>
        <w:sz w:val="16"/>
        <w:szCs w:val="16"/>
      </w:rPr>
      <w:t>Ayesa</w:t>
    </w:r>
    <w:proofErr w:type="spellEnd"/>
    <w:r>
      <w:rPr>
        <w:color w:val="666666"/>
        <w:sz w:val="16"/>
        <w:szCs w:val="16"/>
      </w:rPr>
      <w:t xml:space="preserve"> Brasil |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1DFAA" w14:textId="77777777" w:rsidR="00F2765E" w:rsidRDefault="00F2765E">
      <w:r>
        <w:separator/>
      </w:r>
    </w:p>
  </w:footnote>
  <w:footnote w:type="continuationSeparator" w:id="0">
    <w:p w14:paraId="00168513" w14:textId="77777777" w:rsidR="00F2765E" w:rsidRDefault="00F27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360"/>
    </w:tblGrid>
    <w:tr w:rsidR="00142C4A" w14:paraId="3064A62A" w14:textId="77777777">
      <w:tblPrEx>
        <w:tblCellMar>
          <w:top w:w="0" w:type="dxa"/>
          <w:bottom w:w="0" w:type="dxa"/>
        </w:tblCellMar>
      </w:tblPrEx>
      <w:tc>
        <w:tcPr>
          <w:tcW w:w="7000" w:type="dxa"/>
          <w:shd w:val="clear" w:color="1F3864" w:fill="1F3864"/>
        </w:tcPr>
        <w:p w14:paraId="373724AF" w14:textId="77777777" w:rsidR="00142C4A" w:rsidRDefault="00F2765E">
          <w:r>
            <w:rPr>
              <w:b/>
              <w:bCs/>
              <w:color w:val="FFFFFF"/>
            </w:rPr>
            <w:t>ESPECIFICAÇÃO FUNCIONAL — AYESA BRASIL</w:t>
          </w:r>
        </w:p>
      </w:tc>
      <w:tc>
        <w:tcPr>
          <w:tcW w:w="2360" w:type="dxa"/>
          <w:shd w:val="clear" w:color="D6E4F0" w:fill="D6E4F0"/>
        </w:tcPr>
        <w:p w14:paraId="5987235E" w14:textId="77777777" w:rsidR="00142C4A" w:rsidRDefault="00F2765E">
          <w:pPr>
            <w:jc w:val="right"/>
          </w:pPr>
          <w:r>
            <w:rPr>
              <w:color w:val="1F3864"/>
              <w:sz w:val="18"/>
              <w:szCs w:val="18"/>
            </w:rPr>
            <w:t>[PROJETO] | [CLIENTE]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31D4"/>
    <w:multiLevelType w:val="hybridMultilevel"/>
    <w:tmpl w:val="369A398C"/>
    <w:lvl w:ilvl="0" w:tplc="02F25A94">
      <w:start w:val="1"/>
      <w:numFmt w:val="bullet"/>
      <w:lvlText w:val="●"/>
      <w:lvlJc w:val="left"/>
      <w:pPr>
        <w:ind w:left="720" w:hanging="360"/>
      </w:pPr>
    </w:lvl>
    <w:lvl w:ilvl="1" w:tplc="4044F522">
      <w:start w:val="1"/>
      <w:numFmt w:val="bullet"/>
      <w:lvlText w:val="○"/>
      <w:lvlJc w:val="left"/>
      <w:pPr>
        <w:ind w:left="1440" w:hanging="360"/>
      </w:pPr>
    </w:lvl>
    <w:lvl w:ilvl="2" w:tplc="E2AC82B6">
      <w:start w:val="1"/>
      <w:numFmt w:val="bullet"/>
      <w:lvlText w:val="■"/>
      <w:lvlJc w:val="left"/>
      <w:pPr>
        <w:ind w:left="2160" w:hanging="360"/>
      </w:pPr>
    </w:lvl>
    <w:lvl w:ilvl="3" w:tplc="1CD6C2D2">
      <w:start w:val="1"/>
      <w:numFmt w:val="bullet"/>
      <w:lvlText w:val="●"/>
      <w:lvlJc w:val="left"/>
      <w:pPr>
        <w:ind w:left="2880" w:hanging="360"/>
      </w:pPr>
    </w:lvl>
    <w:lvl w:ilvl="4" w:tplc="6C7E8360">
      <w:start w:val="1"/>
      <w:numFmt w:val="bullet"/>
      <w:lvlText w:val="○"/>
      <w:lvlJc w:val="left"/>
      <w:pPr>
        <w:ind w:left="3600" w:hanging="360"/>
      </w:pPr>
    </w:lvl>
    <w:lvl w:ilvl="5" w:tplc="6CD215EE">
      <w:start w:val="1"/>
      <w:numFmt w:val="bullet"/>
      <w:lvlText w:val="■"/>
      <w:lvlJc w:val="left"/>
      <w:pPr>
        <w:ind w:left="4320" w:hanging="360"/>
      </w:pPr>
    </w:lvl>
    <w:lvl w:ilvl="6" w:tplc="D48EC6A6">
      <w:start w:val="1"/>
      <w:numFmt w:val="bullet"/>
      <w:lvlText w:val="●"/>
      <w:lvlJc w:val="left"/>
      <w:pPr>
        <w:ind w:left="5040" w:hanging="360"/>
      </w:pPr>
    </w:lvl>
    <w:lvl w:ilvl="7" w:tplc="55F8A456">
      <w:start w:val="1"/>
      <w:numFmt w:val="bullet"/>
      <w:lvlText w:val="●"/>
      <w:lvlJc w:val="left"/>
      <w:pPr>
        <w:ind w:left="5760" w:hanging="360"/>
      </w:pPr>
    </w:lvl>
    <w:lvl w:ilvl="8" w:tplc="F9667274">
      <w:start w:val="1"/>
      <w:numFmt w:val="bullet"/>
      <w:lvlText w:val="●"/>
      <w:lvlJc w:val="left"/>
      <w:pPr>
        <w:ind w:left="6480" w:hanging="360"/>
      </w:pPr>
    </w:lvl>
  </w:abstractNum>
  <w:num w:numId="1" w16cid:durableId="744647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4A"/>
    <w:rsid w:val="00142C4A"/>
    <w:rsid w:val="003E24DB"/>
    <w:rsid w:val="00F2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80F25"/>
  <w15:docId w15:val="{80670167-DFAC-4773-B8B0-5F0CD3ED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Pereira</cp:lastModifiedBy>
  <cp:revision>2</cp:revision>
  <dcterms:created xsi:type="dcterms:W3CDTF">2026-07-02T17:04:00Z</dcterms:created>
  <dcterms:modified xsi:type="dcterms:W3CDTF">2026-07-02T17:04:00Z</dcterms:modified>
</cp:coreProperties>
</file>