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Model B Technical Description</w:t>
      </w:r>
    </w:p>
    <w:p>
      <w:pPr>
        <w:spacing w:after="60"/>
      </w:pPr>
      <w:r>
        <w:rPr>
          <w:rFonts w:ascii="Arial" w:cs="Arial" w:eastAsia="Arial" w:hAnsi="Arial"/>
          <w:color w:val="595959"/>
          <w:sz w:val="24"/>
          <w:szCs w:val="24"/>
        </w:rPr>
        <w:t xml:space="preserve">A time-domain convolutional network with channel and temporal attention for AIM-2 food intake detection</w:t>
      </w:r>
    </w:p>
    <w:p>
      <w:pPr>
        <w:pBdr>
          <w:bottom w:val="single" w:color="000000" w:sz="6" w:space="4"/>
        </w:pBdr>
        <w:spacing w:after="240"/>
      </w:pPr>
      <w:r>
        <w:rPr>
          <w:rFonts w:ascii="Arial" w:cs="Arial" w:eastAsia="Arial" w:hAnsi="Arial"/>
          <w:color w:val="595959"/>
          <w:sz w:val="18"/>
          <w:szCs w:val="18"/>
        </w:rPr>
        <w:t xml:space="preserve">Caelan Dunlea  |  Randall Research Scholars Program, Phase II  |  September 2026</w:t>
      </w:r>
    </w:p>
    <w:p>
      <w:pPr>
        <w:pStyle w:val="Heading1"/>
      </w:pPr>
      <w:r>
        <w:rPr>
          <w:rFonts w:ascii="Arial" w:cs="Arial" w:eastAsia="Arial" w:hAnsi="Arial"/>
        </w:rPr>
        <w:t xml:space="preserve">1 Purpose</w:t>
      </w:r>
    </w:p>
    <w:p>
      <w:pPr>
        <w:spacing w:after="120" w:before="80" w:line="280"/>
        <w:jc w:val="both"/>
      </w:pPr>
      <w:r>
        <w:rPr>
          <w:rFonts w:ascii="Arial" w:cs="Arial" w:eastAsia="Arial" w:hAnsi="Arial"/>
          <w:sz w:val="21"/>
          <w:szCs w:val="21"/>
        </w:rPr>
        <w:t xml:space="preserve">This document describes Model B from the database query to the final decision, with no step left out, and gives the published precedent for each design choice. It is written to support a paper on the model, so every number below comes from the training code or from a build of the network, and every citation was checked against the original source.</w:t>
      </w:r>
    </w:p>
    <w:p>
      <w:pPr>
        <w:pStyle w:val="Heading1"/>
      </w:pPr>
      <w:r>
        <w:rPr>
          <w:rFonts w:ascii="Arial" w:cs="Arial" w:eastAsia="Arial" w:hAnsi="Arial"/>
        </w:rPr>
        <w:t xml:space="preserve">2 Two Corrections</w:t>
      </w:r>
    </w:p>
    <w:p>
      <w:pPr>
        <w:spacing w:after="120" w:before="80" w:line="280"/>
        <w:jc w:val="both"/>
      </w:pPr>
      <w:r>
        <w:rPr>
          <w:rFonts w:ascii="Arial" w:cs="Arial" w:eastAsia="Arial" w:hAnsi="Arial"/>
          <w:sz w:val="21"/>
          <w:szCs w:val="21"/>
        </w:rPr>
        <w:t xml:space="preserve">Two statements in earlier notes and slides were inaccurate, and both are corrected here. First, </w:t>
      </w:r>
      <w:r>
        <w:rPr>
          <w:rFonts w:ascii="Arial" w:cs="Arial" w:eastAsia="Arial" w:hAnsi="Arial"/>
          <w:b/>
          <w:bCs/>
          <w:sz w:val="21"/>
          <w:szCs w:val="21"/>
        </w:rPr>
        <w:t xml:space="preserve">the input is not band-passed</w:t>
      </w:r>
      <w:r>
        <w:rPr>
          <w:rFonts w:ascii="Arial" w:cs="Arial" w:eastAsia="Arial" w:hAnsi="Arial"/>
          <w:sz w:val="21"/>
          <w:szCs w:val="21"/>
        </w:rPr>
        <w:t xml:space="preserve">. The preprocessing subtracts each window mean and scales each channel to unit variance, and no frequency filter is applied. Earlier descriptions called the input band-passed, which it is not. Whether a real filter helps is now an open experiment rather than a property of the model.</w:t>
      </w:r>
    </w:p>
    <w:p>
      <w:pPr>
        <w:spacing w:after="120" w:before="80" w:line="280"/>
        <w:jc w:val="both"/>
      </w:pPr>
      <w:r>
        <w:rPr>
          <w:rFonts w:ascii="Arial" w:cs="Arial" w:eastAsia="Arial" w:hAnsi="Arial"/>
          <w:sz w:val="21"/>
          <w:szCs w:val="21"/>
        </w:rPr>
        <w:t xml:space="preserve">Second, </w:t>
      </w:r>
      <w:r>
        <w:rPr>
          <w:rFonts w:ascii="Arial" w:cs="Arial" w:eastAsia="Arial" w:hAnsi="Arial"/>
          <w:b/>
          <w:bCs/>
          <w:sz w:val="21"/>
          <w:szCs w:val="21"/>
        </w:rPr>
        <w:t xml:space="preserve">the channel attention weighs learned features, not sensors</w:t>
      </w:r>
      <w:r>
        <w:rPr>
          <w:rFonts w:ascii="Arial" w:cs="Arial" w:eastAsia="Arial" w:hAnsi="Arial"/>
          <w:sz w:val="21"/>
          <w:szCs w:val="21"/>
        </w:rPr>
        <w:t xml:space="preserve">. It rescales the 64 feature channels produced by the third convolution block. Those features mix all four sensors, so the attention does not directly choose between the accelerometer and the optical channel as the April slides suggested.</w:t>
      </w:r>
    </w:p>
    <w:p>
      <w:pPr>
        <w:pStyle w:val="Heading1"/>
      </w:pPr>
      <w:r>
        <w:rPr>
          <w:rFonts w:ascii="Arial" w:cs="Arial" w:eastAsia="Arial" w:hAnsi="Arial"/>
        </w:rPr>
        <w:t xml:space="preserve">3 End-to-End Pipeline</w:t>
      </w:r>
    </w:p>
    <w:p>
      <w:pPr>
        <w:spacing w:after="120" w:before="80" w:line="280"/>
        <w:jc w:val="both"/>
      </w:pPr>
      <w:r>
        <w:rPr>
          <w:rFonts w:ascii="Arial" w:cs="Arial" w:eastAsia="Arial" w:hAnsi="Arial"/>
          <w:sz w:val="21"/>
          <w:szCs w:val="21"/>
        </w:rPr>
        <w:t xml:space="preserve">Figure 1 shows the full path from the database to a decision. Table 1 lists every step in order, grouped by stage. Shapes are written as time steps by channels.</w:t>
      </w:r>
    </w:p>
    <w:p>
      <w:pPr>
        <w:spacing w:after="60" w:before="120"/>
        <w:jc w:val="center"/>
      </w:pPr>
      <w:r>
        <w:drawing>
          <wp:inline distT="0" distB="0" distL="0" distR="0">
            <wp:extent cx="6035040" cy="29077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5040" cy="2907792"/>
                    </a:xfrm>
                    <a:prstGeom prst="rect">
                      <a:avLst/>
                    </a:prstGeom>
                  </pic:spPr>
                </pic:pic>
              </a:graphicData>
            </a:graphic>
          </wp:inline>
        </w:drawing>
      </w:r>
    </w:p>
    <w:p>
      <w:pPr>
        <w:spacing w:after="200" w:before="60"/>
      </w:pPr>
      <w:r>
        <w:rPr>
          <w:rFonts w:ascii="Arial" w:cs="Arial" w:eastAsia="Arial" w:hAnsi="Arial"/>
          <w:i/>
          <w:iCs/>
          <w:color w:val="595959"/>
          <w:sz w:val="16"/>
          <w:szCs w:val="16"/>
        </w:rPr>
        <w:t xml:space="preserve">Figure 1. Model B end to end. Green boxes prepare the data, blue boxes extract features, purple boxes apply attention and combine features, orange boxes produce the decision, and the grey dashed box is used only during training.</w:t>
      </w:r>
    </w:p>
    <w:p>
      <w:pPr>
        <w:keepNext/>
        <w:spacing w:after="80" w:before="200"/>
      </w:pPr>
      <w:r>
        <w:rPr>
          <w:rFonts w:ascii="Arial" w:cs="Arial" w:eastAsia="Arial" w:hAnsi="Arial"/>
          <w:b/>
          <w:bCs/>
          <w:sz w:val="18"/>
          <w:szCs w:val="18"/>
        </w:rPr>
        <w:t xml:space="preserve">Table 1. Every step of Model 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50"/>
        <w:gridCol w:w="560"/>
        <w:gridCol w:w="1850"/>
        <w:gridCol w:w="2620"/>
        <w:gridCol w:w="3700"/>
      </w:tblGrid>
      <w:tr>
        <w:trPr>
          <w:tblHeader/>
        </w:trPr>
        <w:tc>
          <w:tcPr>
            <w:tcW w:type="dxa" w:w="135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Stage</w:t>
            </w:r>
          </w:p>
        </w:tc>
        <w:tc>
          <w:tcPr>
            <w:tcW w:type="dxa" w:w="56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Step</w:t>
            </w:r>
          </w:p>
        </w:tc>
        <w:tc>
          <w:tcPr>
            <w:tcW w:type="dxa" w:w="185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Operation</w:t>
            </w:r>
          </w:p>
        </w:tc>
        <w:tc>
          <w:tcPr>
            <w:tcW w:type="dxa" w:w="262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Parameters</w:t>
            </w:r>
          </w:p>
        </w:tc>
        <w:tc>
          <w:tcPr>
            <w:tcW w:type="dxa" w:w="370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Description</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Data</w:t>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1</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Load annotations</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study_data.numeric_data, CHGT, BOGT, BIGT at 10 Hz</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Reads chew, bout and bite labels for each session, one full day per record. A value of -1 means not annotated.</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2</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Define eating per sample</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eating = BOGT &gt; 0 or BIGT &gt; 0</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A 10 Hz sample is eating when it falls in a chewing bout or a bite. Samples missing in both are left as -1.</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3</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Find the annotated span</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first to last non-missing sample</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Only the video-annotated part of the day is used. Unannotated time is never treated as not eating.</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4</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Load sensor packets</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aim_raw_data XYZO, 4 x 1,022 samples per packet</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Accelerometer X, Y, Z and optical at 128 Hz. data_timestamp is read as the packet start, as verified by the alignment check.</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5</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Place samples on a 128 Hz grid</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missing = -1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Each packet is written at its timestamp. The 2 samples between 1,022-sample packets stay -1, which gives about 99.8% coverage.</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Windows</w:t>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6</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Cut windows</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8 s = 1,024 samples</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Training uses a 4 s hop (50% overlap). Evaluation uses only the non-overlapping 8 s grid.</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7</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Quality filter</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keep if &gt;= 50% labelled and &lt;= 50% sensor missing</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Drops windows that are mostly unannotated or mostly without sensor data.</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8</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Window label</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eating if &gt; 50% of labelled samples are eating</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One binary label per window, the same majority rule as the AIM-2 paper.</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9</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Chew target</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count of CHGT marks in the window</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Used only by the auxiliary head during training.</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Preprocessing</w:t>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10</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Per-window z-score</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each channel, each window</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Missing samples are excluded, the rest are shifted to mean 0 and scaled to standard deviation 1, and missing samples are then set to 0. No frequency filter is applied.</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Network</w:t>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11</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Input</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(1024, 4)</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8 s of the four channels.</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12</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Conv block 1</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Conv1D 32 filters, kernel 9, stride 2 &gt; BatchNorm &gt; ReLU &gt; MaxPool 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Output (256, 32). Learns short local patterns and cuts the sequence by 4. 1,312 parameters.</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13</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Conv block 2</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Conv1D 64 filters, kernel 9, stride 2 &gt; BatchNorm &gt; ReLU &gt; MaxPool 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Output (64, 64). Longer patterns. 18,752 parameters.</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14</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Conv block 3</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Conv1D 64 filters, kernel 5, stride 1 &gt; BatchNorm &gt; ReLU</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Output (64, 64). Each of the 64 time steps covers 0.125 s, and each feature sees about 0.9 s of signal, roughly one chew cycle. 20,800 parameters.</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15</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Channel attention (squeeze and excitation)</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average over time &gt; Dense 16 ReLU &gt; Dense 64 sigmoid &gt; multiply</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Scores each of the 64 learned feature channels between 0 and 1 and rescales them. It acts on learned features, not directly on the 4 sensors. 2,128 parameters.</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16</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Attention pooling over time</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Conv1D 1 x 1 &gt; softmax over 64 steps &gt; weighted sum</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Gives each time step a weight and sums the sequence into one 64-value vector, so a short bite is not averaged away. 65 parameters.</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17</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Shared dense layer</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Dense 64 ReLU &gt; Dropout 0.3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Combines the pooled features. Dropout reduces overfitting. 4,160 parameters.</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18</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Food head</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Dense 1 sigmoid</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Probability that the window is eating. The only output used for prediction. 65 parameters.</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19</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Chew head (training only)</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Dense 32 ReLU &gt; Dense 1 softplus</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Predicts the scaled chew count. Discarded after training. 2,113 parameters.</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Training</w:t>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20</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Loss</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BCE(food) + 0.2 x MSE(chews)</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Chew counts are divided by the 99th percentile of the training participants so both losses sit on a similar scale.</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21</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Class balance</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weight = total / (2 x class count)</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Computed per fold, so neither class can be ignored.</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22</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Optimiser</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Adam, learning rate 0.001, batch 64</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Standard defaults.</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23</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Stopping and schedule</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max 80 epochs, early stop patience 12, halve LR after 4 flat epochs, min 1e-5</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Monitors validation loss and restores the best weights.</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Evaluation</w:t>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24</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Cross-validation</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leave one subject out, 20 folds</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Each participant is tested once by a model that never saw them.</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25</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Inner validation</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2 training participants per fold, rotated</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Used for early stopping and the threshold. Never the test participant.</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26</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Decision threshold</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grid 0.05 to 0.95, maximise F1, centre of the plateau</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Chosen on the inner validation participants, then applied unchanged to the test participant.</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
            </w:r>
          </w:p>
        </w:tc>
        <w:tc>
          <w:tcPr>
            <w:tcW w:type="dxa" w:w="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27</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Metrics</w:t>
            </w:r>
          </w:p>
        </w:tc>
        <w:tc>
          <w:tcPr>
            <w:tcW w:type="dxa" w:w="262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Roboto Mono" w:cs="Roboto Mono" w:eastAsia="Roboto Mono" w:hAnsi="Roboto Mono"/>
                <w:b w:val="false"/>
                <w:bCs w:val="false"/>
                <w:color w:val="38761D"/>
                <w:sz w:val="13"/>
                <w:szCs w:val="13"/>
              </w:rPr>
              <w:t xml:space="preserve">F1, balanced accuracy, precision, recall, specificity</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Pooled over all held-out windows and reported per participant.</w:t>
            </w:r>
          </w:p>
        </w:tc>
      </w:tr>
    </w:tbl>
    <w:p>
      <w:pPr>
        <w:spacing w:after="200" w:before="60"/>
      </w:pPr>
      <w:r>
        <w:rPr>
          <w:rFonts w:ascii="Arial" w:cs="Arial" w:eastAsia="Arial" w:hAnsi="Arial"/>
          <w:i/>
          <w:iCs/>
          <w:color w:val="595959"/>
          <w:sz w:val="16"/>
          <w:szCs w:val="16"/>
        </w:rPr>
        <w:t xml:space="preserve">Total parameters 49,395 during training and 47,282 at prediction time, counted from a Keras build of the model.</w:t>
      </w:r>
    </w:p>
    <w:p>
      <w:pPr>
        <w:spacing w:after="120" w:before="80" w:line="280"/>
        <w:jc w:val="both"/>
      </w:pPr>
      <w:r>
        <w:rPr>
          <w:rFonts w:ascii="Arial" w:cs="Arial" w:eastAsia="Arial" w:hAnsi="Arial"/>
          <w:sz w:val="21"/>
          <w:szCs w:val="21"/>
        </w:rPr>
        <w:t xml:space="preserve">Two properties of the network are worth stating explicitly because they follow from the numbers above rather than from any design document. The first two blocks reduce the 1,024 input samples to 64 time steps, so each step of the attention layers represents 0.125 s of signal. The receptive field of a single feature after the third block is 115 samples, about 0.9 s, which is close to one chewing cycle at the 0.94 to 2 Hz chewing rate reported for this sensor placement [1]. The attention pooling then chooses among 64 such overlapping views of the window.</w:t>
      </w:r>
    </w:p>
    <w:p>
      <w:pPr>
        <w:pStyle w:val="Heading1"/>
      </w:pPr>
      <w:r>
        <w:rPr>
          <w:rFonts w:ascii="Arial" w:cs="Arial" w:eastAsia="Arial" w:hAnsi="Arial"/>
        </w:rPr>
        <w:t xml:space="preserve">4 Precedent for Each Design Choice</w:t>
      </w:r>
    </w:p>
    <w:p>
      <w:pPr>
        <w:spacing w:after="120" w:before="80" w:line="280"/>
        <w:jc w:val="both"/>
      </w:pPr>
      <w:r>
        <w:rPr>
          <w:rFonts w:ascii="Arial" w:cs="Arial" w:eastAsia="Arial" w:hAnsi="Arial"/>
          <w:sz w:val="21"/>
          <w:szCs w:val="21"/>
        </w:rPr>
        <w:t xml:space="preserve">Table 2 pairs each component with the published work it follows. The status column separates choices that are established practice from those that are new on AIM data and from those that remain open. Two entries have no direct precedent in the literature reviewed, and they are marked as such rather than given a weak citation.</w:t>
      </w:r>
    </w:p>
    <w:p>
      <w:pPr>
        <w:keepNext/>
        <w:spacing w:after="80" w:before="200"/>
      </w:pPr>
      <w:r>
        <w:rPr>
          <w:rFonts w:ascii="Arial" w:cs="Arial" w:eastAsia="Arial" w:hAnsi="Arial"/>
          <w:b/>
          <w:bCs/>
          <w:sz w:val="18"/>
          <w:szCs w:val="18"/>
        </w:rPr>
        <w:t xml:space="preserve">Table 2. Design choices and their precedent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2550"/>
        <w:gridCol w:w="3980"/>
        <w:gridCol w:w="1900"/>
      </w:tblGrid>
      <w:tr>
        <w:trPr>
          <w:tblHeader/>
        </w:trPr>
        <w:tc>
          <w:tcPr>
            <w:tcW w:type="dxa" w:w="165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Component</w:t>
            </w:r>
          </w:p>
        </w:tc>
        <w:tc>
          <w:tcPr>
            <w:tcW w:type="dxa" w:w="255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Model B</w:t>
            </w:r>
          </w:p>
        </w:tc>
        <w:tc>
          <w:tcPr>
            <w:tcW w:type="dxa" w:w="398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Precedent</w:t>
            </w:r>
          </w:p>
        </w:tc>
        <w:tc>
          <w:tcPr>
            <w:tcW w:type="dxa" w:w="190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Status</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Sensors</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Accelerometer X, Y, Z and optical over the temporalis</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Same four AIM-2.1 channels [2]. Optical sensing on smart glasses reached F1 0.91 [8]. Temporalis activity reflects chewing [9, 1]</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Established</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Sampling rate</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128 Hz, the device rate</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AIM-2 records at 128 Hz [1, 2]. Accuracy holds down to about 10 to 25 Hz in activity recognition [28]</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Established. 32 Hz test planned</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Window length</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8 s</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8 s epochs [2]. Others used 10 s [1], 15 s [3] and 5 s [4]. Window size changes results [38]</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Established. 4 and 16 s sweep planned</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Window label</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Eating if more than 50% of the window is eating</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Same majority rule [1]</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Established</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Annotated time only</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Unannotated time is dropped, never labelled not eating</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Labels come only from ground truth [1, 2]</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Established</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Missing samples</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Excluded from the z-score, then set to 0</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No direct precedent found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Design choice, covered by pipeline tests</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Normalisation</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Z-score per window and per channel</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Normalisation for inter-subject variation [1]. Z-normalised series are standard in time series classification [14, 15]</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Established</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Filtering</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None. The input is not band-passed</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Raw input without filtering [2]. AIM-2 used a 0.1 Hz high-pass and 3 Hz low-pass [1]</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Open. Filter test planned</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Input representation</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Time series, not FFT magnitude</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Raw time series with CNNs [2, 15, 14, 12]</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Own ablation. FFT input costs 0.087 F1</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Convolution trunk</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Three 1D conv blocks with BatchNorm and ReLU</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1D CNNs for time series [15, 14]. Deeper conv stacks helped on AIM [2]. BatchNorm [29]</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Established</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Strided convolution</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Stride 2 plus max pooling to shorten the sequence</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Strided convolution as downsampling [36]</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Established</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Channel attention</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Squeeze and excitation on the 64 learned channels</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Introduced in [17]. Used in time series classification [16] and radio signals [6]</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Standard. Own ablation within noise</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Attention pooling</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Softmax weights over 64 time steps</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Attention over time in activity recognition [18]. Attention-based pooling [19]. AIM work used global average pooling [2]</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New on AIM. Within noise</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Dropout</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0.3 after the shared dense layer</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[31]</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Established</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Chew count head</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Auxiliary regression, weight 0.2, training only</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Multitask learning [20]. Chew counting from sensors [11]</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New on AIM. Within noise</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Class weighting</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Per-fold inverse class frequency</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Imbalanced learning [33]. Cost-sensitive training on AIM [3]</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Established</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Optimiser and stopping</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Adam 0.001, early stopping on validation loss</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[30, 34]</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Established</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Overlapping windows</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50% overlap for training, non-overlapping for testing</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Overlap inflates results only under subject-dependent evaluation, and subject cross-validation is recommended [21]</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Own ablation. +0.025 F1</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Cross-validation</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Leave one subject out</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Used in [1, 2, 3, 4]. Subject-wise splits are required for a valid estimate [22]</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Established. Lab standard</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Threshold</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Chosen on inner validation participants to maximise F1</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[23]</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Established</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Metrics</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F1 and balanced accuracy lead</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F1 as the headline metric [4, 2]. Balanced accuracy [37]</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Established</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Alignment check</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Cross-correlation of chewing energy with labels</w:t>
            </w:r>
          </w:p>
        </w:tc>
        <w:tc>
          <w:tcPr>
            <w:tcW w:type="dxa" w:w="39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No direct precedent found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Own method, validated on synthetic offsets</w:t>
            </w:r>
          </w:p>
        </w:tc>
      </w:tr>
    </w:tbl>
    <w:p>
      <w:pPr>
        <w:pStyle w:val="Heading1"/>
      </w:pPr>
      <w:r>
        <w:rPr>
          <w:rFonts w:ascii="Arial" w:cs="Arial" w:eastAsia="Arial" w:hAnsi="Arial"/>
        </w:rPr>
        <w:t xml:space="preserve">5 Changes Since the April Proposal</w:t>
      </w:r>
    </w:p>
    <w:p>
      <w:pPr>
        <w:spacing w:after="120" w:before="80" w:line="280"/>
        <w:jc w:val="both"/>
      </w:pPr>
      <w:r>
        <w:rPr>
          <w:rFonts w:ascii="Arial" w:cs="Arial" w:eastAsia="Arial" w:hAnsi="Arial"/>
          <w:sz w:val="21"/>
          <w:szCs w:val="21"/>
        </w:rPr>
        <w:t xml:space="preserve">The model presented on 22 April set out the core idea, which is unchanged. Table 3 lists every parameter that has moved since then, so the approved design and the running design can be compared directly.</w:t>
      </w:r>
    </w:p>
    <w:p>
      <w:pPr>
        <w:keepNext/>
        <w:spacing w:after="80" w:before="200"/>
      </w:pPr>
      <w:r>
        <w:rPr>
          <w:rFonts w:ascii="Arial" w:cs="Arial" w:eastAsia="Arial" w:hAnsi="Arial"/>
          <w:b/>
          <w:bCs/>
          <w:sz w:val="18"/>
          <w:szCs w:val="18"/>
        </w:rPr>
        <w:t xml:space="preserve">Table 3. The 4/22 proposal against Model B as it now runs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4180"/>
      </w:tblGrid>
      <w:tr>
        <w:trPr>
          <w:tblHeader/>
        </w:trPr>
        <w:tc>
          <w:tcPr>
            <w:tcW w:type="dxa" w:w="240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6"/>
                <w:szCs w:val="16"/>
              </w:rPr>
              <w:t xml:space="preserve">Component</w:t>
            </w:r>
          </w:p>
        </w:tc>
        <w:tc>
          <w:tcPr>
            <w:tcW w:type="dxa" w:w="350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6"/>
                <w:szCs w:val="16"/>
              </w:rPr>
              <w:t xml:space="preserve">4/22 proposal</w:t>
            </w:r>
          </w:p>
        </w:tc>
        <w:tc>
          <w:tcPr>
            <w:tcW w:type="dxa" w:w="418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6"/>
                <w:szCs w:val="16"/>
              </w:rPr>
              <w:t xml:space="preserve">Model B now</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6"/>
                <w:szCs w:val="16"/>
              </w:rPr>
              <w:t xml:space="preserve">Participants</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14</w:t>
            </w:r>
          </w:p>
        </w:tc>
        <w:tc>
          <w:tcPr>
            <w:tcW w:type="dxa" w:w="41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20 (61 sessions available)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6"/>
                <w:szCs w:val="16"/>
              </w:rPr>
              <w:t xml:space="preserve">Window</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10 s, 1,280 samples</w:t>
            </w:r>
          </w:p>
        </w:tc>
        <w:tc>
          <w:tcPr>
            <w:tcW w:type="dxa" w:w="41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8 s, 1,024 samples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6"/>
                <w:szCs w:val="16"/>
              </w:rPr>
              <w:t xml:space="preserve">Filtering</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0.1 Hz high-pass</w:t>
            </w:r>
          </w:p>
        </w:tc>
        <w:tc>
          <w:tcPr>
            <w:tcW w:type="dxa" w:w="41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None, z-score only</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6"/>
                <w:szCs w:val="16"/>
              </w:rPr>
              <w:t xml:space="preserve">Conv layers</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2 (16 and 32 filters, kernels 5 and 9)</w:t>
            </w:r>
          </w:p>
        </w:tc>
        <w:tc>
          <w:tcPr>
            <w:tcW w:type="dxa" w:w="41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3 (32, 64, 64 filters, kernels 9, 9, 5), strided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6"/>
                <w:szCs w:val="16"/>
              </w:rPr>
              <w:t xml:space="preserve">Channel attention</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Reduction ratio 8</w:t>
            </w:r>
          </w:p>
        </w:tc>
        <w:tc>
          <w:tcPr>
            <w:tcW w:type="dxa" w:w="41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Squeeze and excitation, reduction 4</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6"/>
                <w:szCs w:val="16"/>
              </w:rPr>
              <w:t xml:space="preserve">Dense and dropout</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Dense 16, dropout 0.2</w:t>
            </w:r>
          </w:p>
        </w:tc>
        <w:tc>
          <w:tcPr>
            <w:tcW w:type="dxa" w:w="41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Dense 64, dropout 0.3</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6"/>
                <w:szCs w:val="16"/>
              </w:rPr>
              <w:t xml:space="preserve">Outputs</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Food only</w:t>
            </w:r>
          </w:p>
        </w:tc>
        <w:tc>
          <w:tcPr>
            <w:tcW w:type="dxa" w:w="41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Food plus chew count (training only)</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6"/>
                <w:szCs w:val="16"/>
              </w:rPr>
              <w:t xml:space="preserve">Batch, epochs, patience</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32, 30, 5</w:t>
            </w:r>
          </w:p>
        </w:tc>
        <w:tc>
          <w:tcPr>
            <w:tcW w:type="dxa" w:w="41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64, 80, 12</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6"/>
                <w:szCs w:val="16"/>
              </w:rPr>
              <w:t xml:space="preserve">Training windows</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Non-overlapping</w:t>
            </w:r>
          </w:p>
        </w:tc>
        <w:tc>
          <w:tcPr>
            <w:tcW w:type="dxa" w:w="41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50% overlap, tested non-overlapping</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6"/>
                <w:szCs w:val="16"/>
              </w:rPr>
              <w:t xml:space="preserve">Validation</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4 folds plus 2 held-out participants</w:t>
            </w:r>
          </w:p>
        </w:tc>
        <w:tc>
          <w:tcPr>
            <w:tcW w:type="dxa" w:w="41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Leave one subject out</w:t>
            </w:r>
          </w:p>
        </w:tc>
      </w:tr>
    </w:tbl>
    <w:p>
      <w:pPr>
        <w:pStyle w:val="Heading1"/>
      </w:pPr>
      <w:r>
        <w:rPr>
          <w:rFonts w:ascii="Arial" w:cs="Arial" w:eastAsia="Arial" w:hAnsi="Arial"/>
        </w:rPr>
        <w:t xml:space="preserve">6 Current Performance</w:t>
      </w:r>
    </w:p>
    <w:p>
      <w:pPr>
        <w:spacing w:after="120" w:before="80" w:line="280"/>
        <w:jc w:val="both"/>
      </w:pPr>
      <w:r>
        <w:rPr>
          <w:rFonts w:ascii="Arial" w:cs="Arial" w:eastAsia="Arial" w:hAnsi="Arial"/>
          <w:sz w:val="21"/>
          <w:szCs w:val="21"/>
        </w:rPr>
        <w:t xml:space="preserve">Table 4 reports Model B under both evaluation schemes on the 20 annotated sessions. Leave one subject out is the lab standard and is the scheme used from here on. The 4-fold numbers are kept for continuity with earlier meetings.</w:t>
      </w:r>
    </w:p>
    <w:p>
      <w:pPr>
        <w:keepNext/>
        <w:spacing w:after="80" w:before="200"/>
      </w:pPr>
      <w:r>
        <w:rPr>
          <w:rFonts w:ascii="Arial" w:cs="Arial" w:eastAsia="Arial" w:hAnsi="Arial"/>
          <w:b/>
          <w:bCs/>
          <w:sz w:val="18"/>
          <w:szCs w:val="18"/>
        </w:rPr>
        <w:t xml:space="preserve">Table 4. Model B results pooled over all held-out windows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80"/>
        <w:gridCol w:w="1060"/>
        <w:gridCol w:w="1260"/>
        <w:gridCol w:w="1600"/>
        <w:gridCol w:w="1260"/>
        <w:gridCol w:w="1060"/>
        <w:gridCol w:w="1560"/>
      </w:tblGrid>
      <w:tr>
        <w:trPr>
          <w:tblHeader/>
        </w:trPr>
        <w:tc>
          <w:tcPr>
            <w:tcW w:type="dxa" w:w="228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6"/>
                <w:szCs w:val="16"/>
              </w:rPr>
              <w:t xml:space="preserve">Evaluation</w:t>
            </w:r>
          </w:p>
        </w:tc>
        <w:tc>
          <w:tcPr>
            <w:tcW w:type="dxa" w:w="106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6"/>
                <w:szCs w:val="16"/>
              </w:rPr>
              <w:t xml:space="preserve">F1</w:t>
            </w:r>
          </w:p>
        </w:tc>
        <w:tc>
          <w:tcPr>
            <w:tcW w:type="dxa" w:w="126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6"/>
                <w:szCs w:val="16"/>
              </w:rPr>
              <w:t xml:space="preserve">Accuracy</w:t>
            </w:r>
          </w:p>
        </w:tc>
        <w:tc>
          <w:tcPr>
            <w:tcW w:type="dxa" w:w="160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6"/>
                <w:szCs w:val="16"/>
              </w:rPr>
              <w:t xml:space="preserve">Balanced accuracy</w:t>
            </w:r>
          </w:p>
        </w:tc>
        <w:tc>
          <w:tcPr>
            <w:tcW w:type="dxa" w:w="126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6"/>
                <w:szCs w:val="16"/>
              </w:rPr>
              <w:t xml:space="preserve">Precision</w:t>
            </w:r>
          </w:p>
        </w:tc>
        <w:tc>
          <w:tcPr>
            <w:tcW w:type="dxa" w:w="106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6"/>
                <w:szCs w:val="16"/>
              </w:rPr>
              <w:t xml:space="preserve">Recall</w:t>
            </w:r>
          </w:p>
        </w:tc>
        <w:tc>
          <w:tcPr>
            <w:tcW w:type="dxa" w:w="156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6"/>
                <w:szCs w:val="16"/>
              </w:rPr>
              <w:t xml:space="preserve">False positive rate</w:t>
            </w:r>
          </w:p>
        </w:tc>
      </w:tr>
      <w:tr>
        <w:trPr>
          <w:cantSplit/>
        </w:trPr>
        <w:tc>
          <w:tcPr>
            <w:tcW w:type="dxa" w:w="22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6"/>
                <w:szCs w:val="16"/>
              </w:rPr>
              <w:t xml:space="preserve">Leave one subject out</w:t>
            </w:r>
          </w:p>
        </w:tc>
        <w:tc>
          <w:tcPr>
            <w:tcW w:type="dxa" w:w="10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0.838</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0.890</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0.879</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0.828</w:t>
            </w:r>
          </w:p>
        </w:tc>
        <w:tc>
          <w:tcPr>
            <w:tcW w:type="dxa" w:w="10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0.848</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8.9%</w:t>
            </w:r>
          </w:p>
        </w:tc>
      </w:tr>
      <w:tr>
        <w:trPr>
          <w:cantSplit/>
        </w:trPr>
        <w:tc>
          <w:tcPr>
            <w:tcW w:type="dxa" w:w="22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6"/>
                <w:szCs w:val="16"/>
              </w:rPr>
              <w:t xml:space="preserve">4-fold by participant</w:t>
            </w:r>
          </w:p>
        </w:tc>
        <w:tc>
          <w:tcPr>
            <w:tcW w:type="dxa" w:w="10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0.854</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0.905</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0.887</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0.876</w:t>
            </w:r>
          </w:p>
        </w:tc>
        <w:tc>
          <w:tcPr>
            <w:tcW w:type="dxa" w:w="10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0.834</w:t>
            </w:r>
          </w:p>
        </w:tc>
        <w:tc>
          <w:tcPr>
            <w:tcW w:type="dxa" w:w="156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6"/>
                <w:szCs w:val="16"/>
              </w:rPr>
              <w:t xml:space="preserve">6.0%</w:t>
            </w:r>
          </w:p>
        </w:tc>
      </w:tr>
    </w:tbl>
    <w:p>
      <w:pPr>
        <w:spacing w:after="200" w:before="60"/>
      </w:pPr>
      <w:r>
        <w:rPr>
          <w:rFonts w:ascii="Arial" w:cs="Arial" w:eastAsia="Arial" w:hAnsi="Arial"/>
          <w:i/>
          <w:iCs/>
          <w:color w:val="595959"/>
          <w:sz w:val="16"/>
          <w:szCs w:val="16"/>
        </w:rPr>
        <w:t xml:space="preserve">3,503 non-overlapping 8 s windows, 1,175 eating and 2,328 not eating.</w:t>
      </w:r>
    </w:p>
    <w:p>
      <w:pPr>
        <w:pStyle w:val="Heading1"/>
      </w:pPr>
      <w:r>
        <w:rPr>
          <w:rFonts w:ascii="Arial" w:cs="Arial" w:eastAsia="Arial" w:hAnsi="Arial"/>
        </w:rPr>
        <w:t xml:space="preserve">7 Reducing False Positives</w:t>
      </w:r>
    </w:p>
    <w:p>
      <w:pPr>
        <w:spacing w:after="120" w:before="80" w:line="280"/>
        <w:jc w:val="both"/>
      </w:pPr>
      <w:r>
        <w:rPr>
          <w:rFonts w:ascii="Arial" w:cs="Arial" w:eastAsia="Arial" w:hAnsi="Arial"/>
          <w:sz w:val="21"/>
          <w:szCs w:val="21"/>
        </w:rPr>
        <w:t xml:space="preserve">False positives are the priority. Under leave one subject out, 207 of 2,328 non-eating windows were called eating, a false positive rate of 8.9%. Table 5 lists the planned experiments in order of cost, each with its precedent. The first requires no retraining and sets the baseline for the rest.</w:t>
      </w:r>
    </w:p>
    <w:p>
      <w:pPr>
        <w:keepNext/>
        <w:spacing w:after="80" w:before="200"/>
      </w:pPr>
      <w:r>
        <w:rPr>
          <w:rFonts w:ascii="Arial" w:cs="Arial" w:eastAsia="Arial" w:hAnsi="Arial"/>
          <w:b/>
          <w:bCs/>
          <w:sz w:val="18"/>
          <w:szCs w:val="18"/>
        </w:rPr>
        <w:t xml:space="preserve">Table 5. Planned experiments to lower the false positive rate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2200"/>
        <w:gridCol w:w="2080"/>
      </w:tblGrid>
      <w:tr>
        <w:trPr>
          <w:tblHeader/>
        </w:trPr>
        <w:tc>
          <w:tcPr>
            <w:tcW w:type="dxa" w:w="210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Approach</w:t>
            </w:r>
          </w:p>
        </w:tc>
        <w:tc>
          <w:tcPr>
            <w:tcW w:type="dxa" w:w="370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What it does</w:t>
            </w:r>
          </w:p>
        </w:tc>
        <w:tc>
          <w:tcPr>
            <w:tcW w:type="dxa" w:w="220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Precedent</w:t>
            </w:r>
          </w:p>
        </w:tc>
        <w:tc>
          <w:tcPr>
            <w:tcW w:type="dxa" w:w="2080"/>
            <w:tcBorders>
              <w:top w:val="single" w:color="000000" w:sz="4"/>
              <w:left w:val="single" w:color="000000" w:sz="4"/>
              <w:bottom w:val="single" w:color="000000" w:sz="4"/>
              <w:right w:val="single" w:color="000000" w:sz="4"/>
            </w:tcBorders>
            <w:shd w:fill="9CBBCB" w:color="auto" w:val="clear"/>
            <w:tcMar>
              <w:top w:type="dxa" w:w="50"/>
              <w:left w:type="dxa" w:w="80"/>
              <w:bottom w:type="dxa" w:w="50"/>
              <w:right w:type="dxa" w:w="80"/>
            </w:tcMar>
          </w:tcPr>
          <w:p>
            <w:pPr>
              <w:spacing w:after="0" w:line="240"/>
            </w:pPr>
            <w:r>
              <w:rPr>
                <w:rFonts w:ascii="Arial" w:cs="Arial" w:eastAsia="Arial" w:hAnsi="Arial"/>
                <w:b/>
                <w:bCs/>
                <w:color w:val="FFFFFF"/>
                <w:sz w:val="15"/>
                <w:szCs w:val="15"/>
              </w:rPr>
              <w:t xml:space="preserve">Note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Precision-targeted threshold</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Pick the threshold on validation that keeps the false positive rate under a set target, for example 5%</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[23]</w:t>
            </w:r>
          </w:p>
        </w:tc>
        <w:tc>
          <w:tcPr>
            <w:tcW w:type="dxa" w:w="20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No retraining. Costs some recall</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Negative examples from other datasets</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Add non-eating recordings from other studies into ETS as extra negatives, split by participant</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[3] reports false positives from chewing gum</w:t>
            </w:r>
          </w:p>
        </w:tc>
        <w:tc>
          <w:tcPr>
            <w:tcW w:type="dxa" w:w="20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Agreed at the 9/23 meeting</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Cost-sensitive loss</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Weight a false positive more than a false negative, or use focal loss</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[3, 32]</w:t>
            </w:r>
          </w:p>
        </w:tc>
        <w:tc>
          <w:tcPr>
            <w:tcW w:type="dxa" w:w="20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One parameter to sweep</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Signal-quality gating</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Use accelerometer-only decisions when the optical signal is weak</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[1]</w:t>
            </w:r>
          </w:p>
        </w:tc>
        <w:tc>
          <w:tcPr>
            <w:tcW w:type="dxa" w:w="20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Two-stage rule from AIM-2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bCs/>
                <w:color w:val="000000"/>
                <w:sz w:val="15"/>
                <w:szCs w:val="15"/>
              </w:rPr>
              <w:t xml:space="preserve">Augmentation</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Noise, time masking and shifts during training</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[6]</w:t>
            </w:r>
          </w:p>
        </w:tc>
        <w:tc>
          <w:tcPr>
            <w:tcW w:type="dxa" w:w="208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line="240"/>
            </w:pPr>
            <w:r>
              <w:rPr>
                <w:rFonts w:ascii="Arial" w:cs="Arial" w:eastAsia="Arial" w:hAnsi="Arial"/>
                <w:b w:val="false"/>
                <w:bCs w:val="false"/>
                <w:color w:val="000000"/>
                <w:sz w:val="15"/>
                <w:szCs w:val="15"/>
              </w:rPr>
              <w:t xml:space="preserve">Largest single gain in that paper</w:t>
            </w:r>
          </w:p>
        </w:tc>
      </w:tr>
    </w:tbl>
    <w:p>
      <w:pPr>
        <w:pStyle w:val="Heading1"/>
      </w:pPr>
      <w:r>
        <w:rPr>
          <w:rFonts w:ascii="Arial" w:cs="Arial" w:eastAsia="Arial" w:hAnsi="Arial"/>
        </w:rPr>
        <w:t xml:space="preserve">References</w:t>
      </w:r>
    </w:p>
    <w:p>
      <w:pPr>
        <w:spacing w:after="70" w:line="250"/>
        <w:ind w:left="480" w:hanging="480"/>
      </w:pPr>
      <w:r>
        <w:rPr>
          <w:rFonts w:ascii="Arial" w:cs="Arial" w:eastAsia="Arial" w:hAnsi="Arial"/>
          <w:sz w:val="17"/>
          <w:szCs w:val="17"/>
        </w:rPr>
        <w:t xml:space="preserve">[1]  </w:t>
      </w:r>
      <w:r>
        <w:rPr>
          <w:rFonts w:ascii="Arial" w:cs="Arial" w:eastAsia="Arial" w:hAnsi="Arial"/>
          <w:sz w:val="17"/>
          <w:szCs w:val="17"/>
        </w:rPr>
        <w:t xml:space="preserve">A. Doulah, T. Ghosh, D. Hossain, M. H. Imtiaz, E. Sazonov, "Automatic Ingestion Monitor Version 2 - A novel wearable device for automatic food intake detection and passive capture of food images," IEEE Journal of Biomedical and Health Informatics, vol. 25, no. 2, pp. 568-576, 2021. doi 10.1109/JBHI.2020.2995473</w:t>
      </w:r>
    </w:p>
    <w:p>
      <w:pPr>
        <w:spacing w:after="70" w:line="250"/>
        <w:ind w:left="480" w:hanging="480"/>
      </w:pPr>
      <w:r>
        <w:rPr>
          <w:rFonts w:ascii="Arial" w:cs="Arial" w:eastAsia="Arial" w:hAnsi="Arial"/>
          <w:sz w:val="17"/>
          <w:szCs w:val="17"/>
        </w:rPr>
        <w:t xml:space="preserve">[2]  </w:t>
      </w:r>
      <w:r>
        <w:rPr>
          <w:rFonts w:ascii="Arial" w:cs="Arial" w:eastAsia="Arial" w:hAnsi="Arial"/>
          <w:sz w:val="17"/>
          <w:szCs w:val="17"/>
        </w:rPr>
        <w:t xml:space="preserve">T. Ghosh, E. Sazonov, "A comparative study of deep learning algorithms for detecting food intake," Proc. 44th Annual Int. Conf. IEEE EMBC, Glasgow, 2022, pp. 2993-2996. doi 10.1109/EMBC48229.2022.9871278</w:t>
      </w:r>
    </w:p>
    <w:p>
      <w:pPr>
        <w:spacing w:after="70" w:line="250"/>
        <w:ind w:left="480" w:hanging="480"/>
      </w:pPr>
      <w:r>
        <w:rPr>
          <w:rFonts w:ascii="Arial" w:cs="Arial" w:eastAsia="Arial" w:hAnsi="Arial"/>
          <w:sz w:val="17"/>
          <w:szCs w:val="17"/>
        </w:rPr>
        <w:t xml:space="preserve">[3]  </w:t>
      </w:r>
      <w:r>
        <w:rPr>
          <w:rFonts w:ascii="Arial" w:cs="Arial" w:eastAsia="Arial" w:hAnsi="Arial"/>
          <w:sz w:val="17"/>
          <w:szCs w:val="17"/>
        </w:rPr>
        <w:t xml:space="preserve">T. Ghosh, Y. Han, V. Raju, D. Hossain, M. A. McCrory, J. Higgins, C. Boushey, E. J. Delp, E. Sazonov, "Integrated image and sensor-based food intake detection in free-living," Scientific Reports, vol. 14, 1665, 2024. doi 10.1038/s41598-024-51687-3</w:t>
      </w:r>
    </w:p>
    <w:p>
      <w:pPr>
        <w:spacing w:after="70" w:line="250"/>
        <w:ind w:left="480" w:hanging="480"/>
      </w:pPr>
      <w:r>
        <w:rPr>
          <w:rFonts w:ascii="Arial" w:cs="Arial" w:eastAsia="Arial" w:hAnsi="Arial"/>
          <w:sz w:val="17"/>
          <w:szCs w:val="17"/>
        </w:rPr>
        <w:t xml:space="preserve">[4]  </w:t>
      </w:r>
      <w:r>
        <w:rPr>
          <w:rFonts w:ascii="Arial" w:cs="Arial" w:eastAsia="Arial" w:hAnsi="Arial"/>
          <w:sz w:val="17"/>
          <w:szCs w:val="17"/>
        </w:rPr>
        <w:t xml:space="preserve">C. Diou, K. Kyritsis, V. Papapanagiotou, I. Sarafis, "Intake monitoring in free-living conditions. Overview and lessons we have learned," Appetite, 2022. doi 10.1016/j.appet.2022.106096</w:t>
      </w:r>
    </w:p>
    <w:p>
      <w:pPr>
        <w:spacing w:after="70" w:line="250"/>
        <w:ind w:left="480" w:hanging="480"/>
      </w:pPr>
      <w:r>
        <w:rPr>
          <w:rFonts w:ascii="Arial" w:cs="Arial" w:eastAsia="Arial" w:hAnsi="Arial"/>
          <w:sz w:val="17"/>
          <w:szCs w:val="17"/>
        </w:rPr>
        <w:t xml:space="preserve">[5]  </w:t>
      </w:r>
      <w:r>
        <w:rPr>
          <w:rFonts w:ascii="Arial" w:cs="Arial" w:eastAsia="Arial" w:hAnsi="Arial"/>
          <w:sz w:val="17"/>
          <w:szCs w:val="17"/>
        </w:rPr>
        <w:t xml:space="preserve">M. Usman, H. Chen, "Recent trends in food intake monitoring using wearable sensors," arXiv 2101.01378, 2021.</w:t>
      </w:r>
    </w:p>
    <w:p>
      <w:pPr>
        <w:spacing w:after="70" w:line="250"/>
        <w:ind w:left="480" w:hanging="480"/>
      </w:pPr>
      <w:r>
        <w:rPr>
          <w:rFonts w:ascii="Arial" w:cs="Arial" w:eastAsia="Arial" w:hAnsi="Arial"/>
          <w:sz w:val="17"/>
          <w:szCs w:val="17"/>
        </w:rPr>
        <w:t xml:space="preserve">[6]  </w:t>
      </w:r>
      <w:r>
        <w:rPr>
          <w:rFonts w:ascii="Arial" w:cs="Arial" w:eastAsia="Arial" w:hAnsi="Arial"/>
          <w:sz w:val="17"/>
          <w:szCs w:val="17"/>
        </w:rPr>
        <w:t xml:space="preserve">J. Yang, Y. Wang, M. Yang, H. Meng, "Signal classification based on multi-scale time-frequency transformer," Physical Communication, vol. 75, 103022, 2026. doi 10.1016/j.phycom.2026.103022</w:t>
      </w:r>
    </w:p>
    <w:p>
      <w:pPr>
        <w:spacing w:after="70" w:line="250"/>
        <w:ind w:left="480" w:hanging="480"/>
      </w:pPr>
      <w:r>
        <w:rPr>
          <w:rFonts w:ascii="Arial" w:cs="Arial" w:eastAsia="Arial" w:hAnsi="Arial"/>
          <w:sz w:val="17"/>
          <w:szCs w:val="17"/>
        </w:rPr>
        <w:t xml:space="preserve">[7]  </w:t>
      </w:r>
      <w:r>
        <w:rPr>
          <w:rFonts w:ascii="Arial" w:cs="Arial" w:eastAsia="Arial" w:hAnsi="Arial"/>
          <w:sz w:val="17"/>
          <w:szCs w:val="17"/>
        </w:rPr>
        <w:t xml:space="preserve">S. Ikram et al., "Transformer-based ECG classification for early detection of cardiac arrhythmias," Frontiers in Medicine, vol. 12, 1600855, 2025. doi 10.3389/fmed.2025.1600855</w:t>
      </w:r>
    </w:p>
    <w:p>
      <w:pPr>
        <w:spacing w:after="70" w:line="250"/>
        <w:ind w:left="480" w:hanging="480"/>
      </w:pPr>
      <w:r>
        <w:rPr>
          <w:rFonts w:ascii="Arial" w:cs="Arial" w:eastAsia="Arial" w:hAnsi="Arial"/>
          <w:sz w:val="17"/>
          <w:szCs w:val="17"/>
        </w:rPr>
        <w:t xml:space="preserve">[8]  </w:t>
      </w:r>
      <w:r>
        <w:rPr>
          <w:rFonts w:ascii="Arial" w:cs="Arial" w:eastAsia="Arial" w:hAnsi="Arial"/>
          <w:sz w:val="17"/>
          <w:szCs w:val="17"/>
        </w:rPr>
        <w:t xml:space="preserve">S. Stankoski, I. Kiprijanovska, M. Gjoreski, F. Panchevski, B. Sazdov, B. Sofronievski, A. Cleal, M. Fatoorechi, C. Nduka, H. Gjoreski, "Controlled and real-life investigation of optical tracking sensors in smart glasses for monitoring eating behavior using deep learning. Cross-sectional study," JMIR mHealth and uHealth, vol. 12, e59469, 2024.</w:t>
      </w:r>
    </w:p>
    <w:p>
      <w:pPr>
        <w:spacing w:after="70" w:line="250"/>
        <w:ind w:left="480" w:hanging="480"/>
      </w:pPr>
      <w:r>
        <w:rPr>
          <w:rFonts w:ascii="Arial" w:cs="Arial" w:eastAsia="Arial" w:hAnsi="Arial"/>
          <w:sz w:val="17"/>
          <w:szCs w:val="17"/>
        </w:rPr>
        <w:t xml:space="preserve">[9]  </w:t>
      </w:r>
      <w:r>
        <w:rPr>
          <w:rFonts w:ascii="Arial" w:cs="Arial" w:eastAsia="Arial" w:hAnsi="Arial"/>
          <w:sz w:val="17"/>
          <w:szCs w:val="17"/>
        </w:rPr>
        <w:t xml:space="preserve">R. Zhang, O. Amft, "Monitoring chewing and eating in free-living using smart eyeglasses," IEEE Journal of Biomedical and Health Informatics, vol. 22, no. 1, pp. 23-32, 2018. doi 10.1109/JBHI.2017.2698523</w:t>
      </w:r>
    </w:p>
    <w:p>
      <w:pPr>
        <w:spacing w:after="70" w:line="250"/>
        <w:ind w:left="480" w:hanging="480"/>
      </w:pPr>
      <w:r>
        <w:rPr>
          <w:rFonts w:ascii="Arial" w:cs="Arial" w:eastAsia="Arial" w:hAnsi="Arial"/>
          <w:sz w:val="17"/>
          <w:szCs w:val="17"/>
        </w:rPr>
        <w:t xml:space="preserve">[10]  </w:t>
      </w:r>
      <w:r>
        <w:rPr>
          <w:rFonts w:ascii="Arial" w:cs="Arial" w:eastAsia="Arial" w:hAnsi="Arial"/>
          <w:sz w:val="17"/>
          <w:szCs w:val="17"/>
        </w:rPr>
        <w:t xml:space="preserve">A. Bedri, D. Li, R. Khurana, K. Bhuwalka, M. Goel, "FitByte. Automatic diet monitoring in unconstrained situations using multimodal sensing on eyeglasses," Proc. CHI Conference on Human Factors in Computing Systems, 2020. doi 10.1145/3313831.3376869</w:t>
      </w:r>
    </w:p>
    <w:p>
      <w:pPr>
        <w:spacing w:after="70" w:line="250"/>
        <w:ind w:left="480" w:hanging="480"/>
      </w:pPr>
      <w:r>
        <w:rPr>
          <w:rFonts w:ascii="Arial" w:cs="Arial" w:eastAsia="Arial" w:hAnsi="Arial"/>
          <w:sz w:val="17"/>
          <w:szCs w:val="17"/>
        </w:rPr>
        <w:t xml:space="preserve">[11]  </w:t>
      </w:r>
      <w:r>
        <w:rPr>
          <w:rFonts w:ascii="Arial" w:cs="Arial" w:eastAsia="Arial" w:hAnsi="Arial"/>
          <w:sz w:val="17"/>
          <w:szCs w:val="17"/>
        </w:rPr>
        <w:t xml:space="preserve">M. Farooq, E. Sazonov, "Automatic measurement of chew count and chewing rate during food intake," Electronics, vol. 5, no. 4, 62, 2016. doi 10.3390/electronics5040062</w:t>
      </w:r>
    </w:p>
    <w:p>
      <w:pPr>
        <w:spacing w:after="70" w:line="250"/>
        <w:ind w:left="480" w:hanging="480"/>
      </w:pPr>
      <w:r>
        <w:rPr>
          <w:rFonts w:ascii="Arial" w:cs="Arial" w:eastAsia="Arial" w:hAnsi="Arial"/>
          <w:sz w:val="17"/>
          <w:szCs w:val="17"/>
        </w:rPr>
        <w:t xml:space="preserve">[12]  </w:t>
      </w:r>
      <w:r>
        <w:rPr>
          <w:rFonts w:ascii="Arial" w:cs="Arial" w:eastAsia="Arial" w:hAnsi="Arial"/>
          <w:sz w:val="17"/>
          <w:szCs w:val="17"/>
        </w:rPr>
        <w:t xml:space="preserve">K. Kyritsis, C. Diou, A. Delopoulos, "A data driven end-to-end approach for in-the-wild monitoring of eating behavior using smartwatches," IEEE Journal of Biomedical and Health Informatics, vol. 25, no. 1, pp. 22-34, 2021.</w:t>
      </w:r>
    </w:p>
    <w:p>
      <w:pPr>
        <w:spacing w:after="70" w:line="250"/>
        <w:ind w:left="480" w:hanging="480"/>
      </w:pPr>
      <w:r>
        <w:rPr>
          <w:rFonts w:ascii="Arial" w:cs="Arial" w:eastAsia="Arial" w:hAnsi="Arial"/>
          <w:sz w:val="17"/>
          <w:szCs w:val="17"/>
        </w:rPr>
        <w:t xml:space="preserve">[13]  </w:t>
      </w:r>
      <w:r>
        <w:rPr>
          <w:rFonts w:ascii="Arial" w:cs="Arial" w:eastAsia="Arial" w:hAnsi="Arial"/>
          <w:sz w:val="17"/>
          <w:szCs w:val="17"/>
        </w:rPr>
        <w:t xml:space="preserve">N. Bahador, D. Ferreira, S. Tamminen, J. Kortelainen, "Deep learning-based multimodal data fusion. Case study in food intake episodes detection using wearable sensors," JMIR mHealth and uHealth, vol. 9, no. 1, e21926, 2021.</w:t>
      </w:r>
    </w:p>
    <w:p>
      <w:pPr>
        <w:spacing w:after="70" w:line="250"/>
        <w:ind w:left="480" w:hanging="480"/>
      </w:pPr>
      <w:r>
        <w:rPr>
          <w:rFonts w:ascii="Arial" w:cs="Arial" w:eastAsia="Arial" w:hAnsi="Arial"/>
          <w:sz w:val="17"/>
          <w:szCs w:val="17"/>
        </w:rPr>
        <w:t xml:space="preserve">[14]  </w:t>
      </w:r>
      <w:r>
        <w:rPr>
          <w:rFonts w:ascii="Arial" w:cs="Arial" w:eastAsia="Arial" w:hAnsi="Arial"/>
          <w:sz w:val="17"/>
          <w:szCs w:val="17"/>
        </w:rPr>
        <w:t xml:space="preserve">H. Ismail Fawaz, G. Forestier, J. Weber, L. Idoumghar, P.-A. Muller, "Deep learning for time series classification. A review," Data Mining and Knowledge Discovery, vol. 33, pp. 917-963, 2019. doi 10.1007/s10618-019-00619-1</w:t>
      </w:r>
    </w:p>
    <w:p>
      <w:pPr>
        <w:spacing w:after="70" w:line="250"/>
        <w:ind w:left="480" w:hanging="480"/>
      </w:pPr>
      <w:r>
        <w:rPr>
          <w:rFonts w:ascii="Arial" w:cs="Arial" w:eastAsia="Arial" w:hAnsi="Arial"/>
          <w:sz w:val="17"/>
          <w:szCs w:val="17"/>
        </w:rPr>
        <w:t xml:space="preserve">[15]  </w:t>
      </w:r>
      <w:r>
        <w:rPr>
          <w:rFonts w:ascii="Arial" w:cs="Arial" w:eastAsia="Arial" w:hAnsi="Arial"/>
          <w:sz w:val="17"/>
          <w:szCs w:val="17"/>
        </w:rPr>
        <w:t xml:space="preserve">Z. Wang, W. Yan, T. Oates, "Time series classification from scratch with deep neural networks. A strong baseline," Proc. Int. Joint Conf. Neural Networks (IJCNN), 2017, pp. 1578-1585.</w:t>
      </w:r>
    </w:p>
    <w:p>
      <w:pPr>
        <w:spacing w:after="70" w:line="250"/>
        <w:ind w:left="480" w:hanging="480"/>
      </w:pPr>
      <w:r>
        <w:rPr>
          <w:rFonts w:ascii="Arial" w:cs="Arial" w:eastAsia="Arial" w:hAnsi="Arial"/>
          <w:sz w:val="17"/>
          <w:szCs w:val="17"/>
        </w:rPr>
        <w:t xml:space="preserve">[16]  </w:t>
      </w:r>
      <w:r>
        <w:rPr>
          <w:rFonts w:ascii="Arial" w:cs="Arial" w:eastAsia="Arial" w:hAnsi="Arial"/>
          <w:sz w:val="17"/>
          <w:szCs w:val="17"/>
        </w:rPr>
        <w:t xml:space="preserve">F. Karim, S. Majumdar, H. Darabi, S. Harford, "Multivariate LSTM-FCNs for time series classification," Neural Networks, vol. 116, pp. 237-245, 2019. doi 10.1016/j.neunet.2019.04.014</w:t>
      </w:r>
    </w:p>
    <w:p>
      <w:pPr>
        <w:spacing w:after="70" w:line="250"/>
        <w:ind w:left="480" w:hanging="480"/>
      </w:pPr>
      <w:r>
        <w:rPr>
          <w:rFonts w:ascii="Arial" w:cs="Arial" w:eastAsia="Arial" w:hAnsi="Arial"/>
          <w:sz w:val="17"/>
          <w:szCs w:val="17"/>
        </w:rPr>
        <w:t xml:space="preserve">[17]  </w:t>
      </w:r>
      <w:r>
        <w:rPr>
          <w:rFonts w:ascii="Arial" w:cs="Arial" w:eastAsia="Arial" w:hAnsi="Arial"/>
          <w:sz w:val="17"/>
          <w:szCs w:val="17"/>
        </w:rPr>
        <w:t xml:space="preserve">J. Hu, L. Shen, G. Sun, "Squeeze-and-excitation networks," Proc. IEEE Conf. Computer Vision and Pattern Recognition (CVPR), 2018, pp. 7132-7141.</w:t>
      </w:r>
    </w:p>
    <w:p>
      <w:pPr>
        <w:spacing w:after="70" w:line="250"/>
        <w:ind w:left="480" w:hanging="480"/>
      </w:pPr>
      <w:r>
        <w:rPr>
          <w:rFonts w:ascii="Arial" w:cs="Arial" w:eastAsia="Arial" w:hAnsi="Arial"/>
          <w:sz w:val="17"/>
          <w:szCs w:val="17"/>
        </w:rPr>
        <w:t xml:space="preserve">[18]  </w:t>
      </w:r>
      <w:r>
        <w:rPr>
          <w:rFonts w:ascii="Arial" w:cs="Arial" w:eastAsia="Arial" w:hAnsi="Arial"/>
          <w:sz w:val="17"/>
          <w:szCs w:val="17"/>
        </w:rPr>
        <w:t xml:space="preserve">V. S. Murahari, T. Plötz, "On attention models for human activity recognition," Proc. ACM Int. Symposium on Wearable Computers (ISWC), 2018. doi 10.1145/3267242.3267287</w:t>
      </w:r>
    </w:p>
    <w:p>
      <w:pPr>
        <w:spacing w:after="70" w:line="250"/>
        <w:ind w:left="480" w:hanging="480"/>
      </w:pPr>
      <w:r>
        <w:rPr>
          <w:rFonts w:ascii="Arial" w:cs="Arial" w:eastAsia="Arial" w:hAnsi="Arial"/>
          <w:sz w:val="17"/>
          <w:szCs w:val="17"/>
        </w:rPr>
        <w:t xml:space="preserve">[19]  </w:t>
      </w:r>
      <w:r>
        <w:rPr>
          <w:rFonts w:ascii="Arial" w:cs="Arial" w:eastAsia="Arial" w:hAnsi="Arial"/>
          <w:sz w:val="17"/>
          <w:szCs w:val="17"/>
        </w:rPr>
        <w:t xml:space="preserve">M. Ilse, J. Tomczak, M. Welling, "Attention-based deep multiple instance learning," Proc. Int. Conf. Machine Learning (ICML), 2018.</w:t>
      </w:r>
    </w:p>
    <w:p>
      <w:pPr>
        <w:spacing w:after="70" w:line="250"/>
        <w:ind w:left="480" w:hanging="480"/>
      </w:pPr>
      <w:r>
        <w:rPr>
          <w:rFonts w:ascii="Arial" w:cs="Arial" w:eastAsia="Arial" w:hAnsi="Arial"/>
          <w:sz w:val="17"/>
          <w:szCs w:val="17"/>
        </w:rPr>
        <w:t xml:space="preserve">[20]  </w:t>
      </w:r>
      <w:r>
        <w:rPr>
          <w:rFonts w:ascii="Arial" w:cs="Arial" w:eastAsia="Arial" w:hAnsi="Arial"/>
          <w:sz w:val="17"/>
          <w:szCs w:val="17"/>
        </w:rPr>
        <w:t xml:space="preserve">R. Caruana, "Multitask learning," Machine Learning, vol. 28, pp. 41-75, 1997.</w:t>
      </w:r>
    </w:p>
    <w:p>
      <w:pPr>
        <w:spacing w:after="70" w:line="250"/>
        <w:ind w:left="480" w:hanging="480"/>
      </w:pPr>
      <w:r>
        <w:rPr>
          <w:rFonts w:ascii="Arial" w:cs="Arial" w:eastAsia="Arial" w:hAnsi="Arial"/>
          <w:sz w:val="17"/>
          <w:szCs w:val="17"/>
        </w:rPr>
        <w:t xml:space="preserve">[21]  </w:t>
      </w:r>
      <w:r>
        <w:rPr>
          <w:rFonts w:ascii="Arial" w:cs="Arial" w:eastAsia="Arial" w:hAnsi="Arial"/>
          <w:sz w:val="17"/>
          <w:szCs w:val="17"/>
        </w:rPr>
        <w:t xml:space="preserve">A. Dehghani, O. Sarbishei, T. Glatard, E. Shihab, "A quantitative comparison of overlapping and non-overlapping sliding windows for human activity recognition using inertial sensors," Sensors, vol. 19, no. 22, 5026, 2019. doi 10.3390/s19225026</w:t>
      </w:r>
    </w:p>
    <w:p>
      <w:pPr>
        <w:spacing w:after="70" w:line="250"/>
        <w:ind w:left="480" w:hanging="480"/>
      </w:pPr>
      <w:r>
        <w:rPr>
          <w:rFonts w:ascii="Arial" w:cs="Arial" w:eastAsia="Arial" w:hAnsi="Arial"/>
          <w:sz w:val="17"/>
          <w:szCs w:val="17"/>
        </w:rPr>
        <w:t xml:space="preserve">[22]  </w:t>
      </w:r>
      <w:r>
        <w:rPr>
          <w:rFonts w:ascii="Arial" w:cs="Arial" w:eastAsia="Arial" w:hAnsi="Arial"/>
          <w:sz w:val="17"/>
          <w:szCs w:val="17"/>
        </w:rPr>
        <w:t xml:space="preserve">S. Saeb, L. Lonini, A. Jayaraman, D. C. Mohr, K. P. Kording, "The need to approximate the use-case in clinical machine learning," GigaScience, vol. 6, no. 5, gix019, 2017.</w:t>
      </w:r>
    </w:p>
    <w:p>
      <w:pPr>
        <w:spacing w:after="70" w:line="250"/>
        <w:ind w:left="480" w:hanging="480"/>
      </w:pPr>
      <w:r>
        <w:rPr>
          <w:rFonts w:ascii="Arial" w:cs="Arial" w:eastAsia="Arial" w:hAnsi="Arial"/>
          <w:sz w:val="17"/>
          <w:szCs w:val="17"/>
        </w:rPr>
        <w:t xml:space="preserve">[23]  </w:t>
      </w:r>
      <w:r>
        <w:rPr>
          <w:rFonts w:ascii="Arial" w:cs="Arial" w:eastAsia="Arial" w:hAnsi="Arial"/>
          <w:sz w:val="17"/>
          <w:szCs w:val="17"/>
        </w:rPr>
        <w:t xml:space="preserve">Z. C. Lipton, C. Elkan, B. Narayanaswamy, "Optimal thresholding of classifiers to maximize F1 measure," Proc. ECML PKDD, LNCS vol. 8725, pp. 225-239, 2014.</w:t>
      </w:r>
    </w:p>
    <w:p>
      <w:pPr>
        <w:spacing w:after="70" w:line="250"/>
        <w:ind w:left="480" w:hanging="480"/>
      </w:pPr>
      <w:r>
        <w:rPr>
          <w:rFonts w:ascii="Arial" w:cs="Arial" w:eastAsia="Arial" w:hAnsi="Arial"/>
          <w:sz w:val="17"/>
          <w:szCs w:val="17"/>
        </w:rPr>
        <w:t xml:space="preserve">[24]  </w:t>
      </w:r>
      <w:r>
        <w:rPr>
          <w:rFonts w:ascii="Arial" w:cs="Arial" w:eastAsia="Arial" w:hAnsi="Arial"/>
          <w:sz w:val="17"/>
          <w:szCs w:val="17"/>
        </w:rPr>
        <w:t xml:space="preserve">H. Haresamudram, A. Beedu, V. Agrawal, P. L. Grady, I. Essa, J. Hoffman, T. Plötz, "Masked reconstruction based self-supervision for human activity recognition," Proc. ACM ISWC, 2020. doi 10.1145/3410531.3414306</w:t>
      </w:r>
    </w:p>
    <w:p>
      <w:pPr>
        <w:spacing w:after="70" w:line="250"/>
        <w:ind w:left="480" w:hanging="480"/>
      </w:pPr>
      <w:r>
        <w:rPr>
          <w:rFonts w:ascii="Arial" w:cs="Arial" w:eastAsia="Arial" w:hAnsi="Arial"/>
          <w:sz w:val="17"/>
          <w:szCs w:val="17"/>
        </w:rPr>
        <w:t xml:space="preserve">[25]  </w:t>
      </w:r>
      <w:r>
        <w:rPr>
          <w:rFonts w:ascii="Arial" w:cs="Arial" w:eastAsia="Arial" w:hAnsi="Arial"/>
          <w:sz w:val="17"/>
          <w:szCs w:val="17"/>
        </w:rPr>
        <w:t xml:space="preserve">G. Zerveas, S. Jayaraman, D. Patel, A. Bhamidipaty, C. Eickhoff, "A transformer-based framework for multivariate time series representation learning," Proc. ACM SIGKDD Conf. Knowledge Discovery and Data Mining, 2021. doi 10.1145/3447548.3467401</w:t>
      </w:r>
    </w:p>
    <w:p>
      <w:pPr>
        <w:spacing w:after="70" w:line="250"/>
        <w:ind w:left="480" w:hanging="480"/>
      </w:pPr>
      <w:r>
        <w:rPr>
          <w:rFonts w:ascii="Arial" w:cs="Arial" w:eastAsia="Arial" w:hAnsi="Arial"/>
          <w:sz w:val="17"/>
          <w:szCs w:val="17"/>
        </w:rPr>
        <w:t xml:space="preserve">[26]  </w:t>
      </w:r>
      <w:r>
        <w:rPr>
          <w:rFonts w:ascii="Arial" w:cs="Arial" w:eastAsia="Arial" w:hAnsi="Arial"/>
          <w:sz w:val="17"/>
          <w:szCs w:val="17"/>
        </w:rPr>
        <w:t xml:space="preserve">Y. Shavit, I. Klein, "Boosting inertial-based human activity recognition with transformers," IEEE Access, vol. 9, pp. 53540-53547, 2021. doi 10.1109/ACCESS.2021.3070646</w:t>
      </w:r>
    </w:p>
    <w:p>
      <w:pPr>
        <w:spacing w:after="70" w:line="250"/>
        <w:ind w:left="480" w:hanging="480"/>
      </w:pPr>
      <w:r>
        <w:rPr>
          <w:rFonts w:ascii="Arial" w:cs="Arial" w:eastAsia="Arial" w:hAnsi="Arial"/>
          <w:sz w:val="17"/>
          <w:szCs w:val="17"/>
        </w:rPr>
        <w:t xml:space="preserve">[27]  </w:t>
      </w:r>
      <w:r>
        <w:rPr>
          <w:rFonts w:ascii="Arial" w:cs="Arial" w:eastAsia="Arial" w:hAnsi="Arial"/>
          <w:sz w:val="17"/>
          <w:szCs w:val="17"/>
        </w:rPr>
        <w:t xml:space="preserve">I. Dirgová Luptáková, M. Kubovčík, J. Pospíchal, "Wearable sensor-based human activity recognition with transformer model," Sensors, vol. 22, no. 5, 1911, 2022. doi 10.3390/s22051911</w:t>
      </w:r>
    </w:p>
    <w:p>
      <w:pPr>
        <w:spacing w:after="70" w:line="250"/>
        <w:ind w:left="480" w:hanging="480"/>
      </w:pPr>
      <w:r>
        <w:rPr>
          <w:rFonts w:ascii="Arial" w:cs="Arial" w:eastAsia="Arial" w:hAnsi="Arial"/>
          <w:sz w:val="17"/>
          <w:szCs w:val="17"/>
        </w:rPr>
        <w:t xml:space="preserve">[28]  </w:t>
      </w:r>
      <w:r>
        <w:rPr>
          <w:rFonts w:ascii="Arial" w:cs="Arial" w:eastAsia="Arial" w:hAnsi="Arial"/>
          <w:sz w:val="17"/>
          <w:szCs w:val="17"/>
        </w:rPr>
        <w:t xml:space="preserve">T. Yamane, M. Kimura, M. Morita, "Effects of sampling frequency on human activity recognition with machine learning aiming at clinical applications," Sensors, vol. 25, no. 12, 3780, 2025.</w:t>
      </w:r>
    </w:p>
    <w:p>
      <w:pPr>
        <w:spacing w:after="70" w:line="250"/>
        <w:ind w:left="480" w:hanging="480"/>
      </w:pPr>
      <w:r>
        <w:rPr>
          <w:rFonts w:ascii="Arial" w:cs="Arial" w:eastAsia="Arial" w:hAnsi="Arial"/>
          <w:sz w:val="17"/>
          <w:szCs w:val="17"/>
        </w:rPr>
        <w:t xml:space="preserve">[29]  </w:t>
      </w:r>
      <w:r>
        <w:rPr>
          <w:rFonts w:ascii="Arial" w:cs="Arial" w:eastAsia="Arial" w:hAnsi="Arial"/>
          <w:sz w:val="17"/>
          <w:szCs w:val="17"/>
        </w:rPr>
        <w:t xml:space="preserve">S. Ioffe, C. Szegedy, "Batch normalization. Accelerating deep network training by reducing internal covariate shift," Proc. ICML, 2015.</w:t>
      </w:r>
    </w:p>
    <w:p>
      <w:pPr>
        <w:spacing w:after="70" w:line="250"/>
        <w:ind w:left="480" w:hanging="480"/>
      </w:pPr>
      <w:r>
        <w:rPr>
          <w:rFonts w:ascii="Arial" w:cs="Arial" w:eastAsia="Arial" w:hAnsi="Arial"/>
          <w:sz w:val="17"/>
          <w:szCs w:val="17"/>
        </w:rPr>
        <w:t xml:space="preserve">[30]  </w:t>
      </w:r>
      <w:r>
        <w:rPr>
          <w:rFonts w:ascii="Arial" w:cs="Arial" w:eastAsia="Arial" w:hAnsi="Arial"/>
          <w:sz w:val="17"/>
          <w:szCs w:val="17"/>
        </w:rPr>
        <w:t xml:space="preserve">D. P. Kingma, J. Ba, "Adam. A method for stochastic optimization," Proc. Int. Conf. Learning Representations (ICLR), 2015.</w:t>
      </w:r>
    </w:p>
    <w:p>
      <w:pPr>
        <w:spacing w:after="70" w:line="250"/>
        <w:ind w:left="480" w:hanging="480"/>
      </w:pPr>
      <w:r>
        <w:rPr>
          <w:rFonts w:ascii="Arial" w:cs="Arial" w:eastAsia="Arial" w:hAnsi="Arial"/>
          <w:sz w:val="17"/>
          <w:szCs w:val="17"/>
        </w:rPr>
        <w:t xml:space="preserve">[31]  </w:t>
      </w:r>
      <w:r>
        <w:rPr>
          <w:rFonts w:ascii="Arial" w:cs="Arial" w:eastAsia="Arial" w:hAnsi="Arial"/>
          <w:sz w:val="17"/>
          <w:szCs w:val="17"/>
        </w:rPr>
        <w:t xml:space="preserve">N. Srivastava, G. Hinton, A. Krizhevsky, I. Sutskever, R. Salakhutdinov, "Dropout. A simple way to prevent neural networks from overfitting," Journal of Machine Learning Research, vol. 15, pp. 1929-1958, 2014.</w:t>
      </w:r>
    </w:p>
    <w:p>
      <w:pPr>
        <w:spacing w:after="70" w:line="250"/>
        <w:ind w:left="480" w:hanging="480"/>
      </w:pPr>
      <w:r>
        <w:rPr>
          <w:rFonts w:ascii="Arial" w:cs="Arial" w:eastAsia="Arial" w:hAnsi="Arial"/>
          <w:sz w:val="17"/>
          <w:szCs w:val="17"/>
        </w:rPr>
        <w:t xml:space="preserve">[32]  </w:t>
      </w:r>
      <w:r>
        <w:rPr>
          <w:rFonts w:ascii="Arial" w:cs="Arial" w:eastAsia="Arial" w:hAnsi="Arial"/>
          <w:sz w:val="17"/>
          <w:szCs w:val="17"/>
        </w:rPr>
        <w:t xml:space="preserve">T.-Y. Lin, P. Goyal, R. Girshick, K. He, P. Dollár, "Focal loss for dense object detection," Proc. IEEE Int. Conf. Computer Vision (ICCV), 2017, pp. 2980-2988.</w:t>
      </w:r>
    </w:p>
    <w:p>
      <w:pPr>
        <w:spacing w:after="70" w:line="250"/>
        <w:ind w:left="480" w:hanging="480"/>
      </w:pPr>
      <w:r>
        <w:rPr>
          <w:rFonts w:ascii="Arial" w:cs="Arial" w:eastAsia="Arial" w:hAnsi="Arial"/>
          <w:sz w:val="17"/>
          <w:szCs w:val="17"/>
        </w:rPr>
        <w:t xml:space="preserve">[33]  </w:t>
      </w:r>
      <w:r>
        <w:rPr>
          <w:rFonts w:ascii="Arial" w:cs="Arial" w:eastAsia="Arial" w:hAnsi="Arial"/>
          <w:sz w:val="17"/>
          <w:szCs w:val="17"/>
        </w:rPr>
        <w:t xml:space="preserve">H. He, E. A. Garcia, "Learning from imbalanced data," IEEE Transactions on Knowledge and Data Engineering, vol. 21, no. 9, pp. 1263-1284, 2009.</w:t>
      </w:r>
    </w:p>
    <w:p>
      <w:pPr>
        <w:spacing w:after="70" w:line="250"/>
        <w:ind w:left="480" w:hanging="480"/>
      </w:pPr>
      <w:r>
        <w:rPr>
          <w:rFonts w:ascii="Arial" w:cs="Arial" w:eastAsia="Arial" w:hAnsi="Arial"/>
          <w:sz w:val="17"/>
          <w:szCs w:val="17"/>
        </w:rPr>
        <w:t xml:space="preserve">[34]  </w:t>
      </w:r>
      <w:r>
        <w:rPr>
          <w:rFonts w:ascii="Arial" w:cs="Arial" w:eastAsia="Arial" w:hAnsi="Arial"/>
          <w:sz w:val="17"/>
          <w:szCs w:val="17"/>
        </w:rPr>
        <w:t xml:space="preserve">L. Prechelt, "Early stopping, but when?," in Neural Networks. Tricks of the Trade, LNCS vol. 1524, Springer, 1998, pp. 55-69.</w:t>
      </w:r>
    </w:p>
    <w:p>
      <w:pPr>
        <w:spacing w:after="70" w:line="250"/>
        <w:ind w:left="480" w:hanging="480"/>
      </w:pPr>
      <w:r>
        <w:rPr>
          <w:rFonts w:ascii="Arial" w:cs="Arial" w:eastAsia="Arial" w:hAnsi="Arial"/>
          <w:sz w:val="17"/>
          <w:szCs w:val="17"/>
        </w:rPr>
        <w:t xml:space="preserve">[35]  </w:t>
      </w:r>
      <w:r>
        <w:rPr>
          <w:rFonts w:ascii="Arial" w:cs="Arial" w:eastAsia="Arial" w:hAnsi="Arial"/>
          <w:sz w:val="17"/>
          <w:szCs w:val="17"/>
        </w:rPr>
        <w:t xml:space="preserve">F. J. Ordóñez, D. Roggen, "Deep convolutional and LSTM recurrent neural networks for multimodal wearable activity recognition," Sensors, vol. 16, no. 1, 115, 2016.</w:t>
      </w:r>
    </w:p>
    <w:p>
      <w:pPr>
        <w:spacing w:after="70" w:line="250"/>
        <w:ind w:left="480" w:hanging="480"/>
      </w:pPr>
      <w:r>
        <w:rPr>
          <w:rFonts w:ascii="Arial" w:cs="Arial" w:eastAsia="Arial" w:hAnsi="Arial"/>
          <w:sz w:val="17"/>
          <w:szCs w:val="17"/>
        </w:rPr>
        <w:t xml:space="preserve">[36]  </w:t>
      </w:r>
      <w:r>
        <w:rPr>
          <w:rFonts w:ascii="Arial" w:cs="Arial" w:eastAsia="Arial" w:hAnsi="Arial"/>
          <w:sz w:val="17"/>
          <w:szCs w:val="17"/>
        </w:rPr>
        <w:t xml:space="preserve">J. T. Springenberg, A. Dosovitskiy, T. Brox, M. Riedmiller, "Striving for simplicity. The all convolutional net," ICLR Workshop, 2015.</w:t>
      </w:r>
    </w:p>
    <w:p>
      <w:pPr>
        <w:spacing w:after="70" w:line="250"/>
        <w:ind w:left="480" w:hanging="480"/>
      </w:pPr>
      <w:r>
        <w:rPr>
          <w:rFonts w:ascii="Arial" w:cs="Arial" w:eastAsia="Arial" w:hAnsi="Arial"/>
          <w:sz w:val="17"/>
          <w:szCs w:val="17"/>
        </w:rPr>
        <w:t xml:space="preserve">[37]  </w:t>
      </w:r>
      <w:r>
        <w:rPr>
          <w:rFonts w:ascii="Arial" w:cs="Arial" w:eastAsia="Arial" w:hAnsi="Arial"/>
          <w:sz w:val="17"/>
          <w:szCs w:val="17"/>
        </w:rPr>
        <w:t xml:space="preserve">K. H. Brodersen, C. S. Ong, K. E. Stephan, J. M. Buhmann, "The balanced accuracy and its posterior distribution," Proc. Int. Conf. Pattern Recognition (ICPR), 2010, pp. 3121-3124.</w:t>
      </w:r>
    </w:p>
    <w:p>
      <w:pPr>
        <w:spacing w:after="70" w:line="250"/>
        <w:ind w:left="480" w:hanging="480"/>
      </w:pPr>
      <w:r>
        <w:rPr>
          <w:rFonts w:ascii="Arial" w:cs="Arial" w:eastAsia="Arial" w:hAnsi="Arial"/>
          <w:sz w:val="17"/>
          <w:szCs w:val="17"/>
        </w:rPr>
        <w:t xml:space="preserve">[38]  </w:t>
      </w:r>
      <w:r>
        <w:rPr>
          <w:rFonts w:ascii="Arial" w:cs="Arial" w:eastAsia="Arial" w:hAnsi="Arial"/>
          <w:sz w:val="17"/>
          <w:szCs w:val="17"/>
        </w:rPr>
        <w:t xml:space="preserve">O. Banos, J.-M. Galvez, M. Damas, H. Pomares, I. Rojas, "Window size impact in human activity recognition," Sensors, vol. 14, no. 4, pp. 6474-6499, 2014.</w:t>
      </w:r>
    </w:p>
    <w:sectPr>
      <w:footerReference w:type="default" r:id="rId7"/>
      <w:pgSz w:w="12240" w:h="15840" w:orient="portrait"/>
      <w:pgMar w:top="130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sz w:val="28"/>
      <w:szCs w:val="28"/>
    </w:rPr>
  </w:style>
  <w:style w:type="paragraph" w:styleId="Heading2">
    <w:name w:val="Heading 2"/>
    <w:basedOn w:val="Normal"/>
    <w:next w:val="Normal"/>
    <w:qFormat/>
    <w:pPr>
      <w:keepNext/>
      <w:spacing w:after="100" w:before="22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22b2660eedfc17b82696bad5276542f3f33fa6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B Technical Description</dc:title>
  <dc:creator>Caelan Dunlea</dc:creator>
  <cp:lastModifiedBy>Un-named</cp:lastModifiedBy>
  <cp:revision>1</cp:revision>
  <dcterms:created xsi:type="dcterms:W3CDTF">2026-09-24T00:55:12.525Z</dcterms:created>
  <dcterms:modified xsi:type="dcterms:W3CDTF">2026-09-24T00:55:12.525Z</dcterms:modified>
</cp:coreProperties>
</file>

<file path=docProps/custom.xml><?xml version="1.0" encoding="utf-8"?>
<Properties xmlns="http://schemas.openxmlformats.org/officeDocument/2006/custom-properties" xmlns:vt="http://schemas.openxmlformats.org/officeDocument/2006/docPropsVTypes"/>
</file>