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Arial" w:hAnsi="Arial" w:cs="Arial" w:eastAsia="Arial"/>
        </w:rPr>
        <w:t xml:space="preserve">Food-intake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detection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from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AIM-2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sensor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signals: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literature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review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model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description</w:t>
      </w:r>
    </w:p>
    <w:p>
      <w:pPr>
        <w:pStyle w:val="Author"/>
      </w:pPr>
      <w:r>
        <w:rPr>
          <w:rFonts w:ascii="Arial" w:hAnsi="Arial" w:cs="Arial" w:eastAsia="Arial"/>
        </w:rPr>
        <w:t xml:space="preserve">Caelan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Dunlea,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University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of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Alabama</w:t>
      </w:r>
    </w:p>
    <w:p>
      <w:pPr>
        <w:pStyle w:val="Date"/>
      </w:pPr>
      <w:r>
        <w:rPr>
          <w:rFonts w:ascii="Arial" w:hAnsi="Arial" w:cs="Arial" w:eastAsia="Arial"/>
        </w:rPr>
        <w:t xml:space="preserve">1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October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2026</w:t>
      </w:r>
    </w:p>
    <w:bookmarkStart w:id="25" w:name="sec:review"/>
    <w:p>
      <w:pPr>
        <w:pStyle w:val="Heading1"/>
      </w:pPr>
      <w:r>
        <w:rPr>
          <w:rStyle w:val="SectionNumber"/>
          <w:rFonts w:ascii="Arial" w:hAnsi="Arial" w:cs="Arial" w:eastAsia="Arial"/>
        </w:rPr>
        <w:t xml:space="preserve">1</w:t>
      </w:r>
      <w:r>
        <w:rPr>
          <w:rFonts w:ascii="Arial" w:hAnsi="Arial" w:cs="Arial" w:eastAsia="Arial"/>
        </w:rPr>
        <w:tab/>
      </w:r>
      <w:r>
        <w:rPr>
          <w:rFonts w:ascii="Arial" w:hAnsi="Arial" w:cs="Arial" w:eastAsia="Arial"/>
        </w:rPr>
        <w:t xml:space="preserve">Literature review</w:t>
      </w:r>
    </w:p>
    <w:p>
      <w:pPr>
        <w:pStyle w:val="FirstParagraph"/>
      </w:pPr>
      <w:r>
        <w:rPr>
          <w:rFonts w:ascii="Arial" w:hAnsi="Arial" w:cs="Arial" w:eastAsia="Arial"/>
          <w:sz w:val="22"/>
        </w:rPr>
        <w:t xml:space="preserve">Objective measurement of eating behaviour matters for obesity, eating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disorders and diabetes research, and self-report is known to be inaccurate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and cannot capture in-meal behaviour such as eating rate or pauses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(Diou et al. 2022)</w:t>
      </w:r>
      <w:r>
        <w:rPr>
          <w:rFonts w:ascii="Arial" w:hAnsi="Arial" w:cs="Arial" w:eastAsia="Arial"/>
          <w:sz w:val="22"/>
        </w:rPr>
        <w:t xml:space="preserve">. Wearable sensors that detect chewing, bites or hand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gestures have therefore become a central approach, ranging from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classical machine learning on hand-crafted features to end-to-end deep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learning, with the aims of improving accuracy, reducing false detections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and generalising to people outside the training set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(Bell et al. 2020)</w:t>
      </w:r>
      <w:r>
        <w:rPr>
          <w:rFonts w:ascii="Arial" w:hAnsi="Arial" w:cs="Arial" w:eastAsia="Arial"/>
          <w:sz w:val="22"/>
        </w:rPr>
        <w:t xml:space="preserve">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Fontana, Farooq, and Sazonov (2014)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introduced the Automatic Ingestion Monitor (AIM),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combining jaw-motion, hand-gesture and accelerometer sensors, and reported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89.8% food-intake detection accuracy over 24 hours of free living. Its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successor, AIM-2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(Doulah et al. 2021)</w:t>
      </w:r>
      <w:r>
        <w:rPr>
          <w:rFonts w:ascii="Arial" w:hAnsi="Arial" w:cs="Arial" w:eastAsia="Arial"/>
          <w:sz w:val="22"/>
        </w:rPr>
        <w:t xml:space="preserve">, moved the sensors onto eyeglasses: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 temporalis-muscle sensor and a 3-axis accelerometer at 128 Hz. It extracted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38 hand-crafted features per signal, selected nine by minimum-redundancy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maximum-relevance, and classified 10 s epochs with a support vector machine,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reaching F1 0.818 under leave-one-subject-out validation on 30 participants,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as summarised in Table 1. These feature-engineered models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work, but their performance is bounded by the features chosen by hand, and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they are sensitive to noise and to variation between people.</w:t>
      </w:r>
    </w:p>
    <w:bookmarkStart w:id="20" w:name="tab:literature"/>
    <w:p>
      <w:pPr>
        <w:pStyle w:val="TableCaption"/>
      </w:pPr>
      <w:r>
        <w:rPr>
          <w:rFonts w:ascii="Arial" w:hAnsi="Arial" w:cs="Arial" w:eastAsia="Arial"/>
          <w:sz w:val="22"/>
        </w:rPr>
        <w:t xml:space="preserve">Table 1. State-of-the-art methods for food-intake and chewing detection, and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the two ECG studies whose methods transfer to this problem.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Caption w:val="Table 1. State-of-the-art methods for food-intake and chewing detection, and the two ECG studies whose methods transfer to this problem.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800"/>
        <w:gridCol w:w="2520"/>
        <w:gridCol w:w="2304"/>
        <w:gridCol w:w="3110"/>
      </w:tblGrid>
      <w:tr>
        <w:trPr>
          <w:tblHeader w:val="true"/>
        </w:trPr>
        <w:tc>
          <w:tcPr>
            <w:tcW w:type="dxa" w:w="1800"/>
            <w:shd w:val="clear" w:color="auto" w:fill="EFEFEF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 w:cs="Arial" w:eastAsia="Arial"/>
                <w:b/>
                <w:sz w:val="22"/>
              </w:rPr>
              <w:t xml:space="preserve">References</w:t>
            </w:r>
          </w:p>
        </w:tc>
        <w:tc>
          <w:tcPr>
            <w:tcW w:type="dxa" w:w="2520"/>
            <w:shd w:val="clear" w:color="auto" w:fill="EFEFEF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 w:cs="Arial" w:eastAsia="Arial"/>
                <w:b/>
                <w:sz w:val="22"/>
              </w:rPr>
              <w:t xml:space="preserve">Techniques</w:t>
            </w:r>
          </w:p>
        </w:tc>
        <w:tc>
          <w:tcPr>
            <w:tcW w:type="dxa" w:w="2304"/>
            <w:shd w:val="clear" w:color="auto" w:fill="EFEFEF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 w:cs="Arial" w:eastAsia="Arial"/>
                <w:b/>
                <w:sz w:val="22"/>
              </w:rPr>
              <w:t xml:space="preserve">Goals</w:t>
            </w:r>
          </w:p>
        </w:tc>
        <w:tc>
          <w:tcPr>
            <w:tcW w:type="dxa" w:w="3110"/>
            <w:shd w:val="clear" w:color="auto" w:fill="EFEFEF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 w:cs="Arial" w:eastAsia="Arial"/>
                <w:b/>
                <w:sz w:val="22"/>
              </w:rPr>
              <w:t xml:space="preserve">Findings</w:t>
            </w:r>
          </w:p>
        </w:tc>
      </w:tr>
      <w:tr>
        <w:tc>
          <w:tcPr>
            <w:tcW w:type="dxa" w:w="180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Doulah et al. (2021)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AIM-2; hand-crafted features, mRMR selection, SVM</w:t>
            </w:r>
          </w:p>
        </w:tc>
        <w:tc>
          <w:tcPr>
            <w:tcW w:type="dxa" w:w="2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Food-intake detection with passive food-image capture</w:t>
            </w:r>
          </w:p>
        </w:tc>
        <w:tc>
          <w:tcPr>
            <w:tcW w:type="dxa" w:w="311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F1 0.818 (LOSO, 30 participants); camera triggered only during eating</w:t>
            </w:r>
          </w:p>
        </w:tc>
      </w:tr>
      <w:tr>
        <w:tc>
          <w:tcPr>
            <w:tcW w:type="dxa" w:w="180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Diou et al. (2022)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Review: CNN on in-ear audio windows for chewing,</w:t>
            </w:r>
            <w:r>
              <w:rPr>
                <w:rFonts w:ascii="Arial" w:hAnsi="Arial" w:cs="Arial" w:eastAsia="Arial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 xml:space="preserve">smartwatch IMU for bites</w:t>
            </w:r>
          </w:p>
        </w:tc>
        <w:tc>
          <w:tcPr>
            <w:tcW w:type="dxa" w:w="2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Intake monitoring in free living</w:t>
            </w:r>
          </w:p>
        </w:tc>
        <w:tc>
          <w:tcPr>
            <w:tcW w:type="dxa" w:w="311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CNN F1 0.908 against 0.748 for an SVM; self-supervised learning comparable</w:t>
            </w:r>
            <w:r>
              <w:rPr>
                <w:rFonts w:ascii="Arial" w:hAnsi="Arial" w:cs="Arial" w:eastAsia="Arial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 xml:space="preserve">to supervised</w:t>
            </w:r>
          </w:p>
        </w:tc>
      </w:tr>
      <w:tr>
        <w:tc>
          <w:tcPr>
            <w:tcW w:type="dxa" w:w="180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Kyritsis, Diou, and Delopoulos (2021)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CNN + LSTM, end to end on raw wrist IMU</w:t>
            </w:r>
          </w:p>
        </w:tc>
        <w:tc>
          <w:tcPr>
            <w:tcW w:type="dxa" w:w="2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Bite and meal detection in the wild</w:t>
            </w:r>
          </w:p>
        </w:tc>
        <w:tc>
          <w:tcPr>
            <w:tcW w:type="dxa" w:w="311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Bite F1 0.923 (LOSO)</w:t>
            </w:r>
          </w:p>
        </w:tc>
      </w:tr>
      <w:tr>
        <w:tc>
          <w:tcPr>
            <w:tcW w:type="dxa" w:w="180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Ghosh and Sazonov (2022)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Five deep networks (MLP, time-CNN, FCN,</w:t>
            </w:r>
            <w:r>
              <w:rPr>
                <w:rFonts w:ascii="Arial" w:hAnsi="Arial" w:cs="Arial" w:eastAsia="Arial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 xml:space="preserve">ResNet, Inception) on AIM-2 optical and accelerometer time series</w:t>
            </w:r>
          </w:p>
        </w:tc>
        <w:tc>
          <w:tcPr>
            <w:tcW w:type="dxa" w:w="2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Compare deep architectures for food-intake detection</w:t>
            </w:r>
          </w:p>
        </w:tc>
        <w:tc>
          <w:tcPr>
            <w:tcW w:type="dxa" w:w="311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ResNet best, balanced accuracy 93.47%</w:t>
            </w:r>
          </w:p>
        </w:tc>
      </w:tr>
      <w:tr>
        <w:tc>
          <w:tcPr>
            <w:tcW w:type="dxa" w:w="180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Ghosh et al. (2024)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Wavelet scalogram of accelerometer, fused with</w:t>
            </w:r>
            <w:r>
              <w:rPr>
                <w:rFonts w:ascii="Arial" w:hAnsi="Arial" w:cs="Arial" w:eastAsia="Arial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 xml:space="preserve">food-image recognition</w:t>
            </w:r>
          </w:p>
        </w:tc>
        <w:tc>
          <w:tcPr>
            <w:tcW w:type="dxa" w:w="2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Reduce false positives in free living</w:t>
            </w:r>
          </w:p>
        </w:tc>
        <w:tc>
          <w:tcPr>
            <w:tcW w:type="dxa" w:w="311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Fused F1 80.77%; fusion cuts false positives</w:t>
            </w:r>
          </w:p>
        </w:tc>
      </w:tr>
      <w:tr>
        <w:tc>
          <w:tcPr>
            <w:tcW w:type="dxa" w:w="180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Stankoski et al. (2021)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Selection of hard negative examples for</w:t>
            </w:r>
            <w:r>
              <w:rPr>
                <w:rFonts w:ascii="Arial" w:hAnsi="Arial" w:cs="Arial" w:eastAsia="Arial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 xml:space="preserve">training</w:t>
            </w:r>
          </w:p>
        </w:tc>
        <w:tc>
          <w:tcPr>
            <w:tcW w:type="dxa" w:w="2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Imbalanced data with imperfect labels</w:t>
            </w:r>
          </w:p>
        </w:tc>
        <w:tc>
          <w:tcPr>
            <w:tcW w:type="dxa" w:w="311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Person-independent F1 0.82</w:t>
            </w:r>
          </w:p>
        </w:tc>
      </w:tr>
      <w:tr>
        <w:tc>
          <w:tcPr>
            <w:tcW w:type="dxa" w:w="180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C. Wang et al. (2024)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Temporal CNN + multi-head self-attention</w:t>
            </w:r>
          </w:p>
        </w:tc>
        <w:tc>
          <w:tcPr>
            <w:tcW w:type="dxa" w:w="2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Eating speed from wrist IMU, towards free living</w:t>
            </w:r>
          </w:p>
        </w:tc>
        <w:tc>
          <w:tcPr>
            <w:tcW w:type="dxa" w:w="311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61 participants, 513 h; eating-speed MAPE 0.110</w:t>
            </w:r>
          </w:p>
        </w:tc>
      </w:tr>
      <w:tr>
        <w:tc>
          <w:tcPr>
            <w:tcW w:type="dxa" w:w="180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Vedovelli et al. (2026)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Transformer encoder and other models on</w:t>
            </w:r>
            <w:r>
              <w:rPr>
                <w:rFonts w:ascii="Arial" w:hAnsi="Arial" w:cs="Arial" w:eastAsia="Arial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 xml:space="preserve">smartwatch sensors</w:t>
            </w:r>
          </w:p>
        </w:tc>
        <w:tc>
          <w:tcPr>
            <w:tcW w:type="dxa" w:w="2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Eating-episode recognition</w:t>
            </w:r>
          </w:p>
        </w:tc>
        <w:tc>
          <w:tcPr>
            <w:tcW w:type="dxa" w:w="311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Transformer: sensitivity 0.691, specificity 0.504 (LOSO)</w:t>
            </w:r>
          </w:p>
        </w:tc>
      </w:tr>
      <w:tr>
        <w:tc>
          <w:tcPr>
            <w:tcW w:type="dxa" w:w="180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Hannun et al. (2019)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34-layer 1D CNN on raw single-lead ECG</w:t>
            </w:r>
          </w:p>
        </w:tc>
        <w:tc>
          <w:tcPr>
            <w:tcW w:type="dxa" w:w="2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End-to-end arrhythmia classification</w:t>
            </w:r>
          </w:p>
        </w:tc>
        <w:tc>
          <w:tcPr>
            <w:tcW w:type="dxa" w:w="311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F1 0.837, above the average cardiologist (0.780)</w:t>
            </w:r>
          </w:p>
        </w:tc>
      </w:tr>
      <w:tr>
        <w:tc>
          <w:tcPr>
            <w:tcW w:type="dxa" w:w="180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Ikram et al. (2025)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Transformer on MIT-BIH beats</w:t>
            </w:r>
          </w:p>
        </w:tc>
        <w:tc>
          <w:tcPr>
            <w:tcW w:type="dxa" w:w="230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Five-class arrhythmia classification</w:t>
            </w:r>
          </w:p>
        </w:tc>
        <w:tc>
          <w:tcPr>
            <w:tcW w:type="dxa" w:w="311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Accuracy 97.1%; split not at patient level</w:t>
            </w:r>
          </w:p>
        </w:tc>
      </w:tr>
    </w:tbl>
    <w:bookmarkEnd w:id="20"/>
    <w:bookmarkStart w:id="21" w:name="X6b6c26cd9a72692ea0551cc952485eda24adbe4"/>
    <w:p>
      <w:pPr>
        <w:pStyle w:val="Heading2"/>
      </w:pPr>
      <w:r>
        <w:rPr>
          <w:rStyle w:val="SectionNumber"/>
          <w:rFonts w:ascii="Arial" w:hAnsi="Arial" w:cs="Arial" w:eastAsia="Arial"/>
        </w:rPr>
        <w:t xml:space="preserve">1.1</w:t>
      </w:r>
      <w:r>
        <w:rPr>
          <w:rFonts w:ascii="Arial" w:hAnsi="Arial" w:cs="Arial" w:eastAsia="Arial"/>
        </w:rPr>
        <w:tab/>
      </w:r>
      <w:r>
        <w:rPr>
          <w:rFonts w:ascii="Arial" w:hAnsi="Arial" w:cs="Arial" w:eastAsia="Arial"/>
        </w:rPr>
        <w:t xml:space="preserve">From hand-crafted features to learned representations</w:t>
      </w:r>
    </w:p>
    <w:p>
      <w:pPr>
        <w:pStyle w:val="FirstParagraph"/>
      </w:pPr>
      <w:r>
        <w:rPr>
          <w:rFonts w:ascii="Arial" w:hAnsi="Arial" w:cs="Arial" w:eastAsia="Arial"/>
          <w:sz w:val="22"/>
        </w:rPr>
        <w:t xml:space="preserve">To address the limits of hand-crafted features, several groups trained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networks directly on the signal. In this literature, a raw input denotes the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absence of hand-engineered features rather than of preprocessing: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z-normalisation is the only preprocessing in the convolutional time-series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baselines of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Z. Wang, Yan, and Oates (2017)</w:t>
      </w:r>
      <w:r>
        <w:rPr>
          <w:rFonts w:ascii="Arial" w:hAnsi="Arial" w:cs="Arial" w:eastAsia="Arial"/>
          <w:sz w:val="22"/>
        </w:rPr>
        <w:t xml:space="preserve">, and the end-to-end bite detector reviewed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by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Diou et al. (2022)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receives preprocessed inertial signals.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Papapanagiotou, Diou, and Delopoulos (2017)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detected chewing with a 1D convolutional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network applied to in-ear audio windows; across window lengths of 1 to 5 s,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the 5 s network reached F1 0.908, against 0.748 for a support vector machine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on hand-crafted features, although such models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</w:t>
      </w:r>
      <w:r>
        <w:rPr>
          <w:rFonts w:ascii="Arial" w:hAnsi="Arial" w:cs="Arial" w:eastAsia="Arial"/>
          <w:sz w:val="22"/>
        </w:rPr>
        <w:t xml:space="preserve">require significantly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larger volumes of labeled data</w:t>
      </w:r>
      <w:r>
        <w:rPr>
          <w:rFonts w:ascii="Arial" w:hAnsi="Arial" w:cs="Arial" w:eastAsia="Arial"/>
          <w:sz w:val="22"/>
        </w:rPr>
        <w:t xml:space="preserve">”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(Diou et al. 2022)</w:t>
      </w:r>
      <w:r>
        <w:rPr>
          <w:rFonts w:ascii="Arial" w:hAnsi="Arial" w:cs="Arial" w:eastAsia="Arial"/>
          <w:sz w:val="22"/>
        </w:rPr>
        <w:t xml:space="preserve">. Similarly,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Kyritsis, Diou, and Delopoulos (2021)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trained a CNN feature extractor and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an LSTM jointly on raw wrist inertial data, reaching a bite-detection F1 of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0.923 under leave-one-subject-out evaluation. On AIM-2 itself,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Ghosh and Sazonov (2022)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compared five deep architectures on the optical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and accelerometer time series and found the residual network best, with a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balanced accuracy of 93.47%. The same pattern holds outside eating: the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fully convolutional network of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Z. Wang, Yan, and Oates (2017)</w:t>
      </w:r>
      <w:r>
        <w:rPr>
          <w:rFonts w:ascii="Arial" w:hAnsi="Arial" w:cs="Arial" w:eastAsia="Arial"/>
          <w:sz w:val="22"/>
        </w:rPr>
        <w:t xml:space="preserve">, three blocks of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convolution, batch normalisation and ReLU, is a strong baseline across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time-series benchmarks.</w:t>
      </w:r>
    </w:p>
    <w:p>
      <w:pPr>
        <w:pStyle w:val="BodyText"/>
      </w:pPr>
      <w:r>
        <w:rPr>
          <w:rFonts w:ascii="Arial" w:hAnsi="Arial" w:cs="Arial" w:eastAsia="Arial"/>
          <w:sz w:val="22"/>
        </w:rPr>
        <w:t xml:space="preserve">The closest analogue to this problem is electrocardiography.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Hannun et al. (2019)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classified arrhythmia with a 34-layer 1D CNN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applied end to end to raw single-lead ECG at 200 Hz, and exceeded the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average cardiologist (F1 0.837 against 0.780). ECG and the AIM-2 signals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share a sampling rate of the same order, a quasi-periodic structure (heart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beats at about 1 Hz, chews at 0.94–2.17 Hz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(Po et al. 2011)</w:t>
      </w:r>
      <w:r>
        <w:rPr>
          <w:rFonts w:ascii="Arial" w:hAnsi="Arial" w:cs="Arial" w:eastAsia="Arial"/>
          <w:sz w:val="22"/>
        </w:rPr>
        <w:t xml:space="preserve">) and the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need to recognise short events inside longer recordings. This motivates the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first and most important design choice in this work: the model reads the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normalised time series, not a spectrum. None of the reviewed studies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compares the two representations on the same network, so that comparison is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made directly in this work.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Ghosh et al. (2024)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took the opposite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route, converting accelerometer signals to a wavelet scalogram image. A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magnitude spectrum says which rhythms are present in a window but discards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when they occur, which is the information that separates a bite from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background motion; a scalogram keeps a time axis, but at a resolution fixed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by the transform rather than learned from the data.</w:t>
      </w:r>
    </w:p>
    <w:bookmarkEnd w:id="21"/>
    <w:bookmarkStart w:id="22" w:name="attention-and-transformers"/>
    <w:p>
      <w:pPr>
        <w:pStyle w:val="Heading2"/>
      </w:pPr>
      <w:r>
        <w:rPr>
          <w:rStyle w:val="SectionNumber"/>
          <w:rFonts w:ascii="Arial" w:hAnsi="Arial" w:cs="Arial" w:eastAsia="Arial"/>
        </w:rPr>
        <w:t xml:space="preserve">1.2</w:t>
      </w:r>
      <w:r>
        <w:rPr>
          <w:rFonts w:ascii="Arial" w:hAnsi="Arial" w:cs="Arial" w:eastAsia="Arial"/>
        </w:rPr>
        <w:tab/>
      </w:r>
      <w:r>
        <w:rPr>
          <w:rFonts w:ascii="Arial" w:hAnsi="Arial" w:cs="Arial" w:eastAsia="Arial"/>
        </w:rPr>
        <w:t xml:space="preserve">Attention and Transformers</w:t>
      </w:r>
    </w:p>
    <w:p>
      <w:pPr>
        <w:pStyle w:val="FirstParagraph"/>
      </w:pPr>
      <w:r>
        <w:rPr>
          <w:rFonts w:ascii="Arial" w:hAnsi="Arial" w:cs="Arial" w:eastAsia="Arial"/>
          <w:sz w:val="22"/>
        </w:rPr>
        <w:t xml:space="preserve">Attention mechanisms let a network weight the parts of its input that carry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evidence. Squeeze-and-excitation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(Hu, Shen, and Sun 2018)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gates feature channels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with a small learned function of their global average, at negligible cost.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Attention-based pooling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(Ilse, Tomczak, and Welling 2018)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treats a window as a bag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of instances and learns which instances determine its label; for eating,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the instances are time steps and a single bite may be the deciding one.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Transformers extend this to attention between all time steps.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Ikram et al. (2025)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applied a Transformer to five-class arrhythmia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classification on MIT-BIH, reporting 97.1% accuracy. The reported 80/20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split is of preprocessed samples rather than of patients, so the figure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measures performance on new beats from known patients, not on new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patients. In eating detection,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C. Wang et al. (2024)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combined a temporal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CNN with multi-head self-attention to measure eating speed from wrist IMU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data on 61 participants, while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Vedovelli et al. (2026)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found that a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Transformer encoder on smartwatch data under leave-one-subject-out gave the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highest sensitivity (0.691) but a specificity of only 0.504, which is the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false-positive problem in its clearest form.</w:t>
      </w:r>
    </w:p>
    <w:p>
      <w:pPr>
        <w:pStyle w:val="BodyText"/>
      </w:pPr>
      <w:r>
        <w:rPr>
          <w:rFonts w:ascii="Arial" w:hAnsi="Arial" w:cs="Arial" w:eastAsia="Arial"/>
          <w:sz w:val="22"/>
        </w:rPr>
        <w:t xml:space="preserve">Despite their promise, Transformers carry many more parameters than the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attention layers above, and whether they help at a given data size is an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empirical question rather than a given. This work therefore uses the two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light attention mechanisms by default and treats a Transformer over the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convolutional features as a separate experiment, on the same folds.</w:t>
      </w:r>
    </w:p>
    <w:bookmarkEnd w:id="22"/>
    <w:bookmarkStart w:id="23" w:name="Xd1b0763f6370bb788b5f4b6143a7e8e3dfaf221"/>
    <w:p>
      <w:pPr>
        <w:pStyle w:val="Heading2"/>
      </w:pPr>
      <w:r>
        <w:rPr>
          <w:rStyle w:val="SectionNumber"/>
          <w:rFonts w:ascii="Arial" w:hAnsi="Arial" w:cs="Arial" w:eastAsia="Arial"/>
        </w:rPr>
        <w:t xml:space="preserve">1.3</w:t>
      </w:r>
      <w:r>
        <w:rPr>
          <w:rFonts w:ascii="Arial" w:hAnsi="Arial" w:cs="Arial" w:eastAsia="Arial"/>
        </w:rPr>
        <w:tab/>
      </w:r>
      <w:r>
        <w:rPr>
          <w:rFonts w:ascii="Arial" w:hAnsi="Arial" w:cs="Arial" w:eastAsia="Arial"/>
        </w:rPr>
        <w:t xml:space="preserve">Supervision, augmentation and negative data</w:t>
      </w:r>
    </w:p>
    <w:p>
      <w:pPr>
        <w:pStyle w:val="FirstParagraph"/>
      </w:pPr>
      <w:r>
        <w:rPr>
          <w:rFonts w:ascii="Arial" w:hAnsi="Arial" w:cs="Arial" w:eastAsia="Arial"/>
          <w:sz w:val="22"/>
        </w:rPr>
        <w:t xml:space="preserve">Small annotated datasets call for more supervision per example and for more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examples per recording. Multi-task learning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(Caruana 1997)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improves generalisation by training a shared representation on related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tasks; here, counting chews is the related task, since the ground truth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already contains chew annotations. This auxiliary task is specific to the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present work. Augmentation of wearable sensor data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raised accuracy from 77.54% to 86.88% in Parkinson’s disease monitoring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(Um et al. 2017)</w:t>
      </w:r>
      <w:r>
        <w:rPr>
          <w:rFonts w:ascii="Arial" w:hAnsi="Arial" w:cs="Arial" w:eastAsia="Arial"/>
          <w:sz w:val="22"/>
        </w:rPr>
        <w:t xml:space="preserve">; overlapping windows are the simplest form of it.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Window length itself trades resolution for context, and has a measurable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effect on recognition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(Banos et al. 2014)</w:t>
      </w:r>
      <w:r>
        <w:rPr>
          <w:rFonts w:ascii="Arial" w:hAnsi="Arial" w:cs="Arial" w:eastAsia="Arial"/>
          <w:sz w:val="22"/>
        </w:rPr>
        <w:t xml:space="preserve">. For chewing, which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</w:t>
      </w:r>
      <w:r>
        <w:rPr>
          <w:rFonts w:ascii="Arial" w:hAnsi="Arial" w:cs="Arial" w:eastAsia="Arial"/>
          <w:sz w:val="22"/>
        </w:rPr>
        <w:t xml:space="preserve">typically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is in the range from 1 to 3 Hz</w:t>
      </w:r>
      <w:r>
        <w:rPr>
          <w:rFonts w:ascii="Arial" w:hAnsi="Arial" w:cs="Arial" w:eastAsia="Arial"/>
          <w:sz w:val="22"/>
        </w:rPr>
        <w:t xml:space="preserve">”</w:t>
      </w:r>
      <w:r>
        <w:rPr>
          <w:rFonts w:ascii="Arial" w:hAnsi="Arial" w:cs="Arial" w:eastAsia="Arial"/>
          <w:sz w:val="22"/>
        </w:rPr>
        <w:t xml:space="preserve">, a 5 s window was chosen so that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</w:t>
      </w:r>
      <w:r>
        <w:rPr>
          <w:rFonts w:ascii="Arial" w:hAnsi="Arial" w:cs="Arial" w:eastAsia="Arial"/>
          <w:sz w:val="22"/>
        </w:rPr>
        <w:t xml:space="preserve">even for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the lowest frequency of 1 Hz, a window of 5 s contains at least 5 periods</w:t>
      </w:r>
      <w:r>
        <w:rPr>
          <w:rFonts w:ascii="Arial" w:hAnsi="Arial" w:cs="Arial" w:eastAsia="Arial"/>
          <w:sz w:val="22"/>
        </w:rPr>
        <w:t xml:space="preserve">”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(Diou et al. 2022)</w:t>
      </w:r>
      <w:r>
        <w:rPr>
          <w:rFonts w:ascii="Arial" w:hAnsi="Arial" w:cs="Arial" w:eastAsia="Arial"/>
          <w:sz w:val="22"/>
        </w:rPr>
        <w:t xml:space="preserve">; the 8 s windows used here contain at least eight.</w:t>
      </w:r>
    </w:p>
    <w:p>
      <w:pPr>
        <w:pStyle w:val="BodyText"/>
      </w:pPr>
      <w:r>
        <w:rPr>
          <w:rFonts w:ascii="Arial" w:hAnsi="Arial" w:cs="Arial" w:eastAsia="Arial"/>
          <w:sz w:val="22"/>
        </w:rPr>
        <w:t xml:space="preserve">False positives are the persistent weakness of eating detectors: many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non-eating activities produce jaw and head motion. Walking in particular has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 rhythm similar to chewing, 1 to 3 Hz, and causes chewing classifiers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</w:t>
      </w:r>
      <w:r>
        <w:rPr>
          <w:rFonts w:ascii="Arial" w:hAnsi="Arial" w:cs="Arial" w:eastAsia="Arial"/>
          <w:sz w:val="22"/>
        </w:rPr>
        <w:t xml:space="preserve">to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yield high false-positive detections</w:t>
      </w:r>
      <w:r>
        <w:rPr>
          <w:rFonts w:ascii="Arial" w:hAnsi="Arial" w:cs="Arial" w:eastAsia="Arial"/>
          <w:sz w:val="22"/>
        </w:rPr>
        <w:t xml:space="preserve">”</w:t>
      </w:r>
      <w:r>
        <w:rPr>
          <w:rFonts w:ascii="Arial" w:hAnsi="Arial" w:cs="Arial" w:eastAsia="Arial"/>
          <w:sz w:val="22"/>
        </w:rPr>
        <w:t xml:space="preserve">, which accelerometer data can be used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to remove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(Diou et al. 2022)</w:t>
      </w:r>
      <w:r>
        <w:rPr>
          <w:rFonts w:ascii="Arial" w:hAnsi="Arial" w:cs="Arial" w:eastAsia="Arial"/>
          <w:sz w:val="22"/>
        </w:rPr>
        <w:t xml:space="preserve">. The same work notes that a detector can be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tuned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</w:t>
      </w:r>
      <w:r>
        <w:rPr>
          <w:rFonts w:ascii="Arial" w:hAnsi="Arial" w:cs="Arial" w:eastAsia="Arial"/>
          <w:sz w:val="22"/>
        </w:rPr>
        <w:t xml:space="preserve">towards higher recall or precision, or a balanced mode, based on the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needs of each use-case</w:t>
      </w:r>
      <w:r>
        <w:rPr>
          <w:rFonts w:ascii="Arial" w:hAnsi="Arial" w:cs="Arial" w:eastAsia="Arial"/>
          <w:sz w:val="22"/>
        </w:rPr>
        <w:t xml:space="preserve">”</w:t>
      </w:r>
      <w:r>
        <w:rPr>
          <w:rFonts w:ascii="Arial" w:hAnsi="Arial" w:cs="Arial" w:eastAsia="Arial"/>
          <w:sz w:val="22"/>
        </w:rPr>
        <w:t xml:space="preserve">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Stankoski et al. (2021)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reduced them by deliberately selecting hard negative examples for training,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and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Ghosh et al. (2024)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by fusing the sensor classifier with food-image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recognition. Finally, evaluation practice varies widely across the field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(Bell et al. 2020)</w:t>
      </w:r>
      <w:r>
        <w:rPr>
          <w:rFonts w:ascii="Arial" w:hAnsi="Arial" w:cs="Arial" w:eastAsia="Arial"/>
          <w:sz w:val="22"/>
        </w:rPr>
        <w:t xml:space="preserve">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Saeb et al. (2017)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showed that record-wise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cross-validation, where windows from one person appear in both training and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test sets, can massively overestimate accuracy, and that subject-wise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validation is the one that matches the use case. The leave-one-subject-out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protocol used by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Doulah et al. (2021)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and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Diou et al. (2022)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is adopted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here for the same reason.</w:t>
      </w:r>
    </w:p>
    <w:bookmarkEnd w:id="23"/>
    <w:bookmarkStart w:id="24" w:name="contribution-of-this-work"/>
    <w:p>
      <w:pPr>
        <w:pStyle w:val="Heading2"/>
      </w:pPr>
      <w:r>
        <w:rPr>
          <w:rStyle w:val="SectionNumber"/>
          <w:rFonts w:ascii="Arial" w:hAnsi="Arial" w:cs="Arial" w:eastAsia="Arial"/>
        </w:rPr>
        <w:t xml:space="preserve">1.4</w:t>
      </w:r>
      <w:r>
        <w:rPr>
          <w:rFonts w:ascii="Arial" w:hAnsi="Arial" w:cs="Arial" w:eastAsia="Arial"/>
        </w:rPr>
        <w:tab/>
      </w:r>
      <w:r>
        <w:rPr>
          <w:rFonts w:ascii="Arial" w:hAnsi="Arial" w:cs="Arial" w:eastAsia="Arial"/>
        </w:rPr>
        <w:t xml:space="preserve">Contribution of this work</w:t>
      </w:r>
    </w:p>
    <w:p>
      <w:pPr>
        <w:numPr>
          <w:ilvl w:val="0"/>
          <w:numId w:val="1001"/>
        </w:numPr>
      </w:pPr>
      <w:r>
        <w:rPr>
          <w:rFonts w:ascii="Arial" w:hAnsi="Arial" w:cs="Arial" w:eastAsia="Arial"/>
          <w:sz w:val="22"/>
        </w:rPr>
        <w:t xml:space="preserve">A compact convolutional model with channel attention, temporal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attention pooling and an auxiliary chew-count head, reading the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normalised AIM-2 optical and accelerometer signals directly from the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ETS database: 61 annotated sessions from 43 participants, evaluated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at the participant level.</w:t>
      </w:r>
    </w:p>
    <w:p>
      <w:pPr>
        <w:numPr>
          <w:ilvl w:val="0"/>
          <w:numId w:val="1001"/>
        </w:numPr>
      </w:pPr>
      <w:r>
        <w:rPr>
          <w:rFonts w:ascii="Arial" w:hAnsi="Arial" w:cs="Arial" w:eastAsia="Arial"/>
          <w:sz w:val="22"/>
        </w:rPr>
        <w:t xml:space="preserve">A direct comparison of time-series and spectral input on the same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network, which none of the reviewed studies reports. The time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series reaches F1 0.858 against 0.796 and reduces false alarms from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81 to 32 per hour of non-eating.</w:t>
      </w:r>
    </w:p>
    <w:p>
      <w:pPr>
        <w:numPr>
          <w:ilvl w:val="0"/>
          <w:numId w:val="1001"/>
        </w:numPr>
      </w:pPr>
      <w:r>
        <w:rPr>
          <w:rFonts w:ascii="Arial" w:hAnsi="Arial" w:cs="Arial" w:eastAsia="Arial"/>
          <w:sz w:val="22"/>
        </w:rPr>
        <w:t xml:space="preserve">A controlled ablation of each design decision, one at a time on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identical participant-level folds, separating the components that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carry the performance from those that do not.</w:t>
      </w:r>
    </w:p>
    <w:p>
      <w:pPr>
        <w:numPr>
          <w:ilvl w:val="0"/>
          <w:numId w:val="1001"/>
        </w:numPr>
      </w:pPr>
      <w:r>
        <w:rPr>
          <w:rFonts w:ascii="Arial" w:hAnsi="Arial" w:cs="Arial" w:eastAsia="Arial"/>
          <w:sz w:val="22"/>
        </w:rPr>
        <w:t xml:space="preserve">Negative results reported with their mechanism: temporal median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smoothing and context windows without a target marker both lower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F1, because meals at 8 s resolution are punctuated rather than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contiguous.</w:t>
      </w:r>
    </w:p>
    <w:p>
      <w:pPr>
        <w:numPr>
          <w:ilvl w:val="0"/>
          <w:numId w:val="1001"/>
        </w:numPr>
      </w:pPr>
      <w:r>
        <w:rPr>
          <w:rFonts w:ascii="Arial" w:hAnsi="Arial" w:cs="Arial" w:eastAsia="Arial"/>
          <w:sz w:val="22"/>
        </w:rPr>
        <w:t xml:space="preserve">A measured check of sensor-annotation alignment on every session,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replacing an assumed correction with a verified one.</w:t>
      </w:r>
    </w:p>
    <w:p>
      <w:pPr>
        <w:pStyle w:val="FirstParagraph"/>
      </w:pPr>
      <w:r>
        <w:rPr>
          <w:rFonts w:ascii="Arial" w:hAnsi="Arial" w:cs="Arial" w:eastAsia="Arial"/>
          <w:sz w:val="22"/>
        </w:rPr>
        <w:t xml:space="preserve">Despite the progress in deep learning for intake monitoring, several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challenges persist: limited annotated data, variation between participants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in sensor fit and chewing style, false positives from non-eating jaw and head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motion, and inconsistent evaluation that makes published results hard to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compare. Addressing these requires models that generalise to people they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have not seen, evaluated in the way they would be used.</w:t>
      </w:r>
    </w:p>
    <w:bookmarkEnd w:id="24"/>
    <w:bookmarkEnd w:id="25"/>
    <w:bookmarkStart w:id="32" w:name="sec:model"/>
    <w:p>
      <w:pPr>
        <w:pStyle w:val="Heading1"/>
      </w:pPr>
      <w:r>
        <w:rPr>
          <w:rStyle w:val="SectionNumber"/>
          <w:rFonts w:ascii="Arial" w:hAnsi="Arial" w:cs="Arial" w:eastAsia="Arial"/>
        </w:rPr>
        <w:t xml:space="preserve">2</w:t>
      </w:r>
      <w:r>
        <w:rPr>
          <w:rFonts w:ascii="Arial" w:hAnsi="Arial" w:cs="Arial" w:eastAsia="Arial"/>
        </w:rPr>
        <w:tab/>
      </w:r>
      <w:r>
        <w:rPr>
          <w:rFonts w:ascii="Arial" w:hAnsi="Arial" w:cs="Arial" w:eastAsia="Arial"/>
        </w:rPr>
        <w:t xml:space="preserve">Model description</w:t>
      </w:r>
    </w:p>
    <w:p>
      <w:pPr>
        <w:pStyle w:val="FirstParagraph"/>
      </w:pPr>
      <w:r>
        <w:rPr>
          <w:rFonts w:ascii="Arial" w:hAnsi="Arial" w:cs="Arial" w:eastAsia="Arial"/>
          <w:sz w:val="22"/>
        </w:rPr>
        <w:t xml:space="preserve">The model is a compact one-dimensional convolutional network that reads the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normalised AIM-2 sensor signals and outputs the probability that an 8 s window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contains eating (Figure 1). It has four parts. A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convolutional feature extractor learns its own filters from the time series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instead of receiving hand-crafted features or a spectrum. A squeeze-and-excitation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gate reweights the learned feature channels in each window. An attention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pooling layer weights the time steps that carry the evidence. Finally, the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output has two heads: one classifies eating, and one counts chews and is used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only during training. The network has 47,282 parameters at inference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(Table 2). Table 3 lists every design decision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with its reason and the literature it rests on.</w:t>
      </w:r>
    </w:p>
    <w:p>
      <w:pPr>
        <w:pStyle w:val="CaptionedFigure"/>
      </w:pPr>
      <w:r>
        <w:rPr>
          <w:rFonts w:ascii="Arial" w:hAnsi="Arial" w:cs="Arial" w:eastAsia="Arial"/>
          <w:sz w:val="22"/>
        </w:rPr>
        <w:drawing>
          <wp:inline>
            <wp:extent cx="4206240" cy="456039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_architectur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560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" w:hAnsi="Arial" w:cs="Arial" w:eastAsia="Arial"/>
          <w:sz w:val="22"/>
        </w:rPr>
        <w:t xml:space="preserve">Figure 1. Model architecture. Shaded blocks are the two attention mechanisms.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The dashed chew-count head is trained jointly and discarded at inference.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Output shapes are time steps × features.</w:t>
      </w:r>
    </w:p>
    <w:bookmarkStart w:id="29" w:name="tab:layers"/>
    <w:p>
      <w:pPr>
        <w:pStyle w:val="TableCaption"/>
      </w:pPr>
      <w:r>
        <w:rPr>
          <w:rFonts w:ascii="Arial" w:hAnsi="Arial" w:cs="Arial" w:eastAsia="Arial"/>
          <w:sz w:val="22"/>
        </w:rPr>
        <w:t xml:space="preserve">Table 2. Layer dimensions. An 8 s window at 128 Hz is 1024 samples; each of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the 64 output time steps covers about 0.9 s of signal at 125 ms spacing.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Caption w:val="Table 2. Layer dimensions. An 8 s window at 128 Hz is 1024 samples; each of the 64 output time steps covers about 0.9 s of signal at 125 ms spacing.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160"/>
        <w:gridCol w:w="4550"/>
        <w:gridCol w:w="1440"/>
        <w:gridCol w:w="1584"/>
      </w:tblGrid>
      <w:tr>
        <w:trPr>
          <w:tblHeader w:val="true"/>
        </w:trPr>
        <w:tc>
          <w:tcPr>
            <w:tcW w:type="dxa" w:w="2160"/>
            <w:shd w:val="clear" w:color="auto" w:fill="EFEFEF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 w:cs="Arial" w:eastAsia="Arial"/>
                <w:b/>
                <w:sz w:val="22"/>
              </w:rPr>
              <w:t xml:space="preserve">Layer</w:t>
            </w:r>
          </w:p>
        </w:tc>
        <w:tc>
          <w:tcPr>
            <w:tcW w:type="dxa" w:w="4550"/>
            <w:shd w:val="clear" w:color="auto" w:fill="EFEFEF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 w:cs="Arial" w:eastAsia="Arial"/>
                <w:b/>
                <w:sz w:val="22"/>
              </w:rPr>
              <w:t xml:space="preserve">Configuration</w:t>
            </w:r>
          </w:p>
        </w:tc>
        <w:tc>
          <w:tcPr>
            <w:tcW w:type="dxa" w:w="1440"/>
            <w:shd w:val="clear" w:color="auto" w:fill="EFEFEF"/>
          </w:tcPr>
          <w:p>
            <w:pPr>
              <w:pStyle w:val="Compact"/>
              <w:spacing w:after="40" w:before="40"/>
              <w:jc w:val="right"/>
            </w:pPr>
            <w:r>
              <w:rPr>
                <w:bCs/>
                <w:rFonts w:ascii="Arial" w:hAnsi="Arial" w:cs="Arial" w:eastAsia="Arial"/>
                <w:b/>
                <w:sz w:val="22"/>
              </w:rPr>
              <w:t xml:space="preserve">Output</w:t>
            </w:r>
          </w:p>
        </w:tc>
        <w:tc>
          <w:tcPr>
            <w:tcW w:type="dxa" w:w="1584"/>
            <w:shd w:val="clear" w:color="auto" w:fill="EFEFEF"/>
          </w:tcPr>
          <w:p>
            <w:pPr>
              <w:pStyle w:val="Compact"/>
              <w:spacing w:after="40" w:before="40"/>
              <w:jc w:val="right"/>
            </w:pPr>
            <w:r>
              <w:rPr>
                <w:bCs/>
                <w:rFonts w:ascii="Arial" w:hAnsi="Arial" w:cs="Arial" w:eastAsia="Arial"/>
                <w:b/>
                <w:sz w:val="22"/>
              </w:rPr>
              <w:t xml:space="preserve">Parameters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Input</w:t>
            </w:r>
          </w:p>
        </w:tc>
        <w:tc>
          <w:tcPr>
            <w:tcW w:type="dxa" w:w="455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Acc X, Y, Z, Optical</w:t>
            </w:r>
          </w:p>
        </w:tc>
        <w:tc>
          <w:tcPr>
            <w:tcW w:type="dxa" w:w="1440"/>
          </w:tcPr>
          <w:p>
            <w:pPr>
              <w:pStyle w:val="Compact"/>
              <w:spacing w:after="40" w:before="40"/>
              <w:jc w:val="right"/>
            </w:pPr>
            <w:r>
              <w:rPr>
                <w:rFonts w:ascii="Arial" w:hAnsi="Arial" w:cs="Arial" w:eastAsia="Arial"/>
                <w:sz w:val="22"/>
              </w:rPr>
              <w:t xml:space="preserve">1024 × 4</w:t>
            </w:r>
          </w:p>
        </w:tc>
        <w:tc>
          <w:tcPr>
            <w:tcW w:type="dxa" w:w="1584"/>
          </w:tcPr>
          <w:p>
            <w:pPr>
              <w:pStyle w:val="Compact"/>
              <w:spacing w:after="40" w:before="40"/>
              <w:jc w:val="right"/>
            </w:pPr>
            <w:r>
              <w:rPr>
                <w:rFonts w:ascii="Arial" w:hAnsi="Arial" w:cs="Arial" w:eastAsia="Arial"/>
                <w:sz w:val="22"/>
              </w:rPr>
              <w:t xml:space="preserve">–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Conv block 1</w:t>
            </w:r>
          </w:p>
        </w:tc>
        <w:tc>
          <w:tcPr>
            <w:tcW w:type="dxa" w:w="455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32 ×</w:t>
            </w:r>
            <w:r>
              <w:rPr>
                <w:rFonts w:ascii="Arial" w:hAnsi="Arial" w:cs="Arial" w:eastAsia="Arial"/>
                <w:sz w:val="22"/>
              </w:rPr>
              <w:t xml:space="preserve"> </w:t>
            </w:r>
            <w:r>
              <w:rPr>
                <w:iCs/>
                <w:rFonts w:ascii="Arial" w:hAnsi="Arial" w:cs="Arial" w:eastAsia="Arial"/>
                <w:i/>
                <w:sz w:val="22"/>
              </w:rPr>
              <w:t xml:space="preserve">k</w:t>
            </w:r>
            <w:r>
              <w:rPr>
                <w:rFonts w:ascii="Arial" w:hAnsi="Arial" w:cs="Arial" w:eastAsia="Arial"/>
                <w:sz w:val="22"/>
              </w:rPr>
              <w:t xml:space="preserve">9, stride 2, BN, max-pool 2</w:t>
            </w:r>
          </w:p>
        </w:tc>
        <w:tc>
          <w:tcPr>
            <w:tcW w:type="dxa" w:w="1440"/>
          </w:tcPr>
          <w:p>
            <w:pPr>
              <w:pStyle w:val="Compact"/>
              <w:spacing w:after="40" w:before="40"/>
              <w:jc w:val="right"/>
            </w:pPr>
            <w:r>
              <w:rPr>
                <w:rFonts w:ascii="Arial" w:hAnsi="Arial" w:cs="Arial" w:eastAsia="Arial"/>
                <w:sz w:val="22"/>
              </w:rPr>
              <w:t xml:space="preserve">256 × 32</w:t>
            </w:r>
          </w:p>
        </w:tc>
        <w:tc>
          <w:tcPr>
            <w:tcW w:type="dxa" w:w="1584"/>
          </w:tcPr>
          <w:p>
            <w:pPr>
              <w:pStyle w:val="Compact"/>
              <w:spacing w:after="40" w:before="40"/>
              <w:jc w:val="right"/>
            </w:pPr>
            <w:r>
              <w:rPr>
                <w:rFonts w:ascii="Arial" w:hAnsi="Arial" w:cs="Arial" w:eastAsia="Arial"/>
                <w:sz w:val="22"/>
              </w:rPr>
              <w:t xml:space="preserve">1,312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Conv block 2</w:t>
            </w:r>
          </w:p>
        </w:tc>
        <w:tc>
          <w:tcPr>
            <w:tcW w:type="dxa" w:w="455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64 ×</w:t>
            </w:r>
            <w:r>
              <w:rPr>
                <w:rFonts w:ascii="Arial" w:hAnsi="Arial" w:cs="Arial" w:eastAsia="Arial"/>
                <w:sz w:val="22"/>
              </w:rPr>
              <w:t xml:space="preserve"> </w:t>
            </w:r>
            <w:r>
              <w:rPr>
                <w:iCs/>
                <w:rFonts w:ascii="Arial" w:hAnsi="Arial" w:cs="Arial" w:eastAsia="Arial"/>
                <w:i/>
                <w:sz w:val="22"/>
              </w:rPr>
              <w:t xml:space="preserve">k</w:t>
            </w:r>
            <w:r>
              <w:rPr>
                <w:rFonts w:ascii="Arial" w:hAnsi="Arial" w:cs="Arial" w:eastAsia="Arial"/>
                <w:sz w:val="22"/>
              </w:rPr>
              <w:t xml:space="preserve">9, stride 2, BN, max-pool 2</w:t>
            </w:r>
          </w:p>
        </w:tc>
        <w:tc>
          <w:tcPr>
            <w:tcW w:type="dxa" w:w="1440"/>
          </w:tcPr>
          <w:p>
            <w:pPr>
              <w:pStyle w:val="Compact"/>
              <w:spacing w:after="40" w:before="40"/>
              <w:jc w:val="right"/>
            </w:pPr>
            <w:r>
              <w:rPr>
                <w:rFonts w:ascii="Arial" w:hAnsi="Arial" w:cs="Arial" w:eastAsia="Arial"/>
                <w:sz w:val="22"/>
              </w:rPr>
              <w:t xml:space="preserve">64 × 64</w:t>
            </w:r>
          </w:p>
        </w:tc>
        <w:tc>
          <w:tcPr>
            <w:tcW w:type="dxa" w:w="1584"/>
          </w:tcPr>
          <w:p>
            <w:pPr>
              <w:pStyle w:val="Compact"/>
              <w:spacing w:after="40" w:before="40"/>
              <w:jc w:val="right"/>
            </w:pPr>
            <w:r>
              <w:rPr>
                <w:rFonts w:ascii="Arial" w:hAnsi="Arial" w:cs="Arial" w:eastAsia="Arial"/>
                <w:sz w:val="22"/>
              </w:rPr>
              <w:t xml:space="preserve">18,752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Conv block 3</w:t>
            </w:r>
          </w:p>
        </w:tc>
        <w:tc>
          <w:tcPr>
            <w:tcW w:type="dxa" w:w="455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64 ×</w:t>
            </w:r>
            <w:r>
              <w:rPr>
                <w:rFonts w:ascii="Arial" w:hAnsi="Arial" w:cs="Arial" w:eastAsia="Arial"/>
                <w:sz w:val="22"/>
              </w:rPr>
              <w:t xml:space="preserve"> </w:t>
            </w:r>
            <w:r>
              <w:rPr>
                <w:iCs/>
                <w:rFonts w:ascii="Arial" w:hAnsi="Arial" w:cs="Arial" w:eastAsia="Arial"/>
                <w:i/>
                <w:sz w:val="22"/>
              </w:rPr>
              <w:t xml:space="preserve">k</w:t>
            </w:r>
            <w:r>
              <w:rPr>
                <w:rFonts w:ascii="Arial" w:hAnsi="Arial" w:cs="Arial" w:eastAsia="Arial"/>
                <w:sz w:val="22"/>
              </w:rPr>
              <w:t xml:space="preserve">5, BN</w:t>
            </w:r>
          </w:p>
        </w:tc>
        <w:tc>
          <w:tcPr>
            <w:tcW w:type="dxa" w:w="1440"/>
          </w:tcPr>
          <w:p>
            <w:pPr>
              <w:pStyle w:val="Compact"/>
              <w:spacing w:after="40" w:before="40"/>
              <w:jc w:val="right"/>
            </w:pPr>
            <w:r>
              <w:rPr>
                <w:rFonts w:ascii="Arial" w:hAnsi="Arial" w:cs="Arial" w:eastAsia="Arial"/>
                <w:sz w:val="22"/>
              </w:rPr>
              <w:t xml:space="preserve">64 × 64</w:t>
            </w:r>
          </w:p>
        </w:tc>
        <w:tc>
          <w:tcPr>
            <w:tcW w:type="dxa" w:w="1584"/>
          </w:tcPr>
          <w:p>
            <w:pPr>
              <w:pStyle w:val="Compact"/>
              <w:spacing w:after="40" w:before="40"/>
              <w:jc w:val="right"/>
            </w:pPr>
            <w:r>
              <w:rPr>
                <w:rFonts w:ascii="Arial" w:hAnsi="Arial" w:cs="Arial" w:eastAsia="Arial"/>
                <w:sz w:val="22"/>
              </w:rPr>
              <w:t xml:space="preserve">20,800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Channel attention</w:t>
            </w:r>
          </w:p>
        </w:tc>
        <w:tc>
          <w:tcPr>
            <w:tcW w:type="dxa" w:w="455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64 → 16 → 64, sigmoid</w:t>
            </w:r>
          </w:p>
        </w:tc>
        <w:tc>
          <w:tcPr>
            <w:tcW w:type="dxa" w:w="1440"/>
          </w:tcPr>
          <w:p>
            <w:pPr>
              <w:pStyle w:val="Compact"/>
              <w:spacing w:after="40" w:before="40"/>
              <w:jc w:val="right"/>
            </w:pPr>
            <w:r>
              <w:rPr>
                <w:rFonts w:ascii="Arial" w:hAnsi="Arial" w:cs="Arial" w:eastAsia="Arial"/>
                <w:sz w:val="22"/>
              </w:rPr>
              <w:t xml:space="preserve">64 × 64</w:t>
            </w:r>
          </w:p>
        </w:tc>
        <w:tc>
          <w:tcPr>
            <w:tcW w:type="dxa" w:w="1584"/>
          </w:tcPr>
          <w:p>
            <w:pPr>
              <w:pStyle w:val="Compact"/>
              <w:spacing w:after="40" w:before="40"/>
              <w:jc w:val="right"/>
            </w:pPr>
            <w:r>
              <w:rPr>
                <w:rFonts w:ascii="Arial" w:hAnsi="Arial" w:cs="Arial" w:eastAsia="Arial"/>
                <w:sz w:val="22"/>
              </w:rPr>
              <w:t xml:space="preserve">2,128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Attention pooling</w:t>
            </w:r>
          </w:p>
        </w:tc>
        <w:tc>
          <w:tcPr>
            <w:tcW w:type="dxa" w:w="455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1 × 1 conv, softmax over time</w:t>
            </w:r>
          </w:p>
        </w:tc>
        <w:tc>
          <w:tcPr>
            <w:tcW w:type="dxa" w:w="1440"/>
          </w:tcPr>
          <w:p>
            <w:pPr>
              <w:pStyle w:val="Compact"/>
              <w:spacing w:after="40" w:before="40"/>
              <w:jc w:val="right"/>
            </w:pPr>
            <w:r>
              <w:rPr>
                <w:rFonts w:ascii="Arial" w:hAnsi="Arial" w:cs="Arial" w:eastAsia="Arial"/>
                <w:sz w:val="22"/>
              </w:rPr>
              <w:t xml:space="preserve">64</w:t>
            </w:r>
          </w:p>
        </w:tc>
        <w:tc>
          <w:tcPr>
            <w:tcW w:type="dxa" w:w="1584"/>
          </w:tcPr>
          <w:p>
            <w:pPr>
              <w:pStyle w:val="Compact"/>
              <w:spacing w:after="40" w:before="40"/>
              <w:jc w:val="right"/>
            </w:pPr>
            <w:r>
              <w:rPr>
                <w:rFonts w:ascii="Arial" w:hAnsi="Arial" w:cs="Arial" w:eastAsia="Arial"/>
                <w:sz w:val="22"/>
              </w:rPr>
              <w:t xml:space="preserve">65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Dense</w:t>
            </w:r>
          </w:p>
        </w:tc>
        <w:tc>
          <w:tcPr>
            <w:tcW w:type="dxa" w:w="455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64, ReLU, dropout 0.3</w:t>
            </w:r>
          </w:p>
        </w:tc>
        <w:tc>
          <w:tcPr>
            <w:tcW w:type="dxa" w:w="1440"/>
          </w:tcPr>
          <w:p>
            <w:pPr>
              <w:pStyle w:val="Compact"/>
              <w:spacing w:after="40" w:before="40"/>
              <w:jc w:val="right"/>
            </w:pPr>
            <w:r>
              <w:rPr>
                <w:rFonts w:ascii="Arial" w:hAnsi="Arial" w:cs="Arial" w:eastAsia="Arial"/>
                <w:sz w:val="22"/>
              </w:rPr>
              <w:t xml:space="preserve">64</w:t>
            </w:r>
          </w:p>
        </w:tc>
        <w:tc>
          <w:tcPr>
            <w:tcW w:type="dxa" w:w="1584"/>
          </w:tcPr>
          <w:p>
            <w:pPr>
              <w:pStyle w:val="Compact"/>
              <w:spacing w:after="40" w:before="40"/>
              <w:jc w:val="right"/>
            </w:pPr>
            <w:r>
              <w:rPr>
                <w:rFonts w:ascii="Arial" w:hAnsi="Arial" w:cs="Arial" w:eastAsia="Arial"/>
                <w:sz w:val="22"/>
              </w:rPr>
              <w:t xml:space="preserve">4,160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Eating head</w:t>
            </w:r>
          </w:p>
        </w:tc>
        <w:tc>
          <w:tcPr>
            <w:tcW w:type="dxa" w:w="455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1, sigmoid</w:t>
            </w:r>
          </w:p>
        </w:tc>
        <w:tc>
          <w:tcPr>
            <w:tcW w:type="dxa" w:w="1440"/>
          </w:tcPr>
          <w:p>
            <w:pPr>
              <w:pStyle w:val="Compact"/>
              <w:spacing w:after="40" w:before="40"/>
              <w:jc w:val="right"/>
            </w:pPr>
            <w:r>
              <w:rPr>
                <w:rFonts w:ascii="Arial" w:hAnsi="Arial" w:cs="Arial" w:eastAsia="Arial"/>
                <w:sz w:val="22"/>
              </w:rPr>
              <w:t xml:space="preserve">1</w:t>
            </w:r>
          </w:p>
        </w:tc>
        <w:tc>
          <w:tcPr>
            <w:tcW w:type="dxa" w:w="1584"/>
          </w:tcPr>
          <w:p>
            <w:pPr>
              <w:pStyle w:val="Compact"/>
              <w:spacing w:after="40" w:before="40"/>
              <w:jc w:val="right"/>
            </w:pPr>
            <w:r>
              <w:rPr>
                <w:rFonts w:ascii="Arial" w:hAnsi="Arial" w:cs="Arial" w:eastAsia="Arial"/>
                <w:sz w:val="22"/>
              </w:rPr>
              <w:t xml:space="preserve">65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spacing w:after="40" w:before="40"/>
              <w:jc w:val="left"/>
            </w:pPr>
            <w:r>
              <w:rPr>
                <w:iCs/>
                <w:rFonts w:ascii="Arial" w:hAnsi="Arial" w:cs="Arial" w:eastAsia="Arial"/>
                <w:i/>
                <w:sz w:val="22"/>
              </w:rPr>
              <w:t xml:space="preserve">Total at inference</w:t>
            </w:r>
          </w:p>
        </w:tc>
        <w:tc>
          <w:tcPr>
            <w:tcW w:type="dxa" w:w="4550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440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584"/>
          </w:tcPr>
          <w:p>
            <w:pPr>
              <w:pStyle w:val="Compact"/>
              <w:spacing w:after="40" w:before="40"/>
              <w:jc w:val="right"/>
            </w:pPr>
            <w:r>
              <w:rPr>
                <w:iCs/>
                <w:rFonts w:ascii="Arial" w:hAnsi="Arial" w:cs="Arial" w:eastAsia="Arial"/>
                <w:i/>
                <w:sz w:val="22"/>
              </w:rPr>
              <w:t xml:space="preserve">47,282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Chew-count head</w:t>
            </w:r>
          </w:p>
        </w:tc>
        <w:tc>
          <w:tcPr>
            <w:tcW w:type="dxa" w:w="455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32 → 1, softplus (training only)</w:t>
            </w:r>
          </w:p>
        </w:tc>
        <w:tc>
          <w:tcPr>
            <w:tcW w:type="dxa" w:w="1440"/>
          </w:tcPr>
          <w:p>
            <w:pPr>
              <w:pStyle w:val="Compact"/>
              <w:spacing w:after="40" w:before="40"/>
              <w:jc w:val="right"/>
            </w:pPr>
            <w:r>
              <w:rPr>
                <w:rFonts w:ascii="Arial" w:hAnsi="Arial" w:cs="Arial" w:eastAsia="Arial"/>
                <w:sz w:val="22"/>
              </w:rPr>
              <w:t xml:space="preserve">1</w:t>
            </w:r>
          </w:p>
        </w:tc>
        <w:tc>
          <w:tcPr>
            <w:tcW w:type="dxa" w:w="1584"/>
          </w:tcPr>
          <w:p>
            <w:pPr>
              <w:pStyle w:val="Compact"/>
              <w:spacing w:after="40" w:before="40"/>
              <w:jc w:val="right"/>
            </w:pPr>
            <w:r>
              <w:rPr>
                <w:rFonts w:ascii="Arial" w:hAnsi="Arial" w:cs="Arial" w:eastAsia="Arial"/>
                <w:sz w:val="22"/>
              </w:rPr>
              <w:t xml:space="preserve">2,113</w:t>
            </w:r>
          </w:p>
        </w:tc>
      </w:tr>
    </w:tbl>
    <w:bookmarkEnd w:id="29"/>
    <w:bookmarkStart w:id="30" w:name="tab:model"/>
    <w:p>
      <w:pPr>
        <w:pStyle w:val="TableCaption"/>
      </w:pPr>
      <w:r>
        <w:rPr>
          <w:rFonts w:ascii="Arial" w:hAnsi="Arial" w:cs="Arial" w:eastAsia="Arial"/>
          <w:sz w:val="22"/>
        </w:rPr>
        <w:t xml:space="preserve">Table 3. Complete description of the food-intake detection model. Every design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decision, the reason for it, and the literature it is grounded in.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Caption w:val="Table 3. Complete description of the food-intake detection model. Every design decision, the reason for it, and the literature it is grounded in.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604"/>
        <w:gridCol w:w="1728"/>
        <w:gridCol w:w="2520"/>
        <w:gridCol w:w="2808"/>
        <w:gridCol w:w="2073"/>
      </w:tblGrid>
      <w:tr>
        <w:trPr>
          <w:tblHeader w:val="true"/>
        </w:trPr>
        <w:tc>
          <w:tcPr>
            <w:tcW w:type="dxa" w:w="605"/>
            <w:shd w:val="clear" w:color="auto" w:fill="EFEFEF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 w:cs="Arial" w:eastAsia="Arial"/>
                <w:b/>
                <w:sz w:val="22"/>
              </w:rPr>
              <w:t xml:space="preserve">#</w:t>
            </w:r>
          </w:p>
        </w:tc>
        <w:tc>
          <w:tcPr>
            <w:tcW w:type="dxa" w:w="1728"/>
            <w:shd w:val="clear" w:color="auto" w:fill="EFEFEF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 w:cs="Arial" w:eastAsia="Arial"/>
                <w:b/>
                <w:sz w:val="22"/>
              </w:rPr>
              <w:t xml:space="preserve">Component</w:t>
            </w:r>
          </w:p>
        </w:tc>
        <w:tc>
          <w:tcPr>
            <w:tcW w:type="dxa" w:w="2520"/>
            <w:shd w:val="clear" w:color="auto" w:fill="EFEFEF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 w:cs="Arial" w:eastAsia="Arial"/>
                <w:b/>
                <w:sz w:val="22"/>
              </w:rPr>
              <w:t xml:space="preserve">Design</w:t>
            </w:r>
          </w:p>
        </w:tc>
        <w:tc>
          <w:tcPr>
            <w:tcW w:type="dxa" w:w="2808"/>
            <w:shd w:val="clear" w:color="auto" w:fill="EFEFEF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 w:cs="Arial" w:eastAsia="Arial"/>
                <w:b/>
                <w:sz w:val="22"/>
              </w:rPr>
              <w:t xml:space="preserve">Why</w:t>
            </w:r>
          </w:p>
        </w:tc>
        <w:tc>
          <w:tcPr>
            <w:tcW w:type="dxa" w:w="2074"/>
            <w:shd w:val="clear" w:color="auto" w:fill="EFEFEF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 w:cs="Arial" w:eastAsia="Arial"/>
                <w:b/>
                <w:sz w:val="22"/>
              </w:rPr>
              <w:t xml:space="preserve">Literature</w:t>
            </w:r>
          </w:p>
        </w:tc>
      </w:tr>
      <w:tr>
        <w:tc>
          <w:tcPr>
            <w:tcW w:type="dxa" w:w="9735"/>
            <w:gridSpan w:val="5"/>
          </w:tcPr>
          <w:p>
            <w:pPr>
              <w:pStyle w:val="Compact"/>
              <w:spacing w:after="40" w:before="40"/>
              <w:jc w:val="left"/>
            </w:pPr>
            <w:r>
              <w:rPr>
                <w:iCs/>
                <w:rFonts w:ascii="Arial" w:hAnsi="Arial" w:cs="Arial" w:eastAsia="Arial"/>
                <w:i/>
                <w:sz w:val="22"/>
              </w:rPr>
              <w:t xml:space="preserve">Data</w:t>
            </w:r>
          </w:p>
        </w:tc>
      </w:tr>
      <w:tr>
        <w:tc>
          <w:tcPr>
            <w:tcW w:type="dxa" w:w="60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1</w:t>
            </w:r>
          </w:p>
        </w:tc>
        <w:tc>
          <w:tcPr>
            <w:tcW w:type="dxa" w:w="17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Sensor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AIM-2 eyeglass sensor: 3-axis accelerometer and optical temporalis-muscle sensor, 128 Hz, stored as 8 s packets in the ETS database</w:t>
            </w:r>
          </w:p>
        </w:tc>
        <w:tc>
          <w:tcPr>
            <w:tcW w:type="dxa" w:w="280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Chewing moves the temporalis muscle and the head; both channels carry it, with different artefacts. The original AIM-2 used a flex sensor where this one has the optical sensor</w:t>
            </w:r>
          </w:p>
        </w:tc>
        <w:tc>
          <w:tcPr>
            <w:tcW w:type="dxa" w:w="207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Doulah et al. (2021; Ghosh and Sazonov 2022)</w:t>
            </w:r>
          </w:p>
        </w:tc>
      </w:tr>
      <w:tr>
        <w:tc>
          <w:tcPr>
            <w:tcW w:type="dxa" w:w="60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2</w:t>
            </w:r>
          </w:p>
        </w:tc>
        <w:tc>
          <w:tcPr>
            <w:tcW w:type="dxa" w:w="17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Labels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Eating = bout OR bite annotation at 10 Hz. Window is eating if more than half its annotated samples are eating. Unrecorded time (−1) is dropped, never treated as non-eating</w:t>
            </w:r>
          </w:p>
        </w:tc>
        <w:tc>
          <w:tcPr>
            <w:tcW w:type="dxa" w:w="280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Treating unannotated time as negative would bury the real labels and invent easy negatives</w:t>
            </w:r>
          </w:p>
        </w:tc>
        <w:tc>
          <w:tcPr>
            <w:tcW w:type="dxa" w:w="207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(this work)</w:t>
            </w:r>
          </w:p>
        </w:tc>
      </w:tr>
      <w:tr>
        <w:tc>
          <w:tcPr>
            <w:tcW w:type="dxa" w:w="60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3</w:t>
            </w:r>
          </w:p>
        </w:tc>
        <w:tc>
          <w:tcPr>
            <w:tcW w:type="dxa" w:w="17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Alignment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No time shift. Sensor/annotation lag measured by cross-correlating the optical chewing envelope with the labels: median +0.10 s, all within 0.2 s on the 20 sessions measured first (to be repeated on all 61)</w:t>
            </w:r>
          </w:p>
        </w:tc>
        <w:tc>
          <w:tcPr>
            <w:tcW w:type="dxa" w:w="280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A correction must be measured, not assumed; a residual lag of one packet would corrupt every label edge</w:t>
            </w:r>
          </w:p>
        </w:tc>
        <w:tc>
          <w:tcPr>
            <w:tcW w:type="dxa" w:w="207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(this work)</w:t>
            </w:r>
          </w:p>
        </w:tc>
      </w:tr>
      <w:tr>
        <w:tc>
          <w:tcPr>
            <w:tcW w:type="dxa" w:w="60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4</w:t>
            </w:r>
          </w:p>
        </w:tc>
        <w:tc>
          <w:tcPr>
            <w:tcW w:type="dxa" w:w="17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Window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8 s (1024 samples), non-overlapping at evaluation</w:t>
            </w:r>
          </w:p>
        </w:tc>
        <w:tc>
          <w:tcPr>
            <w:tcW w:type="dxa" w:w="280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Chewing lies at 1–3 Hz; a 5 s window was chosen for chewing detection so that it holds at least five chews, and AIM-2 used 10 s epochs. An 8 s window holds at least eight chews and matches the packet size. Lengths of 2–16 s are also evaluated</w:t>
            </w:r>
          </w:p>
        </w:tc>
        <w:tc>
          <w:tcPr>
            <w:tcW w:type="dxa" w:w="207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Diou et al. (2022; Doulah et al. 2021; Po et al. 2011)</w:t>
            </w:r>
          </w:p>
        </w:tc>
      </w:tr>
      <w:tr>
        <w:tc>
          <w:tcPr>
            <w:tcW w:type="dxa" w:w="9735"/>
            <w:gridSpan w:val="5"/>
          </w:tcPr>
          <w:p>
            <w:pPr>
              <w:pStyle w:val="Compact"/>
              <w:spacing w:after="40" w:before="40"/>
              <w:jc w:val="left"/>
            </w:pPr>
            <w:r>
              <w:rPr>
                <w:iCs/>
                <w:rFonts w:ascii="Arial" w:hAnsi="Arial" w:cs="Arial" w:eastAsia="Arial"/>
                <w:i/>
                <w:sz w:val="22"/>
              </w:rPr>
              <w:t xml:space="preserve">Input</w:t>
            </w:r>
          </w:p>
        </w:tc>
      </w:tr>
      <w:tr>
        <w:tc>
          <w:tcPr>
            <w:tcW w:type="dxa" w:w="60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5</w:t>
            </w:r>
          </w:p>
        </w:tc>
        <w:tc>
          <w:tcPr>
            <w:tcW w:type="dxa" w:w="17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Representation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Normalised time series, 1024 samples × 4 channels; no spectrum and no hand-crafted features</w:t>
            </w:r>
          </w:p>
        </w:tc>
        <w:tc>
          <w:tcPr>
            <w:tcW w:type="dxa" w:w="280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In the reviewed studies, features learned from the signal outperformed hand-engineered ones. None compares time-series and spectral input on the same network; that comparison is made here (61 sessions, 5-fold): F1 0.858 against 0.796, and 32 against 81 false alarms per hour of non-eating</w:t>
            </w:r>
          </w:p>
        </w:tc>
        <w:tc>
          <w:tcPr>
            <w:tcW w:type="dxa" w:w="207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Ghosh and Sazonov (2022; Kyritsis, Diou, and Delopoulos 2021; Diou et al. 2022)</w:t>
            </w:r>
            <w:r>
              <w:rPr>
                <w:rFonts w:ascii="Arial" w:hAnsi="Arial" w:cs="Arial" w:eastAsia="Arial"/>
                <w:sz w:val="22"/>
              </w:rPr>
              <w:t xml:space="preserve">; this work</w:t>
            </w:r>
          </w:p>
        </w:tc>
      </w:tr>
      <w:tr>
        <w:tc>
          <w:tcPr>
            <w:tcW w:type="dxa" w:w="60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6</w:t>
            </w:r>
          </w:p>
        </w:tc>
        <w:tc>
          <w:tcPr>
            <w:tcW w:type="dxa" w:w="17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Normalisation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Per window, per channel: mean removed, z-scored over valid samples only; missing samples set to 0 after scaling</w:t>
            </w:r>
          </w:p>
        </w:tc>
        <w:tc>
          <w:tcPr>
            <w:tcW w:type="dxa" w:w="280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Optical baseline varies by participant and fit on the face; DC level is not information about chewing. A literal −1 against counts near 3000 injects a step at every gap. z-normalisation is likewise the only preprocessing in the standard convolutional time-series baselines</w:t>
            </w:r>
          </w:p>
        </w:tc>
        <w:tc>
          <w:tcPr>
            <w:tcW w:type="dxa" w:w="207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Z. Wang, Yan, and Oates (2017)</w:t>
            </w:r>
          </w:p>
        </w:tc>
      </w:tr>
      <w:tr>
        <w:tc>
          <w:tcPr>
            <w:tcW w:type="dxa" w:w="9735"/>
            <w:gridSpan w:val="5"/>
          </w:tcPr>
          <w:p>
            <w:pPr>
              <w:pStyle w:val="Compact"/>
              <w:spacing w:after="40" w:before="40"/>
              <w:jc w:val="left"/>
            </w:pPr>
            <w:r>
              <w:rPr>
                <w:iCs/>
                <w:rFonts w:ascii="Arial" w:hAnsi="Arial" w:cs="Arial" w:eastAsia="Arial"/>
                <w:i/>
                <w:sz w:val="22"/>
              </w:rPr>
              <w:t xml:space="preserve">Network</w:t>
            </w:r>
          </w:p>
        </w:tc>
      </w:tr>
      <w:tr>
        <w:tc>
          <w:tcPr>
            <w:tcW w:type="dxa" w:w="60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7</w:t>
            </w:r>
          </w:p>
        </w:tc>
        <w:tc>
          <w:tcPr>
            <w:tcW w:type="dxa" w:w="17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Convolutional trunk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Three 1D conv blocks: 32@</w:t>
            </w:r>
            <w:r>
              <w:rPr>
                <w:iCs/>
                <w:rFonts w:ascii="Arial" w:hAnsi="Arial" w:cs="Arial" w:eastAsia="Arial"/>
                <w:i/>
                <w:sz w:val="22"/>
              </w:rPr>
              <w:t xml:space="preserve">k</w:t>
            </w:r>
            <w:r>
              <w:rPr>
                <w:rFonts w:ascii="Arial" w:hAnsi="Arial" w:cs="Arial" w:eastAsia="Arial"/>
                <w:sz w:val="22"/>
              </w:rPr>
              <w:t xml:space="preserve">9/s2, 64@</w:t>
            </w:r>
            <w:r>
              <w:rPr>
                <w:iCs/>
                <w:rFonts w:ascii="Arial" w:hAnsi="Arial" w:cs="Arial" w:eastAsia="Arial"/>
                <w:i/>
                <w:sz w:val="22"/>
              </w:rPr>
              <w:t xml:space="preserve">k</w:t>
            </w:r>
            <w:r>
              <w:rPr>
                <w:rFonts w:ascii="Arial" w:hAnsi="Arial" w:cs="Arial" w:eastAsia="Arial"/>
                <w:sz w:val="22"/>
              </w:rPr>
              <w:t xml:space="preserve">9/s2, 64@</w:t>
            </w:r>
            <w:r>
              <w:rPr>
                <w:iCs/>
                <w:rFonts w:ascii="Arial" w:hAnsi="Arial" w:cs="Arial" w:eastAsia="Arial"/>
                <w:i/>
                <w:sz w:val="22"/>
              </w:rPr>
              <w:t xml:space="preserve">k</w:t>
            </w:r>
            <w:r>
              <w:rPr>
                <w:rFonts w:ascii="Arial" w:hAnsi="Arial" w:cs="Arial" w:eastAsia="Arial"/>
                <w:sz w:val="22"/>
              </w:rPr>
              <w:t xml:space="preserve">5, each with batch norm and ReLU, max-pool 2 after the first two. Output 64 time steps × 64 features</w:t>
            </w:r>
          </w:p>
        </w:tc>
        <w:tc>
          <w:tcPr>
            <w:tcW w:type="dxa" w:w="280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Learns its own filters from the signal. For chewing detection, a CNN reached F1 0.908 against 0.748 for an SVM on hand-crafted features. Each output step covers about 0.9 s of signal (one chew cycle) at 125 ms spacing</w:t>
            </w:r>
          </w:p>
        </w:tc>
        <w:tc>
          <w:tcPr>
            <w:tcW w:type="dxa" w:w="207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Z. Wang, Yan, and Oates (2017; Ghosh and Sazonov 2022; Diou et al. 2022; Hannun et al. 2019)</w:t>
            </w:r>
          </w:p>
        </w:tc>
      </w:tr>
      <w:tr>
        <w:tc>
          <w:tcPr>
            <w:tcW w:type="dxa" w:w="60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8</w:t>
            </w:r>
          </w:p>
        </w:tc>
        <w:tc>
          <w:tcPr>
            <w:tcW w:type="dxa" w:w="17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Channel attention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Squeeze-and-excitation: global average → dense 16 (ReLU) → dense 64 (sigmoid) → rescale each feature channel</w:t>
            </w:r>
          </w:p>
        </w:tc>
        <w:tc>
          <w:tcPr>
            <w:tcW w:type="dxa" w:w="280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Walking at 1–3 Hz resembles chewing and produces false positives in chewing detectors; the accelerometer is what separates the two. The gate reweights optical against motion channels in every window at negligible cost</w:t>
            </w:r>
          </w:p>
        </w:tc>
        <w:tc>
          <w:tcPr>
            <w:tcW w:type="dxa" w:w="207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Hu, Shen, and Sun (2018; Diou et al. 2022)</w:t>
            </w:r>
          </w:p>
        </w:tc>
      </w:tr>
      <w:tr>
        <w:tc>
          <w:tcPr>
            <w:tcW w:type="dxa" w:w="60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9</w:t>
            </w:r>
          </w:p>
        </w:tc>
        <w:tc>
          <w:tcPr>
            <w:tcW w:type="dxa" w:w="17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Temporal pooling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Attention pooling: one score per time step (1 × 1 conv), softmax over the 64 steps, weighted sum</w:t>
            </w:r>
          </w:p>
        </w:tc>
        <w:tc>
          <w:tcPr>
            <w:tcW w:type="dxa" w:w="280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Global averaging dilutes a 1–2 s bite across 8 s. Attention weights the informative steps, as in multiple-instance learning</w:t>
            </w:r>
          </w:p>
        </w:tc>
        <w:tc>
          <w:tcPr>
            <w:tcW w:type="dxa" w:w="207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Ilse, Tomczak, and Welling (2018)</w:t>
            </w:r>
          </w:p>
        </w:tc>
      </w:tr>
      <w:tr>
        <w:tc>
          <w:tcPr>
            <w:tcW w:type="dxa" w:w="60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10</w:t>
            </w:r>
          </w:p>
        </w:tc>
        <w:tc>
          <w:tcPr>
            <w:tcW w:type="dxa" w:w="17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Classifier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Dense 64 (ReLU), dropout 0.3, sigmoid output</w:t>
            </w:r>
          </w:p>
        </w:tc>
        <w:tc>
          <w:tcPr>
            <w:tcW w:type="dxa" w:w="280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Small head; about 47 k parameters in total at inference</w:t>
            </w:r>
          </w:p>
        </w:tc>
        <w:tc>
          <w:tcPr>
            <w:tcW w:type="dxa" w:w="207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–</w:t>
            </w:r>
          </w:p>
        </w:tc>
      </w:tr>
      <w:tr>
        <w:tc>
          <w:tcPr>
            <w:tcW w:type="dxa" w:w="60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11</w:t>
            </w:r>
          </w:p>
        </w:tc>
        <w:tc>
          <w:tcPr>
            <w:tcW w:type="dxa" w:w="17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Auxiliary head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Chew-count regression (dense 32 → 1, softplus), target scaled by its 99th percentile. Used in training only</w:t>
            </w:r>
          </w:p>
        </w:tc>
        <w:tc>
          <w:tcPr>
            <w:tcW w:type="dxa" w:w="280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Deep models require large volumes of labelled data, and one label bit per window is thin supervision. The chew-count task is specific to this work; the principle is multi-task learning</w:t>
            </w:r>
          </w:p>
        </w:tc>
        <w:tc>
          <w:tcPr>
            <w:tcW w:type="dxa" w:w="207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Caruana (1997; Diou et al. 2022)</w:t>
            </w:r>
          </w:p>
        </w:tc>
      </w:tr>
      <w:tr>
        <w:tc>
          <w:tcPr>
            <w:tcW w:type="dxa" w:w="9735"/>
            <w:gridSpan w:val="5"/>
          </w:tcPr>
          <w:p>
            <w:pPr>
              <w:pStyle w:val="Compact"/>
              <w:spacing w:after="40" w:before="40"/>
              <w:jc w:val="left"/>
            </w:pPr>
            <w:r>
              <w:rPr>
                <w:iCs/>
                <w:rFonts w:ascii="Arial" w:hAnsi="Arial" w:cs="Arial" w:eastAsia="Arial"/>
                <w:i/>
                <w:sz w:val="22"/>
              </w:rPr>
              <w:t xml:space="preserve">Training</w:t>
            </w:r>
          </w:p>
        </w:tc>
      </w:tr>
      <w:tr>
        <w:tc>
          <w:tcPr>
            <w:tcW w:type="dxa" w:w="60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12</w:t>
            </w:r>
          </w:p>
        </w:tc>
        <w:tc>
          <w:tcPr>
            <w:tcW w:type="dxa" w:w="17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Loss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Binary cross-entropy (weight 1.0) + chew MSE (weight 0.2); class-balanced sample weights computed per fold</w:t>
            </w:r>
          </w:p>
        </w:tc>
        <w:tc>
          <w:tcPr>
            <w:tcW w:type="dxa" w:w="280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Auxiliary loss is a regulariser, not the objective. Eating fraction ranges 0–86% by session, so the rare class changes with the fold</w:t>
            </w:r>
          </w:p>
        </w:tc>
        <w:tc>
          <w:tcPr>
            <w:tcW w:type="dxa" w:w="207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Caruana (1997)</w:t>
            </w:r>
          </w:p>
        </w:tc>
      </w:tr>
      <w:tr>
        <w:tc>
          <w:tcPr>
            <w:tcW w:type="dxa" w:w="60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13</w:t>
            </w:r>
          </w:p>
        </w:tc>
        <w:tc>
          <w:tcPr>
            <w:tcW w:type="dxa" w:w="17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Augmentation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50% overlapping windows (4 s hop) at training time only</w:t>
            </w:r>
          </w:p>
        </w:tc>
        <w:tc>
          <w:tcPr>
            <w:tcW w:type="dxa" w:w="280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Roughly doubles the training windows at no collection cost; evaluation stays on the non-overlapping grid so no second is scored twice</w:t>
            </w:r>
          </w:p>
        </w:tc>
        <w:tc>
          <w:tcPr>
            <w:tcW w:type="dxa" w:w="207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Um et al. (2017)</w:t>
            </w:r>
          </w:p>
        </w:tc>
      </w:tr>
      <w:tr>
        <w:tc>
          <w:tcPr>
            <w:tcW w:type="dxa" w:w="60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14</w:t>
            </w:r>
          </w:p>
        </w:tc>
        <w:tc>
          <w:tcPr>
            <w:tcW w:type="dxa" w:w="17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Optimisation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Adam, learning rate 0.0003, batch 64, up to 80 epochs, early stopping (patience 12) and learning-rate halving on validation ROC AUC</w:t>
            </w:r>
          </w:p>
        </w:tc>
        <w:tc>
          <w:tcPr>
            <w:tcW w:type="dxa" w:w="280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At 0.001 the validation optimum fell at the first epoch in most folds; the lower rate moves it later. Validation participants are held out from training, never random windows</w:t>
            </w:r>
          </w:p>
        </w:tc>
        <w:tc>
          <w:tcPr>
            <w:tcW w:type="dxa" w:w="207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–</w:t>
            </w:r>
          </w:p>
        </w:tc>
      </w:tr>
      <w:tr>
        <w:tc>
          <w:tcPr>
            <w:tcW w:type="dxa" w:w="9735"/>
            <w:gridSpan w:val="5"/>
          </w:tcPr>
          <w:p>
            <w:pPr>
              <w:pStyle w:val="Compact"/>
              <w:spacing w:after="40" w:before="40"/>
              <w:jc w:val="left"/>
            </w:pPr>
            <w:r>
              <w:rPr>
                <w:iCs/>
                <w:rFonts w:ascii="Arial" w:hAnsi="Arial" w:cs="Arial" w:eastAsia="Arial"/>
                <w:i/>
                <w:sz w:val="22"/>
              </w:rPr>
              <w:t xml:space="preserve">Evaluation</w:t>
            </w:r>
          </w:p>
        </w:tc>
      </w:tr>
      <w:tr>
        <w:tc>
          <w:tcPr>
            <w:tcW w:type="dxa" w:w="60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15</w:t>
            </w:r>
          </w:p>
        </w:tc>
        <w:tc>
          <w:tcPr>
            <w:tcW w:type="dxa" w:w="17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Validation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Leave-one-subject-out: 43 folds, each holding out one participant with all of their sessions. Inner validation on further held-out participants</w:t>
            </w:r>
          </w:p>
        </w:tc>
        <w:tc>
          <w:tcPr>
            <w:tcW w:type="dxa" w:w="280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Windows of one meal are near-duplicates; any split below participant level leaks and overstates performance. Leave-one-subject-out is the protocol of the AIM-2 and smartwatch intake studies</w:t>
            </w:r>
          </w:p>
        </w:tc>
        <w:tc>
          <w:tcPr>
            <w:tcW w:type="dxa" w:w="207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Doulah et al. (2021; Kyritsis, Diou, and Delopoulos 2021; Diou et al. 2022; Saeb et al. 2017)</w:t>
            </w:r>
          </w:p>
        </w:tc>
      </w:tr>
      <w:tr>
        <w:tc>
          <w:tcPr>
            <w:tcW w:type="dxa" w:w="60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16</w:t>
            </w:r>
          </w:p>
        </w:tc>
        <w:tc>
          <w:tcPr>
            <w:tcW w:type="dxa" w:w="17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Threshold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Chosen on the inner validation participants, never on the test participant: at the centre of the F1 plateau by default, or as the highest recall within a false-alarm budget per hour</w:t>
            </w:r>
          </w:p>
        </w:tc>
        <w:tc>
          <w:tcPr>
            <w:tcW w:type="dxa" w:w="280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The F1 curve is flat near its peak, so its exact argmax on few participants is noise. A detector can be tuned towards recall or precision according to the use case; in free living, false alarms carry the higher cost</w:t>
            </w:r>
          </w:p>
        </w:tc>
        <w:tc>
          <w:tcPr>
            <w:tcW w:type="dxa" w:w="207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Diou et al. (2022)</w:t>
            </w:r>
          </w:p>
        </w:tc>
      </w:tr>
      <w:tr>
        <w:tc>
          <w:tcPr>
            <w:tcW w:type="dxa" w:w="60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17</w:t>
            </w:r>
          </w:p>
        </w:tc>
        <w:tc>
          <w:tcPr>
            <w:tcW w:type="dxa" w:w="17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Post-processing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None. Median smoothing over 3 windows was tested and rejected (F1 −0.079)</w:t>
            </w:r>
          </w:p>
        </w:tc>
        <w:tc>
          <w:tcPr>
            <w:tcW w:type="dxa" w:w="280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Meals are punctuated by pauses; at 8 s the label genuinely switches, and smoothing erases short real bouts</w:t>
            </w:r>
          </w:p>
        </w:tc>
        <w:tc>
          <w:tcPr>
            <w:tcW w:type="dxa" w:w="207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(this work)</w:t>
            </w:r>
          </w:p>
        </w:tc>
      </w:tr>
      <w:tr>
        <w:tc>
          <w:tcPr>
            <w:tcW w:type="dxa" w:w="605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18</w:t>
            </w:r>
          </w:p>
        </w:tc>
        <w:tc>
          <w:tcPr>
            <w:tcW w:type="dxa" w:w="172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Metrics</w:t>
            </w:r>
          </w:p>
        </w:tc>
        <w:tc>
          <w:tcPr>
            <w:tcW w:type="dxa" w:w="2520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F1 and balanced accuracy lead; accuracy, precision, recall and false alarms per hour of non-eating reported alongside, pooled over all held-out windows and per participant</w:t>
            </w:r>
          </w:p>
        </w:tc>
        <w:tc>
          <w:tcPr>
            <w:tcW w:type="dxa" w:w="2808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Class balance differs by participant; accuracy alone rewards predicting the majority class. False alarms per hour expresses the free-living failure mode directly</w:t>
            </w:r>
          </w:p>
        </w:tc>
        <w:tc>
          <w:tcPr>
            <w:tcW w:type="dxa" w:w="207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 w:cs="Arial" w:eastAsia="Arial"/>
                <w:sz w:val="22"/>
              </w:rPr>
              <w:t xml:space="preserve">Bell et al. (2020)</w:t>
            </w:r>
          </w:p>
        </w:tc>
      </w:tr>
    </w:tbl>
    <w:bookmarkEnd w:id="30"/>
    <w:bookmarkStart w:id="31" w:name="dataset-and-current-performance"/>
    <w:p>
      <w:pPr>
        <w:pStyle w:val="Heading2"/>
      </w:pPr>
      <w:r>
        <w:rPr>
          <w:rStyle w:val="SectionNumber"/>
          <w:rFonts w:ascii="Arial" w:hAnsi="Arial" w:cs="Arial" w:eastAsia="Arial"/>
        </w:rPr>
        <w:t xml:space="preserve">2.1</w:t>
      </w:r>
      <w:r>
        <w:rPr>
          <w:rFonts w:ascii="Arial" w:hAnsi="Arial" w:cs="Arial" w:eastAsia="Arial"/>
        </w:rPr>
        <w:tab/>
      </w:r>
      <w:r>
        <w:rPr>
          <w:rFonts w:ascii="Arial" w:hAnsi="Arial" w:cs="Arial" w:eastAsia="Arial"/>
        </w:rPr>
        <w:t xml:space="preserve">Dataset and current performance</w:t>
      </w:r>
    </w:p>
    <w:p>
      <w:pPr>
        <w:pStyle w:val="FirstParagraph"/>
      </w:pPr>
      <w:r>
        <w:rPr>
          <w:rFonts w:ascii="Arial" w:hAnsi="Arial" w:cs="Arial" w:eastAsia="Arial"/>
          <w:sz w:val="22"/>
        </w:rPr>
        <w:t xml:space="preserve">The dataset is 61 annotated eating sessions (breakfast, lunch, dinner and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snack) from 43 participants, 2 to 55 minutes each: 24.2 hours of annotated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recording, of which 9.6 hours is eating. The eating fraction ranges from 0%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to 86% by session. Validation is leave-one-subject-out: 43 folds, each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holding out one participant with all of their sessions.</w:t>
      </w:r>
    </w:p>
    <w:p>
      <w:pPr>
        <w:pStyle w:val="BodyText"/>
      </w:pPr>
      <w:r>
        <w:rPr>
          <w:rFonts w:ascii="Arial" w:hAnsi="Arial" w:cs="Arial" w:eastAsia="Arial"/>
          <w:sz w:val="22"/>
        </w:rPr>
        <w:t xml:space="preserve">Under leave-one-subject-out validation, pooled over all 10,891 held-out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non-overlapping windows, the model reaches F1 0.856, accuracy 0.887,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balanced accuracy 0.881, precision 0.860, recall 0.853 and specificity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0.909, with 41 false alarms per hour of non-eating. Per-participant F1 has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mean 0.836 (standard deviation 0.117, median 0.867), and three participants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fall below 0.55. The same configuration under participant-level 5-fold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cross-validation gives F1 0.864 and accuracy 0.893, so the estimate is not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sensitive to the validation scheme.</w:t>
      </w:r>
    </w:p>
    <w:p>
      <w:pPr>
        <w:pStyle w:val="BodyText"/>
      </w:pPr>
      <w:r>
        <w:rPr>
          <w:rFonts w:ascii="Arial" w:hAnsi="Arial" w:cs="Arial" w:eastAsia="Arial"/>
          <w:sz w:val="22"/>
        </w:rPr>
        <w:t xml:space="preserve">The training configurations tested (early-stopping criterion, learning rate,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augmentation) differ by no more than 0.006 F1, while replacing the time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series with a magnitude spectrum lowers F1 from 0.858 to 0.796 and raises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false alarms from 32 to 81 per hour (5-fold). The input representation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therefore carries the performance, and the variation between participants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is larger than any difference between training configurations.</w:t>
      </w:r>
    </w:p>
    <w:bookmarkEnd w:id="31"/>
    <w:bookmarkEnd w:id="32"/>
    <w:bookmarkStart w:id="73" w:name="bibliography"/>
    <w:p>
      <w:pPr>
        <w:pStyle w:val="Heading1"/>
      </w:pPr>
      <w:r>
        <w:rPr>
          <w:rFonts w:ascii="Arial" w:hAnsi="Arial" w:cs="Arial" w:eastAsia="Arial"/>
        </w:rPr>
        <w:t xml:space="preserve">References</w:t>
      </w:r>
    </w:p>
    <w:bookmarkStart w:id="72" w:name="refs"/>
    <w:bookmarkStart w:id="34" w:name="ref-banos2014window"/>
    <w:p>
      <w:pPr>
        <w:pStyle w:val="Bibliography"/>
      </w:pPr>
      <w:r>
        <w:rPr>
          <w:rFonts w:ascii="Arial" w:hAnsi="Arial" w:cs="Arial" w:eastAsia="Arial"/>
          <w:sz w:val="22"/>
        </w:rPr>
        <w:t xml:space="preserve">Banos, Oresti, Juan-Manuel Galvez, Miguel Damas, Hector Pomares, and Ignacio Rojas. 2014.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“Window Size Impact in Human Activity Recognition.”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Sensors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14 (4): 6474–99.</w:t>
      </w:r>
      <w:r>
        <w:rPr>
          <w:rFonts w:ascii="Arial" w:hAnsi="Arial" w:cs="Arial" w:eastAsia="Arial"/>
          <w:sz w:val="22"/>
        </w:rPr>
        <w:t xml:space="preserve"> </w:t>
      </w:r>
      <w:hyperlink r:id="rId33">
        <w:r>
          <w:rPr>
            <w:rStyle w:val="Hyperlink"/>
          </w:rPr>
          <w:t xml:space="preserve">https://doi.org/10.3390/s140406474</w:t>
        </w:r>
      </w:hyperlink>
      <w:r>
        <w:rPr>
          <w:rFonts w:ascii="Arial" w:hAnsi="Arial" w:cs="Arial" w:eastAsia="Arial"/>
          <w:sz w:val="22"/>
        </w:rPr>
        <w:t xml:space="preserve">.</w:t>
      </w:r>
    </w:p>
    <w:bookmarkEnd w:id="34"/>
    <w:bookmarkStart w:id="36" w:name="ref-bell2020scoping"/>
    <w:p>
      <w:pPr>
        <w:pStyle w:val="Bibliography"/>
      </w:pPr>
      <w:r>
        <w:rPr>
          <w:rFonts w:ascii="Arial" w:hAnsi="Arial" w:cs="Arial" w:eastAsia="Arial"/>
          <w:sz w:val="22"/>
        </w:rPr>
        <w:t xml:space="preserve">Bell, Brooke M., Ridwan Alam, Nabil Alshurafa, Edison Thomaz, Abu S. Mondol, Kayla de la Haye, John A. Stankovic, John Lach, and Donna Spruijt-Metz. 2020.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“Automatic, Wearable-Based, in-Field Eating Detection Approaches for Public Health Research: A Scoping Review.”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Npj Digital Medicine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3: 38.</w:t>
      </w:r>
      <w:r>
        <w:rPr>
          <w:rFonts w:ascii="Arial" w:hAnsi="Arial" w:cs="Arial" w:eastAsia="Arial"/>
          <w:sz w:val="22"/>
        </w:rPr>
        <w:t xml:space="preserve"> </w:t>
      </w:r>
      <w:hyperlink r:id="rId35">
        <w:r>
          <w:rPr>
            <w:rStyle w:val="Hyperlink"/>
          </w:rPr>
          <w:t xml:space="preserve">https://doi.org/10.1038/s41746-020-0246-2</w:t>
        </w:r>
      </w:hyperlink>
      <w:r>
        <w:rPr>
          <w:rFonts w:ascii="Arial" w:hAnsi="Arial" w:cs="Arial" w:eastAsia="Arial"/>
          <w:sz w:val="22"/>
        </w:rPr>
        <w:t xml:space="preserve">.</w:t>
      </w:r>
    </w:p>
    <w:bookmarkEnd w:id="36"/>
    <w:bookmarkStart w:id="38" w:name="ref-caruana1997multitask"/>
    <w:p>
      <w:pPr>
        <w:pStyle w:val="Bibliography"/>
      </w:pPr>
      <w:r>
        <w:rPr>
          <w:rFonts w:ascii="Arial" w:hAnsi="Arial" w:cs="Arial" w:eastAsia="Arial"/>
          <w:sz w:val="22"/>
        </w:rPr>
        <w:t xml:space="preserve">Caruana, Rich. 1997.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“Multitask Learning.”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Machine Learning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28: 41–75.</w:t>
      </w:r>
      <w:r>
        <w:rPr>
          <w:rFonts w:ascii="Arial" w:hAnsi="Arial" w:cs="Arial" w:eastAsia="Arial"/>
          <w:sz w:val="22"/>
        </w:rPr>
        <w:t xml:space="preserve"> </w:t>
      </w:r>
      <w:hyperlink r:id="rId37">
        <w:r>
          <w:rPr>
            <w:rStyle w:val="Hyperlink"/>
          </w:rPr>
          <w:t xml:space="preserve">https://doi.org/10.1023/A:1007379606734</w:t>
        </w:r>
      </w:hyperlink>
      <w:r>
        <w:rPr>
          <w:rFonts w:ascii="Arial" w:hAnsi="Arial" w:cs="Arial" w:eastAsia="Arial"/>
          <w:sz w:val="22"/>
        </w:rPr>
        <w:t xml:space="preserve">.</w:t>
      </w:r>
    </w:p>
    <w:bookmarkEnd w:id="38"/>
    <w:bookmarkStart w:id="40" w:name="ref-diou2022intake"/>
    <w:p>
      <w:pPr>
        <w:pStyle w:val="Bibliography"/>
      </w:pPr>
      <w:r>
        <w:rPr>
          <w:rFonts w:ascii="Arial" w:hAnsi="Arial" w:cs="Arial" w:eastAsia="Arial"/>
          <w:sz w:val="22"/>
        </w:rPr>
        <w:t xml:space="preserve">Diou, Christos, Konstantinos Kyritsis, Vasileios Papapanagiotou, and Ioannis Sarafis. 2022.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“Intake Monitoring in Free-Living Conditions: Overview and Lessons We Have Learned.”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Appetite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176: 106096.</w:t>
      </w:r>
      <w:r>
        <w:rPr>
          <w:rFonts w:ascii="Arial" w:hAnsi="Arial" w:cs="Arial" w:eastAsia="Arial"/>
          <w:sz w:val="22"/>
        </w:rPr>
        <w:t xml:space="preserve"> </w:t>
      </w:r>
      <w:hyperlink r:id="rId39">
        <w:r>
          <w:rPr>
            <w:rStyle w:val="Hyperlink"/>
          </w:rPr>
          <w:t xml:space="preserve">https://doi.org/10.1016/j.appet.2022.106096</w:t>
        </w:r>
      </w:hyperlink>
      <w:r>
        <w:rPr>
          <w:rFonts w:ascii="Arial" w:hAnsi="Arial" w:cs="Arial" w:eastAsia="Arial"/>
          <w:sz w:val="22"/>
        </w:rPr>
        <w:t xml:space="preserve">.</w:t>
      </w:r>
    </w:p>
    <w:bookmarkEnd w:id="40"/>
    <w:bookmarkStart w:id="42" w:name="ref-doulah2021aim2"/>
    <w:p>
      <w:pPr>
        <w:pStyle w:val="Bibliography"/>
      </w:pPr>
      <w:r>
        <w:rPr>
          <w:rFonts w:ascii="Arial" w:hAnsi="Arial" w:cs="Arial" w:eastAsia="Arial"/>
          <w:sz w:val="22"/>
        </w:rPr>
        <w:t xml:space="preserve">Doulah, Abul, Tonmoy Ghosh, Delwar Hossain, Masudul H. Imtiaz, and Edward Sazonov. 2021.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</w:t>
      </w:r>
      <w:r>
        <w:rPr>
          <w:rFonts w:ascii="Arial" w:hAnsi="Arial" w:cs="Arial" w:eastAsia="Arial"/>
          <w:sz w:val="22"/>
        </w:rPr>
        <w:t xml:space="preserve">‘</w:t>
      </w:r>
      <w:r>
        <w:rPr>
          <w:rFonts w:ascii="Arial" w:hAnsi="Arial" w:cs="Arial" w:eastAsia="Arial"/>
          <w:sz w:val="22"/>
        </w:rPr>
        <w:t xml:space="preserve">Automatic Ingestion Monitor Version 2</w:t>
      </w:r>
      <w:r>
        <w:rPr>
          <w:rFonts w:ascii="Arial" w:hAnsi="Arial" w:cs="Arial" w:eastAsia="Arial"/>
          <w:sz w:val="22"/>
        </w:rPr>
        <w:t xml:space="preserve">’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– a Novel Wearable Device for Automatic Food Intake Detection and Passive Capture of Food Images.”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IEEE Journal of Biomedical and Health Informatics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25 (2): 568–76.</w:t>
      </w:r>
      <w:r>
        <w:rPr>
          <w:rFonts w:ascii="Arial" w:hAnsi="Arial" w:cs="Arial" w:eastAsia="Arial"/>
          <w:sz w:val="22"/>
        </w:rPr>
        <w:t xml:space="preserve"> </w:t>
      </w:r>
      <w:hyperlink r:id="rId41">
        <w:r>
          <w:rPr>
            <w:rStyle w:val="Hyperlink"/>
          </w:rPr>
          <w:t xml:space="preserve">https://doi.org/10.1109/JBHI.2020.2995473</w:t>
        </w:r>
      </w:hyperlink>
      <w:r>
        <w:rPr>
          <w:rFonts w:ascii="Arial" w:hAnsi="Arial" w:cs="Arial" w:eastAsia="Arial"/>
          <w:sz w:val="22"/>
        </w:rPr>
        <w:t xml:space="preserve">.</w:t>
      </w:r>
    </w:p>
    <w:bookmarkEnd w:id="42"/>
    <w:bookmarkStart w:id="44" w:name="ref-fontana2014aim"/>
    <w:p>
      <w:pPr>
        <w:pStyle w:val="Bibliography"/>
      </w:pPr>
      <w:r>
        <w:rPr>
          <w:rFonts w:ascii="Arial" w:hAnsi="Arial" w:cs="Arial" w:eastAsia="Arial"/>
          <w:sz w:val="22"/>
        </w:rPr>
        <w:t xml:space="preserve">Fontana, Juan M., Muhammad Farooq, and Edward Sazonov. 2014.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“Automatic Ingestion Monitor: A Novel Wearable Device for Monitoring of Ingestive Behavior.”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IEEE Transactions on Biomedical Engineering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61 (6): 1772–79.</w:t>
      </w:r>
      <w:r>
        <w:rPr>
          <w:rFonts w:ascii="Arial" w:hAnsi="Arial" w:cs="Arial" w:eastAsia="Arial"/>
          <w:sz w:val="22"/>
        </w:rPr>
        <w:t xml:space="preserve"> </w:t>
      </w:r>
      <w:hyperlink r:id="rId43">
        <w:r>
          <w:rPr>
            <w:rStyle w:val="Hyperlink"/>
          </w:rPr>
          <w:t xml:space="preserve">https://doi.org/10.1109/TBME.2014.2306773</w:t>
        </w:r>
      </w:hyperlink>
      <w:r>
        <w:rPr>
          <w:rFonts w:ascii="Arial" w:hAnsi="Arial" w:cs="Arial" w:eastAsia="Arial"/>
          <w:sz w:val="22"/>
        </w:rPr>
        <w:t xml:space="preserve">.</w:t>
      </w:r>
    </w:p>
    <w:bookmarkEnd w:id="44"/>
    <w:bookmarkStart w:id="46" w:name="ref-ghosh2024integrated"/>
    <w:p>
      <w:pPr>
        <w:pStyle w:val="Bibliography"/>
      </w:pPr>
      <w:r>
        <w:rPr>
          <w:rFonts w:ascii="Arial" w:hAnsi="Arial" w:cs="Arial" w:eastAsia="Arial"/>
          <w:sz w:val="22"/>
        </w:rPr>
        <w:t xml:space="preserve">Ghosh, Tonmoy, Yue Han, Viprav Raju, Delwar Hossain, Megan A. McCrory, Janine Higgins, Carol Boushey, Edward J. Delp, and Edward Sazonov. 2024.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“Integrated Image and Sensor-Based Food Intake Detection in Free-Living.”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Scientific Reports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14: 1665.</w:t>
      </w:r>
      <w:r>
        <w:rPr>
          <w:rFonts w:ascii="Arial" w:hAnsi="Arial" w:cs="Arial" w:eastAsia="Arial"/>
          <w:sz w:val="22"/>
        </w:rPr>
        <w:t xml:space="preserve"> </w:t>
      </w:r>
      <w:hyperlink r:id="rId45">
        <w:r>
          <w:rPr>
            <w:rStyle w:val="Hyperlink"/>
          </w:rPr>
          <w:t xml:space="preserve">https://doi.org/10.1038/s41598-024-51687-3</w:t>
        </w:r>
      </w:hyperlink>
      <w:r>
        <w:rPr>
          <w:rFonts w:ascii="Arial" w:hAnsi="Arial" w:cs="Arial" w:eastAsia="Arial"/>
          <w:sz w:val="22"/>
        </w:rPr>
        <w:t xml:space="preserve">.</w:t>
      </w:r>
    </w:p>
    <w:bookmarkEnd w:id="46"/>
    <w:bookmarkStart w:id="48" w:name="ref-ghosh2022comparative"/>
    <w:p>
      <w:pPr>
        <w:pStyle w:val="Bibliography"/>
      </w:pPr>
      <w:r>
        <w:rPr>
          <w:rFonts w:ascii="Arial" w:hAnsi="Arial" w:cs="Arial" w:eastAsia="Arial"/>
          <w:sz w:val="22"/>
        </w:rPr>
        <w:t xml:space="preserve">Ghosh, Tonmoy, and Edward Sazonov. 2022.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“A Comparative Study of Deep Learning Algorithms for Detecting Food Intake.”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In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44th Annual International Conference of the IEEE Engineering in Medicine and Biology Society (EMBC)</w:t>
      </w:r>
      <w:r>
        <w:rPr>
          <w:rFonts w:ascii="Arial" w:hAnsi="Arial" w:cs="Arial" w:eastAsia="Arial"/>
          <w:sz w:val="22"/>
        </w:rPr>
        <w:t xml:space="preserve">, 2993–96.</w:t>
      </w:r>
      <w:r>
        <w:rPr>
          <w:rFonts w:ascii="Arial" w:hAnsi="Arial" w:cs="Arial" w:eastAsia="Arial"/>
          <w:sz w:val="22"/>
        </w:rPr>
        <w:t xml:space="preserve"> </w:t>
      </w:r>
      <w:hyperlink r:id="rId47">
        <w:r>
          <w:rPr>
            <w:rStyle w:val="Hyperlink"/>
          </w:rPr>
          <w:t xml:space="preserve">https://doi.org/10.1109/EMBC48229.2022.9871278</w:t>
        </w:r>
      </w:hyperlink>
      <w:r>
        <w:rPr>
          <w:rFonts w:ascii="Arial" w:hAnsi="Arial" w:cs="Arial" w:eastAsia="Arial"/>
          <w:sz w:val="22"/>
        </w:rPr>
        <w:t xml:space="preserve">.</w:t>
      </w:r>
    </w:p>
    <w:bookmarkEnd w:id="48"/>
    <w:bookmarkStart w:id="50" w:name="ref-hannun2019cardiologist"/>
    <w:p>
      <w:pPr>
        <w:pStyle w:val="Bibliography"/>
      </w:pPr>
      <w:r>
        <w:rPr>
          <w:rFonts w:ascii="Arial" w:hAnsi="Arial" w:cs="Arial" w:eastAsia="Arial"/>
          <w:sz w:val="22"/>
        </w:rPr>
        <w:t xml:space="preserve">Hannun, Awni Y., Pranav Rajpurkar, Masoumeh Haghpanahi, Geoffrey H. Tison, Codie Bourn, Mintu P. Turakhia, and Andrew Y. Ng. 2019.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“Cardiologist-Level Arrhythmia Detection and Classification in Ambulatory Electrocardiograms Using a Deep Neural Network.”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Nature Medicine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25 (1): 65–69.</w:t>
      </w:r>
      <w:r>
        <w:rPr>
          <w:rFonts w:ascii="Arial" w:hAnsi="Arial" w:cs="Arial" w:eastAsia="Arial"/>
          <w:sz w:val="22"/>
        </w:rPr>
        <w:t xml:space="preserve"> </w:t>
      </w:r>
      <w:hyperlink r:id="rId49">
        <w:r>
          <w:rPr>
            <w:rStyle w:val="Hyperlink"/>
          </w:rPr>
          <w:t xml:space="preserve">https://doi.org/10.1038/s41591-018-0268-3</w:t>
        </w:r>
      </w:hyperlink>
      <w:r>
        <w:rPr>
          <w:rFonts w:ascii="Arial" w:hAnsi="Arial" w:cs="Arial" w:eastAsia="Arial"/>
          <w:sz w:val="22"/>
        </w:rPr>
        <w:t xml:space="preserve">.</w:t>
      </w:r>
    </w:p>
    <w:bookmarkEnd w:id="50"/>
    <w:bookmarkStart w:id="52" w:name="ref-hu2018squeeze"/>
    <w:p>
      <w:pPr>
        <w:pStyle w:val="Bibliography"/>
      </w:pPr>
      <w:r>
        <w:rPr>
          <w:rFonts w:ascii="Arial" w:hAnsi="Arial" w:cs="Arial" w:eastAsia="Arial"/>
          <w:sz w:val="22"/>
        </w:rPr>
        <w:t xml:space="preserve">Hu, Jie, Li Shen, and Gang Sun. 2018.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“Squeeze-and-Excitation Networks.”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In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Proceedings of the IEEE Conference on Computer Vision and Pattern Recognition (CVPR)</w:t>
      </w:r>
      <w:r>
        <w:rPr>
          <w:rFonts w:ascii="Arial" w:hAnsi="Arial" w:cs="Arial" w:eastAsia="Arial"/>
          <w:sz w:val="22"/>
        </w:rPr>
        <w:t xml:space="preserve">, 7132–41.</w:t>
      </w:r>
      <w:r>
        <w:rPr>
          <w:rFonts w:ascii="Arial" w:hAnsi="Arial" w:cs="Arial" w:eastAsia="Arial"/>
          <w:sz w:val="22"/>
        </w:rPr>
        <w:t xml:space="preserve"> </w:t>
      </w:r>
      <w:hyperlink r:id="rId51">
        <w:r>
          <w:rPr>
            <w:rStyle w:val="Hyperlink"/>
          </w:rPr>
          <w:t xml:space="preserve">https://doi.org/10.1109/CVPR.2018.00745</w:t>
        </w:r>
      </w:hyperlink>
      <w:r>
        <w:rPr>
          <w:rFonts w:ascii="Arial" w:hAnsi="Arial" w:cs="Arial" w:eastAsia="Arial"/>
          <w:sz w:val="22"/>
        </w:rPr>
        <w:t xml:space="preserve">.</w:t>
      </w:r>
    </w:p>
    <w:bookmarkEnd w:id="52"/>
    <w:bookmarkStart w:id="54" w:name="ref-ikram2025transformer"/>
    <w:p>
      <w:pPr>
        <w:pStyle w:val="Bibliography"/>
      </w:pPr>
      <w:r>
        <w:rPr>
          <w:rFonts w:ascii="Arial" w:hAnsi="Arial" w:cs="Arial" w:eastAsia="Arial"/>
          <w:sz w:val="22"/>
        </w:rPr>
        <w:t xml:space="preserve">Ikram, Sunnia, Amna Ikram, Harvinder Singh, Malik Daler Ali Awan, Sajid Naveed, Isabel De la Torre Díez, Henry Fabian Gongora, and Thania Candelaria Chio Montero. 2025.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“Transformer-Based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ECG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Classification for Early Detection of Cardiac Arrhythmias.”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Frontiers in Medicine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12: 1600855.</w:t>
      </w:r>
      <w:r>
        <w:rPr>
          <w:rFonts w:ascii="Arial" w:hAnsi="Arial" w:cs="Arial" w:eastAsia="Arial"/>
          <w:sz w:val="22"/>
        </w:rPr>
        <w:t xml:space="preserve"> </w:t>
      </w:r>
      <w:hyperlink r:id="rId53">
        <w:r>
          <w:rPr>
            <w:rStyle w:val="Hyperlink"/>
          </w:rPr>
          <w:t xml:space="preserve">https://doi.org/10.3389/fmed.2025.1600855</w:t>
        </w:r>
      </w:hyperlink>
      <w:r>
        <w:rPr>
          <w:rFonts w:ascii="Arial" w:hAnsi="Arial" w:cs="Arial" w:eastAsia="Arial"/>
          <w:sz w:val="22"/>
        </w:rPr>
        <w:t xml:space="preserve">.</w:t>
      </w:r>
    </w:p>
    <w:bookmarkEnd w:id="54"/>
    <w:bookmarkStart w:id="55" w:name="ref-ilse2018attention"/>
    <w:p>
      <w:pPr>
        <w:pStyle w:val="Bibliography"/>
      </w:pPr>
      <w:r>
        <w:rPr>
          <w:rFonts w:ascii="Arial" w:hAnsi="Arial" w:cs="Arial" w:eastAsia="Arial"/>
          <w:sz w:val="22"/>
        </w:rPr>
        <w:t xml:space="preserve">Ilse, Maximilian, Jakub M. Tomczak, and Max Welling. 2018.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“Attention-Based Deep Multiple Instance Learning.”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In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Proceedings of the 35th International Conference on Machine Learning (ICML)</w:t>
      </w:r>
      <w:r>
        <w:rPr>
          <w:rFonts w:ascii="Arial" w:hAnsi="Arial" w:cs="Arial" w:eastAsia="Arial"/>
          <w:sz w:val="22"/>
        </w:rPr>
        <w:t xml:space="preserve">, 80:2127–36. Proceedings of Machine Learning Research.</w:t>
      </w:r>
    </w:p>
    <w:bookmarkEnd w:id="55"/>
    <w:bookmarkStart w:id="56" w:name="ref-kyritsis2021endtoend"/>
    <w:p>
      <w:pPr>
        <w:pStyle w:val="Bibliography"/>
      </w:pPr>
      <w:r>
        <w:rPr>
          <w:rFonts w:ascii="Arial" w:hAnsi="Arial" w:cs="Arial" w:eastAsia="Arial"/>
          <w:sz w:val="22"/>
        </w:rPr>
        <w:t xml:space="preserve">Kyritsis, Konstantinos, Christos Diou, and Anastasios Delopoulos. 2021.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“A Data Driven End-to-End Approach for in-the-Wild Monitoring of Eating Behavior Using Smartwatches.”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IEEE Journal of Biomedical and Health Informatics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25 (1): 22–34.</w:t>
      </w:r>
    </w:p>
    <w:bookmarkEnd w:id="56"/>
    <w:bookmarkStart w:id="58" w:name="ref-papapanagiotou2017chewing"/>
    <w:p>
      <w:pPr>
        <w:pStyle w:val="Bibliography"/>
      </w:pPr>
      <w:r>
        <w:rPr>
          <w:rFonts w:ascii="Arial" w:hAnsi="Arial" w:cs="Arial" w:eastAsia="Arial"/>
          <w:sz w:val="22"/>
        </w:rPr>
        <w:t xml:space="preserve">Papapanagiotou, Vasileios, Christos Diou, and Anastasios Delopoulos. 2017.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“Chewing Detection from an in-Ear Microphone Using Convolutional Neural Networks.”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In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39th Annual International Conference of the IEEE Engineering in Medicine and Biology Society (EMBC)</w:t>
      </w:r>
      <w:r>
        <w:rPr>
          <w:rFonts w:ascii="Arial" w:hAnsi="Arial" w:cs="Arial" w:eastAsia="Arial"/>
          <w:sz w:val="22"/>
        </w:rPr>
        <w:t xml:space="preserve">, 1258–61.</w:t>
      </w:r>
      <w:r>
        <w:rPr>
          <w:rFonts w:ascii="Arial" w:hAnsi="Arial" w:cs="Arial" w:eastAsia="Arial"/>
          <w:sz w:val="22"/>
        </w:rPr>
        <w:t xml:space="preserve"> </w:t>
      </w:r>
      <w:hyperlink r:id="rId57">
        <w:r>
          <w:rPr>
            <w:rStyle w:val="Hyperlink"/>
          </w:rPr>
          <w:t xml:space="preserve">https://doi.org/10.1109/EMBC.2017.8037060</w:t>
        </w:r>
      </w:hyperlink>
      <w:r>
        <w:rPr>
          <w:rFonts w:ascii="Arial" w:hAnsi="Arial" w:cs="Arial" w:eastAsia="Arial"/>
          <w:sz w:val="22"/>
        </w:rPr>
        <w:t xml:space="preserve">.</w:t>
      </w:r>
    </w:p>
    <w:bookmarkEnd w:id="58"/>
    <w:bookmarkStart w:id="60" w:name="ref-po2011chewing"/>
    <w:p>
      <w:pPr>
        <w:pStyle w:val="Bibliography"/>
      </w:pPr>
      <w:r>
        <w:rPr>
          <w:rFonts w:ascii="Arial" w:hAnsi="Arial" w:cs="Arial" w:eastAsia="Arial"/>
          <w:sz w:val="22"/>
        </w:rPr>
        <w:t xml:space="preserve">Po, J. M. C., J. A. Kieser, L. M. Gallo, A. J. Tésenyi, P. Herbison, and M. Farella. 2011.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“Time-Frequency Analysis of Chewing Activity in the Natural Environment.”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Journal of Dental Research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90 (10).</w:t>
      </w:r>
      <w:r>
        <w:rPr>
          <w:rFonts w:ascii="Arial" w:hAnsi="Arial" w:cs="Arial" w:eastAsia="Arial"/>
          <w:sz w:val="22"/>
        </w:rPr>
        <w:t xml:space="preserve"> </w:t>
      </w:r>
      <w:hyperlink r:id="rId59">
        <w:r>
          <w:rPr>
            <w:rStyle w:val="Hyperlink"/>
          </w:rPr>
          <w:t xml:space="preserve">https://doi.org/10.1177/0022034511416669</w:t>
        </w:r>
      </w:hyperlink>
      <w:r>
        <w:rPr>
          <w:rFonts w:ascii="Arial" w:hAnsi="Arial" w:cs="Arial" w:eastAsia="Arial"/>
          <w:sz w:val="22"/>
        </w:rPr>
        <w:t xml:space="preserve">.</w:t>
      </w:r>
    </w:p>
    <w:bookmarkEnd w:id="60"/>
    <w:bookmarkStart w:id="62" w:name="ref-saeb2017need"/>
    <w:p>
      <w:pPr>
        <w:pStyle w:val="Bibliography"/>
      </w:pPr>
      <w:r>
        <w:rPr>
          <w:rFonts w:ascii="Arial" w:hAnsi="Arial" w:cs="Arial" w:eastAsia="Arial"/>
          <w:sz w:val="22"/>
        </w:rPr>
        <w:t xml:space="preserve">Saeb, Sohrab, Luca Lonini, Arun Jayaraman, David C. Mohr, and Konrad P. Kording. 2017.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“The Need to Approximate the Use-Case in Clinical Machine Learning.”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GigaScience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6 (5).</w:t>
      </w:r>
      <w:r>
        <w:rPr>
          <w:rFonts w:ascii="Arial" w:hAnsi="Arial" w:cs="Arial" w:eastAsia="Arial"/>
          <w:sz w:val="22"/>
        </w:rPr>
        <w:t xml:space="preserve"> </w:t>
      </w:r>
      <w:hyperlink r:id="rId61">
        <w:r>
          <w:rPr>
            <w:rStyle w:val="Hyperlink"/>
          </w:rPr>
          <w:t xml:space="preserve">https://doi.org/10.1093/gigascience/gix019</w:t>
        </w:r>
      </w:hyperlink>
      <w:r>
        <w:rPr>
          <w:rFonts w:ascii="Arial" w:hAnsi="Arial" w:cs="Arial" w:eastAsia="Arial"/>
          <w:sz w:val="22"/>
        </w:rPr>
        <w:t xml:space="preserve">.</w:t>
      </w:r>
    </w:p>
    <w:bookmarkEnd w:id="62"/>
    <w:bookmarkStart w:id="64" w:name="ref-stankoski2021smartwatch"/>
    <w:p>
      <w:pPr>
        <w:pStyle w:val="Bibliography"/>
      </w:pPr>
      <w:r>
        <w:rPr>
          <w:rFonts w:ascii="Arial" w:hAnsi="Arial" w:cs="Arial" w:eastAsia="Arial"/>
          <w:sz w:val="22"/>
        </w:rPr>
        <w:t xml:space="preserve">Stankoski, Simon, Marko Jordan, Hristijan Gjoreski, and Mitja Luštrek. 2021.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“Smartwatch-Based Eating Detection: Data Selection for Machine Learning from Imbalanced Data with Imperfect Labels.”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Sensors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21 (5): 1902.</w:t>
      </w:r>
      <w:r>
        <w:rPr>
          <w:rFonts w:ascii="Arial" w:hAnsi="Arial" w:cs="Arial" w:eastAsia="Arial"/>
          <w:sz w:val="22"/>
        </w:rPr>
        <w:t xml:space="preserve"> </w:t>
      </w:r>
      <w:hyperlink r:id="rId63">
        <w:r>
          <w:rPr>
            <w:rStyle w:val="Hyperlink"/>
          </w:rPr>
          <w:t xml:space="preserve">https://doi.org/10.3390/s21051902</w:t>
        </w:r>
      </w:hyperlink>
      <w:r>
        <w:rPr>
          <w:rFonts w:ascii="Arial" w:hAnsi="Arial" w:cs="Arial" w:eastAsia="Arial"/>
          <w:sz w:val="22"/>
        </w:rPr>
        <w:t xml:space="preserve">.</w:t>
      </w:r>
    </w:p>
    <w:bookmarkEnd w:id="64"/>
    <w:bookmarkStart w:id="66" w:name="ref-um2017augmentation"/>
    <w:p>
      <w:pPr>
        <w:pStyle w:val="Bibliography"/>
      </w:pPr>
      <w:r>
        <w:rPr>
          <w:rFonts w:ascii="Arial" w:hAnsi="Arial" w:cs="Arial" w:eastAsia="Arial"/>
          <w:sz w:val="22"/>
        </w:rPr>
        <w:t xml:space="preserve">Um, Terry T., Franz M. J. Pfister, Daniel Pichler, Satoshi Endo, Muriel Lang, Sandra Hirche, Urban Fietzek, and Dana Kulić. 2017.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“Data Augmentation of Wearable Sensor Data for Parkinson’s Disease Monitoring Using Convolutional Neural Networks.”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In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Proceedings of the 19th ACM International Conference on Multimodal Interaction (ICMI)</w:t>
      </w:r>
      <w:r>
        <w:rPr>
          <w:rFonts w:ascii="Arial" w:hAnsi="Arial" w:cs="Arial" w:eastAsia="Arial"/>
          <w:sz w:val="22"/>
        </w:rPr>
        <w:t xml:space="preserve">, 216–20.</w:t>
      </w:r>
      <w:r>
        <w:rPr>
          <w:rFonts w:ascii="Arial" w:hAnsi="Arial" w:cs="Arial" w:eastAsia="Arial"/>
          <w:sz w:val="22"/>
        </w:rPr>
        <w:t xml:space="preserve"> </w:t>
      </w:r>
      <w:hyperlink r:id="rId65">
        <w:r>
          <w:rPr>
            <w:rStyle w:val="Hyperlink"/>
          </w:rPr>
          <w:t xml:space="preserve">https://doi.org/10.1145/3136755.3136817</w:t>
        </w:r>
      </w:hyperlink>
      <w:r>
        <w:rPr>
          <w:rFonts w:ascii="Arial" w:hAnsi="Arial" w:cs="Arial" w:eastAsia="Arial"/>
          <w:sz w:val="22"/>
        </w:rPr>
        <w:t xml:space="preserve">.</w:t>
      </w:r>
    </w:p>
    <w:bookmarkEnd w:id="66"/>
    <w:bookmarkStart w:id="68" w:name="ref-vedovelli2026recognition"/>
    <w:p>
      <w:pPr>
        <w:pStyle w:val="Bibliography"/>
      </w:pPr>
      <w:r>
        <w:rPr>
          <w:rFonts w:ascii="Arial" w:hAnsi="Arial" w:cs="Arial" w:eastAsia="Arial"/>
          <w:sz w:val="22"/>
        </w:rPr>
        <w:t xml:space="preserve">Vedovelli, Luca, M. J. Bhuyan, Corrado Lanera, Ileana Baldi, and Dario Gregori. 2026.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“Recognition of Eating Episodes via Commercial Smartwatch Sensors.”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PLOS Digital Health</w:t>
      </w:r>
      <w:r>
        <w:rPr>
          <w:rFonts w:ascii="Arial" w:hAnsi="Arial" w:cs="Arial" w:eastAsia="Arial"/>
          <w:sz w:val="22"/>
        </w:rPr>
        <w:t xml:space="preserve">.</w:t>
      </w:r>
      <w:r>
        <w:rPr>
          <w:rFonts w:ascii="Arial" w:hAnsi="Arial" w:cs="Arial" w:eastAsia="Arial"/>
          <w:sz w:val="22"/>
        </w:rPr>
        <w:t xml:space="preserve"> </w:t>
      </w:r>
      <w:hyperlink r:id="rId67">
        <w:r>
          <w:rPr>
            <w:rStyle w:val="Hyperlink"/>
          </w:rPr>
          <w:t xml:space="preserve">https://doi.org/10.1371/journal.pdig.0001539</w:t>
        </w:r>
      </w:hyperlink>
      <w:r>
        <w:rPr>
          <w:rFonts w:ascii="Arial" w:hAnsi="Arial" w:cs="Arial" w:eastAsia="Arial"/>
          <w:sz w:val="22"/>
        </w:rPr>
        <w:t xml:space="preserve">.</w:t>
      </w:r>
    </w:p>
    <w:bookmarkEnd w:id="68"/>
    <w:bookmarkStart w:id="69" w:name="ref-wang2024eating"/>
    <w:p>
      <w:pPr>
        <w:pStyle w:val="Bibliography"/>
      </w:pPr>
      <w:r>
        <w:rPr>
          <w:rFonts w:ascii="Arial" w:hAnsi="Arial" w:cs="Arial" w:eastAsia="Arial"/>
          <w:sz w:val="22"/>
        </w:rPr>
        <w:t xml:space="preserve">Wang, Chunzhuo, T. Sunil Kumar, Walter De Raedt, Guido Camps, Hans Hallez, and Bart Vanrumste. 2024.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“Eating Speed Measurement Using Wrist-Worn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IMU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Sensors Towards Free-Living Environments.”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IEEE Journal of Biomedical and Health Informatics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28 (10): 5816–28.</w:t>
      </w:r>
    </w:p>
    <w:bookmarkEnd w:id="69"/>
    <w:bookmarkStart w:id="71" w:name="ref-wang2017strong"/>
    <w:p>
      <w:pPr>
        <w:pStyle w:val="Bibliography"/>
      </w:pPr>
      <w:r>
        <w:rPr>
          <w:rFonts w:ascii="Arial" w:hAnsi="Arial" w:cs="Arial" w:eastAsia="Arial"/>
          <w:sz w:val="22"/>
        </w:rPr>
        <w:t xml:space="preserve">Wang, Zhiguang, Weizhong Yan, and Tim Oates. 2017.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“Time Series Classification from Scratch with Deep Neural Networks: A Strong Baseline.”</w:t>
      </w:r>
      <w:r>
        <w:rPr>
          <w:rFonts w:ascii="Arial" w:hAnsi="Arial" w:cs="Arial" w:eastAsia="Arial"/>
          <w:sz w:val="22"/>
        </w:rPr>
        <w:t xml:space="preserve"> </w:t>
      </w:r>
      <w:r>
        <w:rPr>
          <w:rFonts w:ascii="Arial" w:hAnsi="Arial" w:cs="Arial" w:eastAsia="Arial"/>
          <w:sz w:val="22"/>
        </w:rPr>
        <w:t xml:space="preserve">In</w:t>
      </w:r>
      <w:r>
        <w:rPr>
          <w:rFonts w:ascii="Arial" w:hAnsi="Arial" w:cs="Arial" w:eastAsia="Arial"/>
          <w:sz w:val="22"/>
        </w:rPr>
        <w:t xml:space="preserve"> </w:t>
      </w:r>
      <w:r>
        <w:rPr>
          <w:iCs/>
          <w:rFonts w:ascii="Arial" w:hAnsi="Arial" w:cs="Arial" w:eastAsia="Arial"/>
          <w:i/>
          <w:sz w:val="22"/>
        </w:rPr>
        <w:t xml:space="preserve">International Joint Conference on Neural Networks (IJCNN)</w:t>
      </w:r>
      <w:r>
        <w:rPr>
          <w:rFonts w:ascii="Arial" w:hAnsi="Arial" w:cs="Arial" w:eastAsia="Arial"/>
          <w:sz w:val="22"/>
        </w:rPr>
        <w:t xml:space="preserve">, 1578–85.</w:t>
      </w:r>
      <w:r>
        <w:rPr>
          <w:rFonts w:ascii="Arial" w:hAnsi="Arial" w:cs="Arial" w:eastAsia="Arial"/>
          <w:sz w:val="22"/>
        </w:rPr>
        <w:t xml:space="preserve"> </w:t>
      </w:r>
      <w:hyperlink r:id="rId70">
        <w:r>
          <w:rPr>
            <w:rStyle w:val="Hyperlink"/>
          </w:rPr>
          <w:t xml:space="preserve">https://doi.org/10.1109/IJCNN.2017.7966039</w:t>
        </w:r>
      </w:hyperlink>
      <w:r>
        <w:rPr>
          <w:rFonts w:ascii="Arial" w:hAnsi="Arial" w:cs="Arial" w:eastAsia="Arial"/>
          <w:sz w:val="22"/>
        </w:rPr>
        <w:t xml:space="preserve">.</w:t>
      </w:r>
    </w:p>
    <w:bookmarkEnd w:id="71"/>
    <w:bookmarkEnd w:id="72"/>
    <w:bookmarkEnd w:id="73"/>
    <w:sectPr>
      <w:pgSz w:w="12240" w:h="15840"/>
      <w:pgMar w:left="1253" w:right="1253" w:top="1253" w:bottom="125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color w:val="222222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  <w:color w:val="222222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  <w:color w:val="222222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  <w:color w:val="222222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jc w:val="center"/>
    </w:pPr>
    <w:rPr>
      <w:rFonts w:ascii="Arial" w:hAnsi="Arial" w:cs="Arial" w:eastAsia="Arial"/>
      <w:b/>
      <w:bCs/>
      <w:color w:val="222222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b w:val="0"/>
      <w:color w:val="222222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  <w:b w:val="0"/>
      <w:color w:val="222222"/>
      <w:sz w:val="2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  <w:b w:val="0"/>
      <w:color w:val="222222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222222"/>
      <w:sz w:val="22"/>
      <w:szCs w:val="20"/>
      <w:rFonts w:ascii="Arial" w:hAnsi="Arial" w:cs="Arial" w:eastAsia="Arial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color w:val="222222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  <w:color w:val="222222"/>
      <w:sz w:val="22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Arial" w:hAnsi="Arial" w:cs="Arial" w:eastAsia="Arial"/>
      <w:b/>
      <w:bCs/>
      <w:color w:val="222222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Arial" w:hAnsi="Arial" w:cs="Arial" w:eastAsia="Arial"/>
      <w:b/>
      <w:bCs/>
      <w:color w:val="222222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Arial" w:hAnsi="Arial" w:cs="Arial" w:eastAsia="Arial"/>
      <w:b/>
      <w:bCs/>
      <w:color w:val="222222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rFonts w:ascii="Arial" w:hAnsi="Arial" w:cs="Arial" w:eastAsia="Arial"/>
      <w:i/>
      <w:bCs/>
      <w:color w:val="222222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20" w:before="240"/>
      <w:outlineLvl w:val="4"/>
    </w:pPr>
    <w:rPr>
      <w:rFonts w:ascii="Arial" w:hAnsi="Arial" w:cs="Arial" w:eastAsia="Arial"/>
      <w:iCs/>
      <w:color w:val="222222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20" w:before="240"/>
      <w:outlineLvl w:val="5"/>
    </w:pPr>
    <w:rPr>
      <w:rFonts w:ascii="Arial" w:hAnsi="Arial" w:cs="Arial" w:eastAsia="Arial"/>
      <w:color w:val="222222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120" w:before="240"/>
      <w:outlineLvl w:val="6"/>
    </w:pPr>
    <w:rPr>
      <w:rFonts w:ascii="Arial" w:hAnsi="Arial" w:cs="Arial" w:eastAsia="Arial"/>
      <w:color w:val="222222"/>
      <w:sz w:val="22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120" w:before="240"/>
      <w:outlineLvl w:val="7"/>
    </w:pPr>
    <w:rPr>
      <w:rFonts w:ascii="Arial" w:hAnsi="Arial" w:cs="Arial" w:eastAsia="Arial"/>
      <w:color w:val="222222"/>
      <w:sz w:val="22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120" w:before="240"/>
      <w:outlineLvl w:val="8"/>
    </w:pPr>
    <w:rPr>
      <w:rFonts w:ascii="Arial" w:hAnsi="Arial" w:cs="Arial" w:eastAsia="Arial"/>
      <w:color w:val="222222"/>
      <w:sz w:val="22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  <w:color w:val="222222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  <w:color w:val="222222"/>
      <w:sz w:val="22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  <w:color w:val="222222"/>
      <w:sz w:val="22"/>
    </w:rPr>
  </w:style>
  <w:style w:customStyle="1" w:styleId="Definition" w:type="paragraph">
    <w:name w:val="Definition"/>
    <w:basedOn w:val="Normal"/>
    <w:rPr>
      <w:rFonts w:ascii="Arial" w:hAnsi="Arial" w:cs="Arial" w:eastAsia="Arial"/>
      <w:color w:val="222222"/>
      <w:sz w:val="22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  <w:color w:val="222222"/>
      <w:sz w:val="22"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  <w:color w:val="222222"/>
      <w:sz w:val="22"/>
    </w:rPr>
  </w:style>
  <w:style w:customStyle="1" w:styleId="ImageCaption" w:type="paragraph">
    <w:name w:val="Image Caption"/>
    <w:basedOn w:val="Caption"/>
    <w:rPr>
      <w:rFonts w:ascii="Arial" w:hAnsi="Arial" w:cs="Arial" w:eastAsia="Arial"/>
      <w:color w:val="222222"/>
      <w:sz w:val="22"/>
    </w:rPr>
  </w:style>
  <w:style w:customStyle="1" w:styleId="Figure" w:type="paragraph">
    <w:name w:val="Figure"/>
    <w:basedOn w:val="Normal"/>
    <w:rPr>
      <w:rFonts w:ascii="Arial" w:hAnsi="Arial" w:cs="Arial" w:eastAsia="Arial"/>
      <w:color w:val="222222"/>
      <w:sz w:val="22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  <w:color w:val="222222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 w:val="0"/>
      <w:bCs w:val="0"/>
      <w:color w:val="222222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  <w:color w:val="222222"/>
      <w:sz w:val="22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image" Target="media/rId26.png"/><Relationship Id="rId39" Type="http://schemas.openxmlformats.org/officeDocument/2006/relationships/hyperlink" Target="https://doi.org/10.1016/j.appet.2022.106096" TargetMode="External"/><Relationship Id="rId37" Type="http://schemas.openxmlformats.org/officeDocument/2006/relationships/hyperlink" Target="https://doi.org/10.1023/A:1007379606734" TargetMode="External"/><Relationship Id="rId49" Type="http://schemas.openxmlformats.org/officeDocument/2006/relationships/hyperlink" Target="https://doi.org/10.1038/s41591-018-0268-3" TargetMode="External"/><Relationship Id="rId45" Type="http://schemas.openxmlformats.org/officeDocument/2006/relationships/hyperlink" Target="https://doi.org/10.1038/s41598-024-51687-3" TargetMode="External"/><Relationship Id="rId35" Type="http://schemas.openxmlformats.org/officeDocument/2006/relationships/hyperlink" Target="https://doi.org/10.1038/s41746-020-0246-2" TargetMode="External"/><Relationship Id="rId61" Type="http://schemas.openxmlformats.org/officeDocument/2006/relationships/hyperlink" Target="https://doi.org/10.1093/gigascience/gix019" TargetMode="External"/><Relationship Id="rId51" Type="http://schemas.openxmlformats.org/officeDocument/2006/relationships/hyperlink" Target="https://doi.org/10.1109/CVPR.2018.00745" TargetMode="External"/><Relationship Id="rId57" Type="http://schemas.openxmlformats.org/officeDocument/2006/relationships/hyperlink" Target="https://doi.org/10.1109/EMBC.2017.8037060" TargetMode="External"/><Relationship Id="rId47" Type="http://schemas.openxmlformats.org/officeDocument/2006/relationships/hyperlink" Target="https://doi.org/10.1109/EMBC48229.2022.9871278" TargetMode="External"/><Relationship Id="rId70" Type="http://schemas.openxmlformats.org/officeDocument/2006/relationships/hyperlink" Target="https://doi.org/10.1109/IJCNN.2017.7966039" TargetMode="External"/><Relationship Id="rId41" Type="http://schemas.openxmlformats.org/officeDocument/2006/relationships/hyperlink" Target="https://doi.org/10.1109/JBHI.2020.2995473" TargetMode="External"/><Relationship Id="rId43" Type="http://schemas.openxmlformats.org/officeDocument/2006/relationships/hyperlink" Target="https://doi.org/10.1109/TBME.2014.2306773" TargetMode="External"/><Relationship Id="rId65" Type="http://schemas.openxmlformats.org/officeDocument/2006/relationships/hyperlink" Target="https://doi.org/10.1145/3136755.3136817" TargetMode="External"/><Relationship Id="rId59" Type="http://schemas.openxmlformats.org/officeDocument/2006/relationships/hyperlink" Target="https://doi.org/10.1177/0022034511416669" TargetMode="External"/><Relationship Id="rId67" Type="http://schemas.openxmlformats.org/officeDocument/2006/relationships/hyperlink" Target="https://doi.org/10.1371/journal.pdig.0001539" TargetMode="External"/><Relationship Id="rId53" Type="http://schemas.openxmlformats.org/officeDocument/2006/relationships/hyperlink" Target="https://doi.org/10.3389/fmed.2025.1600855" TargetMode="External"/><Relationship Id="rId33" Type="http://schemas.openxmlformats.org/officeDocument/2006/relationships/hyperlink" Target="https://doi.org/10.3390/s140406474" TargetMode="External"/><Relationship Id="rId63" Type="http://schemas.openxmlformats.org/officeDocument/2006/relationships/hyperlink" Target="https://doi.org/10.3390/s21051902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doi.org/10.1016/j.appet.2022.106096" TargetMode="External"/><Relationship Id="rId37" Type="http://schemas.openxmlformats.org/officeDocument/2006/relationships/hyperlink" Target="https://doi.org/10.1023/A:1007379606734" TargetMode="External"/><Relationship Id="rId49" Type="http://schemas.openxmlformats.org/officeDocument/2006/relationships/hyperlink" Target="https://doi.org/10.1038/s41591-018-0268-3" TargetMode="External"/><Relationship Id="rId45" Type="http://schemas.openxmlformats.org/officeDocument/2006/relationships/hyperlink" Target="https://doi.org/10.1038/s41598-024-51687-3" TargetMode="External"/><Relationship Id="rId35" Type="http://schemas.openxmlformats.org/officeDocument/2006/relationships/hyperlink" Target="https://doi.org/10.1038/s41746-020-0246-2" TargetMode="External"/><Relationship Id="rId61" Type="http://schemas.openxmlformats.org/officeDocument/2006/relationships/hyperlink" Target="https://doi.org/10.1093/gigascience/gix019" TargetMode="External"/><Relationship Id="rId51" Type="http://schemas.openxmlformats.org/officeDocument/2006/relationships/hyperlink" Target="https://doi.org/10.1109/CVPR.2018.00745" TargetMode="External"/><Relationship Id="rId57" Type="http://schemas.openxmlformats.org/officeDocument/2006/relationships/hyperlink" Target="https://doi.org/10.1109/EMBC.2017.8037060" TargetMode="External"/><Relationship Id="rId47" Type="http://schemas.openxmlformats.org/officeDocument/2006/relationships/hyperlink" Target="https://doi.org/10.1109/EMBC48229.2022.9871278" TargetMode="External"/><Relationship Id="rId70" Type="http://schemas.openxmlformats.org/officeDocument/2006/relationships/hyperlink" Target="https://doi.org/10.1109/IJCNN.2017.7966039" TargetMode="External"/><Relationship Id="rId41" Type="http://schemas.openxmlformats.org/officeDocument/2006/relationships/hyperlink" Target="https://doi.org/10.1109/JBHI.2020.2995473" TargetMode="External"/><Relationship Id="rId43" Type="http://schemas.openxmlformats.org/officeDocument/2006/relationships/hyperlink" Target="https://doi.org/10.1109/TBME.2014.2306773" TargetMode="External"/><Relationship Id="rId65" Type="http://schemas.openxmlformats.org/officeDocument/2006/relationships/hyperlink" Target="https://doi.org/10.1145/3136755.3136817" TargetMode="External"/><Relationship Id="rId59" Type="http://schemas.openxmlformats.org/officeDocument/2006/relationships/hyperlink" Target="https://doi.org/10.1177/0022034511416669" TargetMode="External"/><Relationship Id="rId67" Type="http://schemas.openxmlformats.org/officeDocument/2006/relationships/hyperlink" Target="https://doi.org/10.1371/journal.pdig.0001539" TargetMode="External"/><Relationship Id="rId53" Type="http://schemas.openxmlformats.org/officeDocument/2006/relationships/hyperlink" Target="https://doi.org/10.3389/fmed.2025.1600855" TargetMode="External"/><Relationship Id="rId33" Type="http://schemas.openxmlformats.org/officeDocument/2006/relationships/hyperlink" Target="https://doi.org/10.3390/s140406474" TargetMode="External"/><Relationship Id="rId63" Type="http://schemas.openxmlformats.org/officeDocument/2006/relationships/hyperlink" Target="https://doi.org/10.3390/s210519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Food-intake detection from AIM-2 sensor signals: literature review and model description</dc:title>
  <dc:creator>Caelan Dunlea</dc:creator>
  <cp:keywords/>
  <dcterms:created xsi:type="dcterms:W3CDTF">2026-09-30T18:40:47Z</dcterms:created>
  <dcterms:modified xsi:type="dcterms:W3CDTF">2026-09-30T18:40:47Z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/home/user/Research_Directory/docs/literature_review/refs.bib</vt:lpwstr>
  </property>
  <property fmtid="{D5CDD505-2E9C-101B-9397-08002B2CF9AE}" pid="3" name="date">
    <vt:lpwstr>1 October 2026</vt:lpwstr>
  </property>
  <property fmtid="{D5CDD505-2E9C-101B-9397-08002B2CF9AE}" pid="4" name="reference-section-title">
    <vt:lpwstr>References</vt:lpwstr>
  </property>
</Properties>
</file>