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Food-Intake Detection from AIM-2 Signals: Experiment Results</w:t>
      </w:r>
    </w:p>
    <w:p>
      <w:r>
        <w:rPr>
          <w:i w:val="0"/>
          <w:sz w:val="22"/>
        </w:rPr>
        <w:t>Caelan Dunlea  ·  9 October 2026</w:t>
      </w:r>
    </w:p>
    <w:p>
      <w:pPr>
        <w:pStyle w:val="Heading1"/>
      </w:pPr>
      <w:r>
        <w:t>Summary</w:t>
      </w:r>
    </w:p>
    <w:p>
      <w:pPr>
        <w:pStyle w:val="ListBullet"/>
      </w:pPr>
      <w:r>
        <w:t>Under leave-one-subject-out validation (43 participants), the model reaches pooled F1 0.856 and accuracy 0.887; participant-level 5-fold cross-validation gives F1 0.864 and accuracy 0.893.</w:t>
      </w:r>
    </w:p>
    <w:p>
      <w:pPr>
        <w:pStyle w:val="ListBullet"/>
      </w:pPr>
      <w:r>
        <w:t>The input representation has the largest effect measured: replacing the time series with an FFT magnitude spectrum lowers F1 from 0.858 to 0.796 and raises false alarms from 32 to 81 per hour of non-eating.</w:t>
      </w:r>
    </w:p>
    <w:p>
      <w:pPr>
        <w:pStyle w:val="ListBullet"/>
      </w:pPr>
      <w:r>
        <w:t>8 s windows and the full 128 Hz sampling rate perform best. 32 Hz costs about 0.02 F1, almost entirely in recall.</w:t>
      </w:r>
    </w:p>
    <w:p>
      <w:pPr>
        <w:pStyle w:val="ListBullet"/>
      </w:pPr>
      <w:r>
        <w:t>Training settings, context windows and a Transformer layer change F1 by 0.01 or less.</w:t>
      </w:r>
    </w:p>
    <w:p>
      <w:pPr>
        <w:pStyle w:val="Heading1"/>
      </w:pPr>
      <w:r>
        <w:t>Dataset and protocol</w:t>
      </w:r>
    </w:p>
    <w:p>
      <w:pPr>
        <w:keepNext/>
        <w:spacing w:before="160"/>
      </w:pPr>
      <w:r>
        <w:rPr>
          <w:b/>
        </w:rPr>
        <w:t>Table 1. Dataset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880"/>
        <w:gridCol w:w="6768"/>
      </w:tblGrid>
      <w:tr>
        <w:tc>
          <w:tcPr>
            <w:tcW w:type="dxa" w:w="2880"/>
            <w:shd w:val="clear" w:color="auto" w:fill="EFEFEF"/>
          </w:tcPr>
          <w:p>
            <w:pPr>
              <w:spacing w:after="20" w:before="20"/>
            </w:pPr>
            <w:r/>
            <w:r>
              <w:rPr>
                <w:b/>
                <w:sz w:val="22"/>
              </w:rPr>
              <w:t>Item</w:t>
            </w:r>
          </w:p>
        </w:tc>
        <w:tc>
          <w:tcPr>
            <w:tcW w:type="dxa" w:w="6768"/>
            <w:shd w:val="clear" w:color="auto" w:fill="EFEFEF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Value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22"/>
              </w:rPr>
              <w:t>Annotated sessions</w:t>
            </w:r>
          </w:p>
        </w:tc>
        <w:tc>
          <w:tcPr>
            <w:tcW w:type="dxa" w:w="676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61 (breakfast 8, lunch 18, dinner 12, snack 23)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22"/>
              </w:rPr>
              <w:t>Participants</w:t>
            </w:r>
          </w:p>
        </w:tc>
        <w:tc>
          <w:tcPr>
            <w:tcW w:type="dxa" w:w="676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43 (18 with two sessions)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22"/>
              </w:rPr>
              <w:t>Annotated recording</w:t>
            </w:r>
          </w:p>
        </w:tc>
        <w:tc>
          <w:tcPr>
            <w:tcW w:type="dxa" w:w="676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24.2 h, of which 9.6 h eating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22"/>
              </w:rPr>
              <w:t>Evaluation windows</w:t>
            </w:r>
          </w:p>
        </w:tc>
        <w:tc>
          <w:tcPr>
            <w:tcW w:type="dxa" w:w="676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10,891 non-overlapping 8 s windows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22"/>
              </w:rPr>
              <w:t>Sensor input</w:t>
            </w:r>
          </w:p>
        </w:tc>
        <w:tc>
          <w:tcPr>
            <w:tcW w:type="dxa" w:w="676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3-axis accelerometer and optical sensor, 128 Hz</w:t>
            </w:r>
          </w:p>
        </w:tc>
      </w:tr>
    </w:tbl>
    <w:p>
      <w:r>
        <w:rPr>
          <w:i w:val="0"/>
          <w:sz w:val="22"/>
        </w:rPr>
        <w:t>All folds hold out whole participants with all of their sessions. Each comparison below uses the same folds; only the stated setting changes. Unless noted, results are pooled over all held-out windows from participant-level 5-fold cross-validation, and the decision threshold is chosen on validation participants, never on the test participants.</w:t>
      </w:r>
    </w:p>
    <w:p>
      <w:pPr>
        <w:pStyle w:val="Heading1"/>
      </w:pPr>
      <w:r>
        <w:t>Main result</w:t>
      </w:r>
    </w:p>
    <w:p>
      <w:pPr>
        <w:keepNext/>
        <w:spacing w:before="160"/>
      </w:pPr>
      <w:r>
        <w:rPr>
          <w:b/>
        </w:rPr>
        <w:t>Table 2. Current model: leave-one-subject-out vs. 5-fold cross-validation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4320"/>
        <w:gridCol w:w="2664"/>
        <w:gridCol w:w="2664"/>
      </w:tblGrid>
      <w:tr>
        <w:tc>
          <w:tcPr>
            <w:tcW w:type="dxa" w:w="4320"/>
            <w:shd w:val="clear" w:color="auto" w:fill="EFEFEF"/>
          </w:tcPr>
          <w:p>
            <w:pPr>
              <w:spacing w:after="20" w:before="20"/>
            </w:pPr>
            <w:r/>
            <w:r>
              <w:rPr>
                <w:b/>
                <w:sz w:val="22"/>
              </w:rPr>
              <w:t>Metric</w:t>
            </w:r>
          </w:p>
        </w:tc>
        <w:tc>
          <w:tcPr>
            <w:tcW w:type="dxa" w:w="2664"/>
            <w:shd w:val="clear" w:color="auto" w:fill="EFEFEF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LOSO (43 folds)</w:t>
            </w:r>
          </w:p>
        </w:tc>
        <w:tc>
          <w:tcPr>
            <w:tcW w:type="dxa" w:w="2664"/>
            <w:shd w:val="clear" w:color="auto" w:fill="EFEFEF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5-fold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22"/>
              </w:rPr>
              <w:t>F1</w:t>
            </w:r>
          </w:p>
        </w:tc>
        <w:tc>
          <w:tcPr>
            <w:tcW w:type="dxa" w:w="26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0.856</w:t>
            </w:r>
          </w:p>
        </w:tc>
        <w:tc>
          <w:tcPr>
            <w:tcW w:type="dxa" w:w="26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0.864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22"/>
              </w:rPr>
              <w:t>Accuracy</w:t>
            </w:r>
          </w:p>
        </w:tc>
        <w:tc>
          <w:tcPr>
            <w:tcW w:type="dxa" w:w="26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0.887</w:t>
            </w:r>
          </w:p>
        </w:tc>
        <w:tc>
          <w:tcPr>
            <w:tcW w:type="dxa" w:w="26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0.893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22"/>
              </w:rPr>
              <w:t>Balanced accuracy</w:t>
            </w:r>
          </w:p>
        </w:tc>
        <w:tc>
          <w:tcPr>
            <w:tcW w:type="dxa" w:w="26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0.881</w:t>
            </w:r>
          </w:p>
        </w:tc>
        <w:tc>
          <w:tcPr>
            <w:tcW w:type="dxa" w:w="26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0.887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22"/>
              </w:rPr>
              <w:t>Precision</w:t>
            </w:r>
          </w:p>
        </w:tc>
        <w:tc>
          <w:tcPr>
            <w:tcW w:type="dxa" w:w="26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0.860</w:t>
            </w:r>
          </w:p>
        </w:tc>
        <w:tc>
          <w:tcPr>
            <w:tcW w:type="dxa" w:w="26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0.867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22"/>
              </w:rPr>
              <w:t>Recall</w:t>
            </w:r>
          </w:p>
        </w:tc>
        <w:tc>
          <w:tcPr>
            <w:tcW w:type="dxa" w:w="26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0.853</w:t>
            </w:r>
          </w:p>
        </w:tc>
        <w:tc>
          <w:tcPr>
            <w:tcW w:type="dxa" w:w="26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0.861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22"/>
              </w:rPr>
              <w:t>Specificity</w:t>
            </w:r>
          </w:p>
        </w:tc>
        <w:tc>
          <w:tcPr>
            <w:tcW w:type="dxa" w:w="26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0.909</w:t>
            </w:r>
          </w:p>
        </w:tc>
        <w:tc>
          <w:tcPr>
            <w:tcW w:type="dxa" w:w="26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0.914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22"/>
              </w:rPr>
              <w:t>False alarms per hour of non-eating</w:t>
            </w:r>
          </w:p>
        </w:tc>
        <w:tc>
          <w:tcPr>
            <w:tcW w:type="dxa" w:w="26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41.1</w:t>
            </w:r>
          </w:p>
        </w:tc>
        <w:tc>
          <w:tcPr>
            <w:tcW w:type="dxa" w:w="26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38.8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22"/>
              </w:rPr>
              <w:t>Per-participant F1, mean ± SD</w:t>
            </w:r>
          </w:p>
        </w:tc>
        <w:tc>
          <w:tcPr>
            <w:tcW w:type="dxa" w:w="26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0.836 ± 0.117</w:t>
            </w:r>
          </w:p>
        </w:tc>
        <w:tc>
          <w:tcPr>
            <w:tcW w:type="dxa" w:w="26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0.840 ± 0.129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22"/>
              </w:rPr>
              <w:t>Per-participant F1, median</w:t>
            </w:r>
          </w:p>
        </w:tc>
        <w:tc>
          <w:tcPr>
            <w:tcW w:type="dxa" w:w="26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0.867</w:t>
            </w:r>
          </w:p>
        </w:tc>
        <w:tc>
          <w:tcPr>
            <w:tcW w:type="dxa" w:w="26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0.881</w:t>
            </w:r>
          </w:p>
        </w:tc>
      </w:tr>
    </w:tbl>
    <w:p>
      <w:pPr>
        <w:spacing w:before="60"/>
      </w:pPr>
      <w:r>
        <w:rPr>
          <w:i/>
          <w:sz w:val="22"/>
        </w:rPr>
        <w:t>Lowest participants under LOSO: AIM147560 (F1 0.452, 46 test windows), AIM112400 (0.525), AIM132097 (0.545).</w:t>
      </w:r>
    </w:p>
    <w:p>
      <w:pPr>
        <w:pStyle w:val="Heading1"/>
      </w:pPr>
      <w:r>
        <w:t>Input representation</w:t>
      </w:r>
    </w:p>
    <w:p>
      <w:pPr>
        <w:keepNext/>
        <w:spacing w:before="160"/>
      </w:pPr>
      <w:r>
        <w:rPr>
          <w:b/>
        </w:rPr>
        <w:t>Table 3. Time series vs. FFT magnitude spectrum (same network)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4320"/>
        <w:gridCol w:w="2664"/>
        <w:gridCol w:w="2664"/>
      </w:tblGrid>
      <w:tr>
        <w:tc>
          <w:tcPr>
            <w:tcW w:type="dxa" w:w="4320"/>
            <w:shd w:val="clear" w:color="auto" w:fill="EFEFEF"/>
          </w:tcPr>
          <w:p>
            <w:pPr>
              <w:spacing w:after="20" w:before="20"/>
            </w:pPr>
            <w:r/>
            <w:r>
              <w:rPr>
                <w:b/>
                <w:sz w:val="22"/>
              </w:rPr>
              <w:t>Metric</w:t>
            </w:r>
          </w:p>
        </w:tc>
        <w:tc>
          <w:tcPr>
            <w:tcW w:type="dxa" w:w="2664"/>
            <w:shd w:val="clear" w:color="auto" w:fill="EFEFEF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Time series</w:t>
            </w:r>
          </w:p>
        </w:tc>
        <w:tc>
          <w:tcPr>
            <w:tcW w:type="dxa" w:w="2664"/>
            <w:shd w:val="clear" w:color="auto" w:fill="EFEFEF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FFT spectrum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22"/>
              </w:rPr>
              <w:t>F1</w:t>
            </w:r>
          </w:p>
        </w:tc>
        <w:tc>
          <w:tcPr>
            <w:tcW w:type="dxa" w:w="26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0.858</w:t>
            </w:r>
          </w:p>
        </w:tc>
        <w:tc>
          <w:tcPr>
            <w:tcW w:type="dxa" w:w="26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0.796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22"/>
              </w:rPr>
              <w:t>Accuracy</w:t>
            </w:r>
          </w:p>
        </w:tc>
        <w:tc>
          <w:tcPr>
            <w:tcW w:type="dxa" w:w="26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0.891</w:t>
            </w:r>
          </w:p>
        </w:tc>
        <w:tc>
          <w:tcPr>
            <w:tcW w:type="dxa" w:w="26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0.829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22"/>
              </w:rPr>
              <w:t>Precision</w:t>
            </w:r>
          </w:p>
        </w:tc>
        <w:tc>
          <w:tcPr>
            <w:tcW w:type="dxa" w:w="26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0.884</w:t>
            </w:r>
          </w:p>
        </w:tc>
        <w:tc>
          <w:tcPr>
            <w:tcW w:type="dxa" w:w="26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0.754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22"/>
              </w:rPr>
              <w:t>Recall</w:t>
            </w:r>
          </w:p>
        </w:tc>
        <w:tc>
          <w:tcPr>
            <w:tcW w:type="dxa" w:w="26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0.834</w:t>
            </w:r>
          </w:p>
        </w:tc>
        <w:tc>
          <w:tcPr>
            <w:tcW w:type="dxa" w:w="26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0.843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22"/>
              </w:rPr>
              <w:t>False alarms per hour of non-eating</w:t>
            </w:r>
          </w:p>
        </w:tc>
        <w:tc>
          <w:tcPr>
            <w:tcW w:type="dxa" w:w="26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32.4</w:t>
            </w:r>
          </w:p>
        </w:tc>
        <w:tc>
          <w:tcPr>
            <w:tcW w:type="dxa" w:w="26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81.0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22"/>
              </w:rPr>
              <w:t>Per-participant F1, mean</w:t>
            </w:r>
          </w:p>
        </w:tc>
        <w:tc>
          <w:tcPr>
            <w:tcW w:type="dxa" w:w="26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0.835</w:t>
            </w:r>
          </w:p>
        </w:tc>
        <w:tc>
          <w:tcPr>
            <w:tcW w:type="dxa" w:w="266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0.756</w:t>
            </w:r>
          </w:p>
        </w:tc>
      </w:tr>
    </w:tbl>
    <w:p>
      <w:pPr>
        <w:spacing w:before="60"/>
      </w:pPr>
      <w:r>
        <w:rPr>
          <w:i/>
          <w:sz w:val="22"/>
        </w:rPr>
        <w:t>Earlier training settings (learning rate 0.001, early stopping on validation loss). The time series scored higher in all five folds.</w:t>
      </w:r>
    </w:p>
    <w:p>
      <w:pPr>
        <w:pStyle w:val="Heading1"/>
      </w:pPr>
      <w:r>
        <w:t>Sampling rate</w:t>
      </w:r>
    </w:p>
    <w:p>
      <w:pPr>
        <w:keepNext/>
        <w:spacing w:before="160"/>
      </w:pPr>
      <w:r>
        <w:rPr>
          <w:b/>
        </w:rPr>
        <w:t>Table 4. Sampling rate (anti-aliased downsampling from 128 Hz)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1440"/>
        <w:gridCol w:w="1584"/>
        <w:gridCol w:w="1584"/>
        <w:gridCol w:w="1584"/>
        <w:gridCol w:w="1872"/>
      </w:tblGrid>
      <w:tr>
        <w:tc>
          <w:tcPr>
            <w:tcW w:type="dxa" w:w="1584"/>
            <w:shd w:val="clear" w:color="auto" w:fill="EFEFEF"/>
          </w:tcPr>
          <w:p>
            <w:pPr>
              <w:spacing w:after="20" w:before="20"/>
            </w:pPr>
            <w:r/>
            <w:r>
              <w:rPr>
                <w:b/>
                <w:sz w:val="22"/>
              </w:rPr>
              <w:t>Rate</w:t>
            </w:r>
          </w:p>
        </w:tc>
        <w:tc>
          <w:tcPr>
            <w:tcW w:type="dxa" w:w="1440"/>
            <w:shd w:val="clear" w:color="auto" w:fill="EFEFEF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F1</w:t>
            </w:r>
          </w:p>
        </w:tc>
        <w:tc>
          <w:tcPr>
            <w:tcW w:type="dxa" w:w="1584"/>
            <w:shd w:val="clear" w:color="auto" w:fill="EFEFEF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Accuracy</w:t>
            </w:r>
          </w:p>
        </w:tc>
        <w:tc>
          <w:tcPr>
            <w:tcW w:type="dxa" w:w="1584"/>
            <w:shd w:val="clear" w:color="auto" w:fill="EFEFEF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Precision</w:t>
            </w:r>
          </w:p>
        </w:tc>
        <w:tc>
          <w:tcPr>
            <w:tcW w:type="dxa" w:w="1584"/>
            <w:shd w:val="clear" w:color="auto" w:fill="EFEFEF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Recall</w:t>
            </w:r>
          </w:p>
        </w:tc>
        <w:tc>
          <w:tcPr>
            <w:tcW w:type="dxa" w:w="1872"/>
            <w:shd w:val="clear" w:color="auto" w:fill="EFEFEF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False alarms/h</w:t>
            </w:r>
          </w:p>
        </w:tc>
      </w:tr>
      <w:tr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/>
                <w:sz w:val="22"/>
              </w:rPr>
              <w:t>128 Hz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0.864</w:t>
            </w:r>
          </w:p>
        </w:tc>
        <w:tc>
          <w:tcPr>
            <w:tcW w:type="dxa" w:w="1584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0.893</w:t>
            </w:r>
          </w:p>
        </w:tc>
        <w:tc>
          <w:tcPr>
            <w:tcW w:type="dxa" w:w="1584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0.867</w:t>
            </w:r>
          </w:p>
        </w:tc>
        <w:tc>
          <w:tcPr>
            <w:tcW w:type="dxa" w:w="1584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0.861</w:t>
            </w:r>
          </w:p>
        </w:tc>
        <w:tc>
          <w:tcPr>
            <w:tcW w:type="dxa" w:w="1872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38.8</w:t>
            </w:r>
          </w:p>
        </w:tc>
      </w:tr>
      <w:tr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22"/>
              </w:rPr>
              <w:t>64 Hz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0.851</w:t>
            </w:r>
          </w:p>
        </w:tc>
        <w:tc>
          <w:tcPr>
            <w:tcW w:type="dxa" w:w="158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0.884</w:t>
            </w:r>
          </w:p>
        </w:tc>
        <w:tc>
          <w:tcPr>
            <w:tcW w:type="dxa" w:w="158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0.865</w:t>
            </w:r>
          </w:p>
        </w:tc>
        <w:tc>
          <w:tcPr>
            <w:tcW w:type="dxa" w:w="158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0.838</w:t>
            </w:r>
          </w:p>
        </w:tc>
        <w:tc>
          <w:tcPr>
            <w:tcW w:type="dxa" w:w="1872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38.6</w:t>
            </w:r>
          </w:p>
        </w:tc>
      </w:tr>
      <w:tr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22"/>
              </w:rPr>
              <w:t>32 Hz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0.841</w:t>
            </w:r>
          </w:p>
        </w:tc>
        <w:tc>
          <w:tcPr>
            <w:tcW w:type="dxa" w:w="158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0.879</w:t>
            </w:r>
          </w:p>
        </w:tc>
        <w:tc>
          <w:tcPr>
            <w:tcW w:type="dxa" w:w="158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0.871</w:t>
            </w:r>
          </w:p>
        </w:tc>
        <w:tc>
          <w:tcPr>
            <w:tcW w:type="dxa" w:w="158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0.814</w:t>
            </w:r>
          </w:p>
        </w:tc>
        <w:tc>
          <w:tcPr>
            <w:tcW w:type="dxa" w:w="1872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35.6</w:t>
            </w:r>
          </w:p>
        </w:tc>
      </w:tr>
      <w:tr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22"/>
              </w:rPr>
              <w:t>16 Hz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0.842</w:t>
            </w:r>
          </w:p>
        </w:tc>
        <w:tc>
          <w:tcPr>
            <w:tcW w:type="dxa" w:w="158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0.878</w:t>
            </w:r>
          </w:p>
        </w:tc>
        <w:tc>
          <w:tcPr>
            <w:tcW w:type="dxa" w:w="158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0.865</w:t>
            </w:r>
          </w:p>
        </w:tc>
        <w:tc>
          <w:tcPr>
            <w:tcW w:type="dxa" w:w="158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0.821</w:t>
            </w:r>
          </w:p>
        </w:tc>
        <w:tc>
          <w:tcPr>
            <w:tcW w:type="dxa" w:w="1872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37.8</w:t>
            </w:r>
          </w:p>
        </w:tc>
      </w:tr>
    </w:tbl>
    <w:p>
      <w:pPr>
        <w:spacing w:before="60"/>
      </w:pPr>
      <w:r>
        <w:rPr>
          <w:i/>
          <w:sz w:val="22"/>
        </w:rPr>
        <w:t>Lower rates reduce recall; precision and false alarms are unchanged. 16 Hz matches 32 Hz.</w:t>
      </w:r>
    </w:p>
    <w:p>
      <w:pPr>
        <w:pStyle w:val="Heading1"/>
      </w:pPr>
      <w:r>
        <w:t>Window length</w:t>
      </w:r>
    </w:p>
    <w:p>
      <w:pPr>
        <w:keepNext/>
        <w:spacing w:before="160"/>
      </w:pPr>
      <w:r>
        <w:rPr>
          <w:b/>
        </w:rPr>
        <w:t>Table 5. Window length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296"/>
        <w:gridCol w:w="1584"/>
        <w:gridCol w:w="1296"/>
        <w:gridCol w:w="1584"/>
        <w:gridCol w:w="1440"/>
        <w:gridCol w:w="2448"/>
      </w:tblGrid>
      <w:tr>
        <w:tc>
          <w:tcPr>
            <w:tcW w:type="dxa" w:w="1296"/>
            <w:shd w:val="clear" w:color="auto" w:fill="EFEFEF"/>
          </w:tcPr>
          <w:p>
            <w:pPr>
              <w:spacing w:after="20" w:before="20"/>
            </w:pPr>
            <w:r/>
            <w:r>
              <w:rPr>
                <w:b/>
                <w:sz w:val="22"/>
              </w:rPr>
              <w:t>Window</w:t>
            </w:r>
          </w:p>
        </w:tc>
        <w:tc>
          <w:tcPr>
            <w:tcW w:type="dxa" w:w="1584"/>
            <w:shd w:val="clear" w:color="auto" w:fill="EFEFEF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Windows</w:t>
            </w:r>
          </w:p>
        </w:tc>
        <w:tc>
          <w:tcPr>
            <w:tcW w:type="dxa" w:w="1296"/>
            <w:shd w:val="clear" w:color="auto" w:fill="EFEFEF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F1</w:t>
            </w:r>
          </w:p>
        </w:tc>
        <w:tc>
          <w:tcPr>
            <w:tcW w:type="dxa" w:w="1584"/>
            <w:shd w:val="clear" w:color="auto" w:fill="EFEFEF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Precision</w:t>
            </w:r>
          </w:p>
        </w:tc>
        <w:tc>
          <w:tcPr>
            <w:tcW w:type="dxa" w:w="1440"/>
            <w:shd w:val="clear" w:color="auto" w:fill="EFEFEF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Recall</w:t>
            </w:r>
          </w:p>
        </w:tc>
        <w:tc>
          <w:tcPr>
            <w:tcW w:type="dxa" w:w="2448"/>
            <w:shd w:val="clear" w:color="auto" w:fill="EFEFEF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Per-participant F1</w:t>
            </w:r>
          </w:p>
        </w:tc>
      </w:tr>
      <w:tr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22"/>
              </w:rPr>
              <w:t>2 s</w:t>
            </w:r>
          </w:p>
        </w:tc>
        <w:tc>
          <w:tcPr>
            <w:tcW w:type="dxa" w:w="158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43,708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0.829</w:t>
            </w:r>
          </w:p>
        </w:tc>
        <w:tc>
          <w:tcPr>
            <w:tcW w:type="dxa" w:w="158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0.834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0.825</w:t>
            </w:r>
          </w:p>
        </w:tc>
        <w:tc>
          <w:tcPr>
            <w:tcW w:type="dxa" w:w="244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0.804</w:t>
            </w:r>
          </w:p>
        </w:tc>
      </w:tr>
      <w:tr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22"/>
              </w:rPr>
              <w:t>4 s</w:t>
            </w:r>
          </w:p>
        </w:tc>
        <w:tc>
          <w:tcPr>
            <w:tcW w:type="dxa" w:w="158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21,828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0.845</w:t>
            </w:r>
          </w:p>
        </w:tc>
        <w:tc>
          <w:tcPr>
            <w:tcW w:type="dxa" w:w="158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0.867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0.824</w:t>
            </w:r>
          </w:p>
        </w:tc>
        <w:tc>
          <w:tcPr>
            <w:tcW w:type="dxa" w:w="244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0.821</w:t>
            </w:r>
          </w:p>
        </w:tc>
      </w:tr>
      <w:tr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/>
                <w:sz w:val="22"/>
              </w:rPr>
              <w:t>8 s</w:t>
            </w:r>
          </w:p>
        </w:tc>
        <w:tc>
          <w:tcPr>
            <w:tcW w:type="dxa" w:w="1584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10,891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0.864</w:t>
            </w:r>
          </w:p>
        </w:tc>
        <w:tc>
          <w:tcPr>
            <w:tcW w:type="dxa" w:w="1584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0.867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0.861</w:t>
            </w:r>
          </w:p>
        </w:tc>
        <w:tc>
          <w:tcPr>
            <w:tcW w:type="dxa" w:w="2448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0.840</w:t>
            </w:r>
          </w:p>
        </w:tc>
      </w:tr>
      <w:tr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22"/>
              </w:rPr>
              <w:t>16 s</w:t>
            </w:r>
          </w:p>
        </w:tc>
        <w:tc>
          <w:tcPr>
            <w:tcW w:type="dxa" w:w="158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5,422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0.822</w:t>
            </w:r>
          </w:p>
        </w:tc>
        <w:tc>
          <w:tcPr>
            <w:tcW w:type="dxa" w:w="158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0.881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0.770</w:t>
            </w:r>
          </w:p>
        </w:tc>
        <w:tc>
          <w:tcPr>
            <w:tcW w:type="dxa" w:w="244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0.771</w:t>
            </w:r>
          </w:p>
        </w:tc>
      </w:tr>
    </w:tbl>
    <w:p>
      <w:pPr>
        <w:spacing w:before="60"/>
      </w:pPr>
      <w:r>
        <w:rPr>
          <w:i/>
          <w:sz w:val="22"/>
        </w:rPr>
        <w:t>False alarms per hour are not compared across window lengths, since they count windows of different durations. 16 s windows lose recall because they often mix eating with pauses.</w:t>
      </w:r>
    </w:p>
    <w:p>
      <w:pPr>
        <w:pStyle w:val="Heading1"/>
      </w:pPr>
      <w:r>
        <w:t>Architecture and training options</w:t>
      </w:r>
    </w:p>
    <w:p>
      <w:pPr>
        <w:keepNext/>
        <w:spacing w:before="160"/>
      </w:pPr>
      <w:r>
        <w:rPr>
          <w:b/>
        </w:rPr>
        <w:t>Table 6. Additions to the current model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744"/>
        <w:gridCol w:w="1080"/>
        <w:gridCol w:w="1296"/>
        <w:gridCol w:w="1080"/>
        <w:gridCol w:w="1440"/>
        <w:gridCol w:w="1296"/>
      </w:tblGrid>
      <w:tr>
        <w:tc>
          <w:tcPr>
            <w:tcW w:type="dxa" w:w="3744"/>
            <w:shd w:val="clear" w:color="auto" w:fill="EFEFEF"/>
          </w:tcPr>
          <w:p>
            <w:pPr>
              <w:spacing w:after="20" w:before="20"/>
            </w:pPr>
            <w:r/>
            <w:r>
              <w:rPr>
                <w:b/>
                <w:sz w:val="22"/>
              </w:rPr>
              <w:t>Variant</w:t>
            </w:r>
          </w:p>
        </w:tc>
        <w:tc>
          <w:tcPr>
            <w:tcW w:type="dxa" w:w="1080"/>
            <w:shd w:val="clear" w:color="auto" w:fill="EFEFEF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F1</w:t>
            </w:r>
          </w:p>
        </w:tc>
        <w:tc>
          <w:tcPr>
            <w:tcW w:type="dxa" w:w="1296"/>
            <w:shd w:val="clear" w:color="auto" w:fill="EFEFEF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Precision</w:t>
            </w:r>
          </w:p>
        </w:tc>
        <w:tc>
          <w:tcPr>
            <w:tcW w:type="dxa" w:w="1080"/>
            <w:shd w:val="clear" w:color="auto" w:fill="EFEFEF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Recall</w:t>
            </w:r>
          </w:p>
        </w:tc>
        <w:tc>
          <w:tcPr>
            <w:tcW w:type="dxa" w:w="1440"/>
            <w:shd w:val="clear" w:color="auto" w:fill="EFEFEF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False alarms/h</w:t>
            </w:r>
          </w:p>
        </w:tc>
        <w:tc>
          <w:tcPr>
            <w:tcW w:type="dxa" w:w="1296"/>
            <w:shd w:val="clear" w:color="auto" w:fill="EFEFEF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Time per fold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/>
                <w:sz w:val="22"/>
              </w:rPr>
              <w:t>Current model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0.864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0.867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0.861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38.8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~55 s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22"/>
              </w:rPr>
              <w:t>+ 8 s context each side (with marker)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0.853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0.850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0.857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44.5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~180 s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22"/>
              </w:rPr>
              <w:t>+ 1 Transformer layer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0.862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0.876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0.848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35.3</w:t>
            </w:r>
          </w:p>
        </w:tc>
        <w:tc>
          <w:tcPr>
            <w:tcW w:type="dxa" w:w="1296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~105 s</w:t>
            </w:r>
          </w:p>
        </w:tc>
      </w:tr>
    </w:tbl>
    <w:p>
      <w:pPr>
        <w:keepNext/>
        <w:spacing w:before="160"/>
      </w:pPr>
      <w:r>
        <w:rPr>
          <w:b/>
        </w:rPr>
        <w:t>Table 7. Training settings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4464"/>
        <w:gridCol w:w="1224"/>
        <w:gridCol w:w="1368"/>
        <w:gridCol w:w="1224"/>
        <w:gridCol w:w="1440"/>
      </w:tblGrid>
      <w:tr>
        <w:tc>
          <w:tcPr>
            <w:tcW w:type="dxa" w:w="4464"/>
            <w:shd w:val="clear" w:color="auto" w:fill="EFEFEF"/>
          </w:tcPr>
          <w:p>
            <w:pPr>
              <w:spacing w:after="20" w:before="20"/>
            </w:pPr>
            <w:r/>
            <w:r>
              <w:rPr>
                <w:b/>
                <w:sz w:val="22"/>
              </w:rPr>
              <w:t>Setting</w:t>
            </w:r>
          </w:p>
        </w:tc>
        <w:tc>
          <w:tcPr>
            <w:tcW w:type="dxa" w:w="1224"/>
            <w:shd w:val="clear" w:color="auto" w:fill="EFEFEF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F1</w:t>
            </w:r>
          </w:p>
        </w:tc>
        <w:tc>
          <w:tcPr>
            <w:tcW w:type="dxa" w:w="1368"/>
            <w:shd w:val="clear" w:color="auto" w:fill="EFEFEF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Accuracy</w:t>
            </w:r>
          </w:p>
        </w:tc>
        <w:tc>
          <w:tcPr>
            <w:tcW w:type="dxa" w:w="1224"/>
            <w:shd w:val="clear" w:color="auto" w:fill="EFEFEF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Recall</w:t>
            </w:r>
          </w:p>
        </w:tc>
        <w:tc>
          <w:tcPr>
            <w:tcW w:type="dxa" w:w="1440"/>
            <w:shd w:val="clear" w:color="auto" w:fill="EFEFEF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False alarms/h</w:t>
            </w:r>
          </w:p>
        </w:tc>
      </w:tr>
      <w:tr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b w:val="0"/>
                <w:sz w:val="22"/>
              </w:rPr>
              <w:t>Learning rate 0.001, stop on validation loss</w:t>
            </w:r>
          </w:p>
        </w:tc>
        <w:tc>
          <w:tcPr>
            <w:tcW w:type="dxa" w:w="122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0.858</w:t>
            </w:r>
          </w:p>
        </w:tc>
        <w:tc>
          <w:tcPr>
            <w:tcW w:type="dxa" w:w="136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0.891</w:t>
            </w:r>
          </w:p>
        </w:tc>
        <w:tc>
          <w:tcPr>
            <w:tcW w:type="dxa" w:w="122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0.834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32.4</w:t>
            </w:r>
          </w:p>
        </w:tc>
      </w:tr>
      <w:tr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b w:val="0"/>
                <w:sz w:val="22"/>
              </w:rPr>
              <w:t>Learning rate 0.001, stop on validation AUC</w:t>
            </w:r>
          </w:p>
        </w:tc>
        <w:tc>
          <w:tcPr>
            <w:tcW w:type="dxa" w:w="122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0.858</w:t>
            </w:r>
          </w:p>
        </w:tc>
        <w:tc>
          <w:tcPr>
            <w:tcW w:type="dxa" w:w="136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0.891</w:t>
            </w:r>
          </w:p>
        </w:tc>
        <w:tc>
          <w:tcPr>
            <w:tcW w:type="dxa" w:w="122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0.835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32.5</w:t>
            </w:r>
          </w:p>
        </w:tc>
      </w:tr>
      <w:tr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b/>
                <w:sz w:val="22"/>
              </w:rPr>
              <w:t>Learning rate 0.0003, stop on validation AUC</w:t>
            </w:r>
          </w:p>
        </w:tc>
        <w:tc>
          <w:tcPr>
            <w:tcW w:type="dxa" w:w="1224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0.864</w:t>
            </w:r>
          </w:p>
        </w:tc>
        <w:tc>
          <w:tcPr>
            <w:tcW w:type="dxa" w:w="1368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0.893</w:t>
            </w:r>
          </w:p>
        </w:tc>
        <w:tc>
          <w:tcPr>
            <w:tcW w:type="dxa" w:w="1224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0.861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</w:rPr>
              <w:t>38.8</w:t>
            </w:r>
          </w:p>
        </w:tc>
      </w:tr>
      <w:tr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b w:val="0"/>
                <w:sz w:val="22"/>
              </w:rPr>
              <w:t>Augmentation, stop on validation AUC</w:t>
            </w:r>
          </w:p>
        </w:tc>
        <w:tc>
          <w:tcPr>
            <w:tcW w:type="dxa" w:w="122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0.862</w:t>
            </w:r>
          </w:p>
        </w:tc>
        <w:tc>
          <w:tcPr>
            <w:tcW w:type="dxa" w:w="136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0.893</w:t>
            </w:r>
          </w:p>
        </w:tc>
        <w:tc>
          <w:tcPr>
            <w:tcW w:type="dxa" w:w="122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0.846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34.3</w:t>
            </w:r>
          </w:p>
        </w:tc>
      </w:tr>
      <w:tr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b w:val="0"/>
                <w:sz w:val="22"/>
              </w:rPr>
              <w:t>Augmentation, learning rate 0.0003</w:t>
            </w:r>
          </w:p>
        </w:tc>
        <w:tc>
          <w:tcPr>
            <w:tcW w:type="dxa" w:w="122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0.854</w:t>
            </w:r>
          </w:p>
        </w:tc>
        <w:tc>
          <w:tcPr>
            <w:tcW w:type="dxa" w:w="1368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0.886</w:t>
            </w:r>
          </w:p>
        </w:tc>
        <w:tc>
          <w:tcPr>
            <w:tcW w:type="dxa" w:w="1224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0.842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38.5</w:t>
            </w:r>
          </w:p>
        </w:tc>
      </w:tr>
    </w:tbl>
    <w:p>
      <w:pPr>
        <w:spacing w:before="60"/>
      </w:pPr>
      <w:r>
        <w:rPr>
          <w:i/>
          <w:sz w:val="22"/>
        </w:rPr>
        <w:t>At learning rate 0.001, early stopping kept the first-epoch model in three of five folds; 0.0003 moves the best epoch to 2–6. Differences of 0.01 F1 or less are not yet confirmed as significant; paired per-participant tests and a three-seed repeat are in progress.</w:t>
      </w:r>
    </w:p>
    <w:p>
      <w:pPr>
        <w:pStyle w:val="Heading1"/>
      </w:pPr>
      <w:r>
        <w:t>In progress</w:t>
      </w:r>
    </w:p>
    <w:p>
      <w:pPr>
        <w:pStyle w:val="ListBullet"/>
      </w:pPr>
      <w:r>
        <w:t>Weight of the chew-count head (0, 0.1, 0.2, 0.5, 1.0).</w:t>
      </w:r>
    </w:p>
    <w:p>
      <w:pPr>
        <w:pStyle w:val="ListBullet"/>
      </w:pPr>
      <w:r>
        <w:t>Decision threshold set for a false-alarm budget (15 per hour) and for F0.5.</w:t>
      </w:r>
    </w:p>
    <w:p>
      <w:pPr>
        <w:pStyle w:val="ListBullet"/>
      </w:pPr>
      <w:r>
        <w:t>Ablations of channel attention and attention pooling on all 61 sessions.</w:t>
      </w:r>
    </w:p>
    <w:p>
      <w:pPr>
        <w:pStyle w:val="ListBullet"/>
      </w:pPr>
      <w:r>
        <w:t>Published FCN and ResNet architectures (as compared by Ghosh and Sazonov, 2022) on the same folds.</w:t>
      </w:r>
    </w:p>
    <w:p>
      <w:pPr>
        <w:pStyle w:val="ListBullet"/>
      </w:pPr>
      <w:r>
        <w:t>Three-seed repeat and paired per-participant statistics for every comparison.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cs="Arial" w:eastAsia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Arial" w:hAnsi="Arial" w:cs="Arial" w:eastAsia="Arial"/>
      <w:b/>
      <w:bCs/>
      <w:color w:val="22222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Arial" w:hAnsi="Arial" w:cs="Arial" w:eastAsia="Arial"/>
      <w:b/>
      <w:bCs/>
      <w:color w:val="22222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240"/>
      <w:contextualSpacing/>
    </w:pPr>
    <w:rPr>
      <w:rFonts w:ascii="Arial" w:hAnsi="Arial" w:cs="Arial" w:eastAsia="Arial"/>
      <w:b/>
      <w:color w:val="222222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