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40"/>
          <w:szCs w:val="40"/>
        </w:rPr>
        <w:t xml:space="preserve">Literature Review</w:t>
      </w:r>
    </w:p>
    <w:p>
      <w:pPr>
        <w:spacing w:after="60"/>
      </w:pPr>
      <w:r>
        <w:rPr>
          <w:rFonts w:ascii="Calibri" w:cs="Calibri" w:eastAsia="Calibri" w:hAnsi="Calibri"/>
          <w:color w:val="2E5597"/>
          <w:sz w:val="26"/>
          <w:szCs w:val="26"/>
        </w:rPr>
        <w:t xml:space="preserve">Wearable Food Intake Detection and Model Selection for AIM-2</w:t>
      </w:r>
    </w:p>
    <w:p>
      <w:pPr>
        <w:pBdr>
          <w:bottom w:val="single" w:color="1F3864" w:sz="6" w:space="4"/>
        </w:pBdr>
        <w:spacing w:after="240"/>
      </w:pPr>
      <w:r>
        <w:rPr>
          <w:rFonts w:ascii="Calibri" w:cs="Calibri" w:eastAsia="Calibri" w:hAnsi="Calibri"/>
          <w:color w:val="666666"/>
          <w:sz w:val="19"/>
          <w:szCs w:val="19"/>
        </w:rPr>
        <w:t xml:space="preserve">Caelan Dunlea  |  Randall Research Scholars Program, Phase II, Activity 4  |  September 2026</w:t>
      </w:r>
    </w:p>
    <w:p>
      <w:pPr>
        <w:pStyle w:val="Heading1"/>
        <w:spacing w:after="120" w:before="300"/>
      </w:pPr>
      <w:r>
        <w:rPr>
          <w:rFonts w:ascii="Calibri" w:cs="Calibri" w:eastAsia="Calibri" w:hAnsi="Calibri"/>
        </w:rPr>
        <w:t xml:space="preserve">Purpose</w:t>
      </w:r>
    </w:p>
    <w:p>
      <w:pPr>
        <w:spacing w:after="140" w:before="120" w:line="276"/>
        <w:jc w:val="left"/>
      </w:pPr>
      <w:r>
        <w:rPr>
          <w:rFonts w:ascii="Calibri" w:cs="Calibri" w:eastAsia="Calibri" w:hAnsi="Calibri"/>
          <w:sz w:val="22"/>
          <w:szCs w:val="22"/>
        </w:rPr>
        <w:t xml:space="preserve">This review supports Activity 4 of my Phase II contract. It covers seven papers on wearable food intake detection and on deep learning for one dimensional signals, and it places the model I have developed on the new AIM-2 database alongside them. The aim is not to adopt an existing approach. It is to establish what has already been done with this device family, to identify where the current work adds something new, and to recommend a direction that builds on those findings.</w:t>
      </w:r>
    </w:p>
    <w:p>
      <w:pPr>
        <w:spacing w:after="140" w:before="120" w:line="276"/>
        <w:jc w:val="left"/>
      </w:pPr>
      <w:r>
        <w:rPr>
          <w:rFonts w:ascii="Calibri" w:cs="Calibri" w:eastAsia="Calibri" w:hAnsi="Calibri"/>
          <w:sz w:val="22"/>
          <w:szCs w:val="22"/>
        </w:rPr>
        <w:t xml:space="preserve">Three of the papers come from the AIM research line, two review or represent other intake monitoring groups, and two come from outside the food intake field and were read for their architectural ideas.</w:t>
      </w:r>
    </w:p>
    <w:p>
      <w:pPr>
        <w:pStyle w:val="Heading1"/>
        <w:spacing w:after="120" w:before="300"/>
      </w:pPr>
      <w:r>
        <w:rPr>
          <w:rFonts w:ascii="Calibri" w:cs="Calibri" w:eastAsia="Calibri" w:hAnsi="Calibri"/>
        </w:rPr>
        <w:t xml:space="preserve">Papers Reviewed</w:t>
      </w:r>
    </w:p>
    <w:p>
      <w:pPr>
        <w:keepNext/>
        <w:spacing w:after="80" w:before="160"/>
      </w:pPr>
      <w:r>
        <w:rPr>
          <w:rFonts w:ascii="Calibri" w:cs="Calibri" w:eastAsia="Calibri" w:hAnsi="Calibri"/>
          <w:b/>
          <w:bCs/>
          <w:color w:val="1F3864"/>
          <w:sz w:val="20"/>
          <w:szCs w:val="20"/>
        </w:rPr>
        <w:t xml:space="preserve">Table 1. Scope of each paper</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360"/>
        <w:gridCol w:w="2000"/>
        <w:gridCol w:w="2864"/>
        <w:gridCol w:w="2600"/>
        <w:gridCol w:w="2400"/>
      </w:tblGrid>
      <w:tr>
        <w:trPr>
          <w:tblHeader/>
        </w:trPr>
        <w:tc>
          <w:tcPr>
            <w:tcW w:type="dxa" w:w="360"/>
            <w:tcBorders>
              <w:top w:val="single" w:color="B7C2D0" w:sz="4"/>
              <w:left w:val="single" w:color="B7C2D0" w:sz="4"/>
              <w:bottom w:val="single" w:color="B7C2D0" w:sz="4"/>
              <w:right w:val="single" w:color="B7C2D0" w:sz="4"/>
            </w:tcBorders>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7"/>
                <w:szCs w:val="17"/>
              </w:rPr>
              <w:t xml:space="preserve">#</w:t>
            </w:r>
          </w:p>
        </w:tc>
        <w:tc>
          <w:tcPr>
            <w:tcW w:type="dxa" w:w="2000"/>
            <w:tcBorders>
              <w:top w:val="single" w:color="B7C2D0" w:sz="4"/>
              <w:left w:val="single" w:color="B7C2D0" w:sz="4"/>
              <w:bottom w:val="single" w:color="B7C2D0" w:sz="4"/>
              <w:right w:val="single" w:color="B7C2D0" w:sz="4"/>
            </w:tcBorders>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7"/>
                <w:szCs w:val="17"/>
              </w:rPr>
              <w:t xml:space="preserve">Study</w:t>
            </w:r>
          </w:p>
        </w:tc>
        <w:tc>
          <w:tcPr>
            <w:tcW w:type="dxa" w:w="2864"/>
            <w:tcBorders>
              <w:top w:val="single" w:color="B7C2D0" w:sz="4"/>
              <w:left w:val="single" w:color="B7C2D0" w:sz="4"/>
              <w:bottom w:val="single" w:color="B7C2D0" w:sz="4"/>
              <w:right w:val="single" w:color="B7C2D0" w:sz="4"/>
            </w:tcBorders>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7"/>
                <w:szCs w:val="17"/>
              </w:rPr>
              <w:t xml:space="preserve">Domain and sensors</w:t>
            </w:r>
          </w:p>
        </w:tc>
        <w:tc>
          <w:tcPr>
            <w:tcW w:type="dxa" w:w="2600"/>
            <w:tcBorders>
              <w:top w:val="single" w:color="B7C2D0" w:sz="4"/>
              <w:left w:val="single" w:color="B7C2D0" w:sz="4"/>
              <w:bottom w:val="single" w:color="B7C2D0" w:sz="4"/>
              <w:right w:val="single" w:color="B7C2D0" w:sz="4"/>
            </w:tcBorders>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7"/>
                <w:szCs w:val="17"/>
              </w:rPr>
              <w:t xml:space="preserve">Data</w:t>
            </w:r>
          </w:p>
        </w:tc>
        <w:tc>
          <w:tcPr>
            <w:tcW w:type="dxa" w:w="2400"/>
            <w:tcBorders>
              <w:top w:val="single" w:color="B7C2D0" w:sz="4"/>
              <w:left w:val="single" w:color="B7C2D0" w:sz="4"/>
              <w:bottom w:val="single" w:color="B7C2D0" w:sz="4"/>
              <w:right w:val="single" w:color="B7C2D0" w:sz="4"/>
            </w:tcBorders>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7"/>
                <w:szCs w:val="17"/>
              </w:rPr>
              <w:t xml:space="preserve">Task</w:t>
            </w:r>
          </w:p>
        </w:tc>
      </w:tr>
      <w:tr>
        <w:trPr>
          <w:cantSplit/>
        </w:trPr>
        <w:tc>
          <w:tcPr>
            <w:tcW w:type="dxa" w:w="360"/>
            <w:tcBorders>
              <w:top w:val="single" w:color="B7C2D0" w:sz="4"/>
              <w:left w:val="single" w:color="B7C2D0" w:sz="4"/>
              <w:bottom w:val="single" w:color="B7C2D0" w:sz="4"/>
              <w:right w:val="single" w:color="B7C2D0" w:sz="4"/>
            </w:tcBorders>
            <w:tcMar>
              <w:top w:type="dxa" w:w="60"/>
              <w:left w:type="dxa" w:w="90"/>
              <w:bottom w:type="dxa" w:w="60"/>
              <w:right w:type="dxa" w:w="90"/>
            </w:tcMar>
          </w:tcPr>
          <w:p>
            <w:pPr>
              <w:spacing w:after="0" w:line="252"/>
            </w:pPr>
            <w:r>
              <w:rPr>
                <w:rFonts w:ascii="Calibri" w:cs="Calibri" w:eastAsia="Calibri" w:hAnsi="Calibri"/>
                <w:sz w:val="17"/>
                <w:szCs w:val="17"/>
              </w:rPr>
              <w:t xml:space="preserve">1</w:t>
            </w:r>
          </w:p>
        </w:tc>
        <w:tc>
          <w:tcPr>
            <w:tcW w:type="dxa" w:w="2000"/>
            <w:tcBorders>
              <w:top w:val="single" w:color="B7C2D0" w:sz="4"/>
              <w:left w:val="single" w:color="B7C2D0" w:sz="4"/>
              <w:bottom w:val="single" w:color="B7C2D0" w:sz="4"/>
              <w:right w:val="single" w:color="B7C2D0" w:sz="4"/>
            </w:tcBorders>
            <w:tcMar>
              <w:top w:type="dxa" w:w="60"/>
              <w:left w:type="dxa" w:w="90"/>
              <w:bottom w:type="dxa" w:w="60"/>
              <w:right w:type="dxa" w:w="90"/>
            </w:tcMar>
          </w:tcPr>
          <w:p>
            <w:pPr>
              <w:spacing w:after="0" w:line="252"/>
            </w:pPr>
            <w:r>
              <w:rPr>
                <w:rFonts w:ascii="Calibri" w:cs="Calibri" w:eastAsia="Calibri" w:hAnsi="Calibri"/>
                <w:sz w:val="17"/>
                <w:szCs w:val="17"/>
              </w:rPr>
              <w:t xml:space="preserve">Doulah et al., 2021, IEEE JBHI</w:t>
            </w:r>
          </w:p>
        </w:tc>
        <w:tc>
          <w:tcPr>
            <w:tcW w:type="dxa" w:w="2864"/>
            <w:tcBorders>
              <w:top w:val="single" w:color="B7C2D0" w:sz="4"/>
              <w:left w:val="single" w:color="B7C2D0" w:sz="4"/>
              <w:bottom w:val="single" w:color="B7C2D0" w:sz="4"/>
              <w:right w:val="single" w:color="B7C2D0" w:sz="4"/>
            </w:tcBorders>
            <w:tcMar>
              <w:top w:type="dxa" w:w="60"/>
              <w:left w:type="dxa" w:w="90"/>
              <w:bottom w:type="dxa" w:w="60"/>
              <w:right w:type="dxa" w:w="90"/>
            </w:tcMar>
          </w:tcPr>
          <w:p>
            <w:pPr>
              <w:spacing w:after="0" w:line="252"/>
            </w:pPr>
            <w:r>
              <w:rPr>
                <w:rFonts w:ascii="Calibri" w:cs="Calibri" w:eastAsia="Calibri" w:hAnsi="Calibri"/>
                <w:sz w:val="17"/>
                <w:szCs w:val="17"/>
              </w:rPr>
              <w:t xml:space="preserve">AIM-2 on eyeglasses. 3 axis accelerometer and flex sensor over the temporalis muscle, 128 Hz</w:t>
            </w:r>
          </w:p>
        </w:tc>
        <w:tc>
          <w:tcPr>
            <w:tcW w:type="dxa" w:w="2600"/>
            <w:tcBorders>
              <w:top w:val="single" w:color="B7C2D0" w:sz="4"/>
              <w:left w:val="single" w:color="B7C2D0" w:sz="4"/>
              <w:bottom w:val="single" w:color="B7C2D0" w:sz="4"/>
              <w:right w:val="single" w:color="B7C2D0" w:sz="4"/>
            </w:tcBorders>
            <w:tcMar>
              <w:top w:type="dxa" w:w="60"/>
              <w:left w:type="dxa" w:w="90"/>
              <w:bottom w:type="dxa" w:w="60"/>
              <w:right w:type="dxa" w:w="90"/>
            </w:tcMar>
          </w:tcPr>
          <w:p>
            <w:pPr>
              <w:spacing w:after="0" w:line="252"/>
            </w:pPr>
            <w:r>
              <w:rPr>
                <w:rFonts w:ascii="Calibri" w:cs="Calibri" w:eastAsia="Calibri" w:hAnsi="Calibri"/>
                <w:sz w:val="17"/>
                <w:szCs w:val="17"/>
              </w:rPr>
              <w:t xml:space="preserve">30 participants, one pseudo free living day and one free living day each</w:t>
            </w:r>
          </w:p>
        </w:tc>
        <w:tc>
          <w:tcPr>
            <w:tcW w:type="dxa" w:w="2400"/>
            <w:tcBorders>
              <w:top w:val="single" w:color="B7C2D0" w:sz="4"/>
              <w:left w:val="single" w:color="B7C2D0" w:sz="4"/>
              <w:bottom w:val="single" w:color="B7C2D0" w:sz="4"/>
              <w:right w:val="single" w:color="B7C2D0" w:sz="4"/>
            </w:tcBorders>
            <w:tcMar>
              <w:top w:type="dxa" w:w="60"/>
              <w:left w:type="dxa" w:w="90"/>
              <w:bottom w:type="dxa" w:w="60"/>
              <w:right w:type="dxa" w:w="90"/>
            </w:tcMar>
          </w:tcPr>
          <w:p>
            <w:pPr>
              <w:spacing w:after="0" w:line="252"/>
            </w:pPr>
            <w:r>
              <w:rPr>
                <w:rFonts w:ascii="Calibri" w:cs="Calibri" w:eastAsia="Calibri" w:hAnsi="Calibri"/>
                <w:sz w:val="17"/>
                <w:szCs w:val="17"/>
              </w:rPr>
              <w:t xml:space="preserve">Epoch level intake detection used to trigger the camera</w:t>
            </w:r>
          </w:p>
        </w:tc>
      </w:tr>
      <w:tr>
        <w:trPr>
          <w:cantSplit/>
        </w:trPr>
        <w:tc>
          <w:tcPr>
            <w:tcW w:type="dxa" w:w="360"/>
            <w:tcBorders>
              <w:top w:val="single" w:color="B7C2D0" w:sz="4"/>
              <w:left w:val="single" w:color="B7C2D0" w:sz="4"/>
              <w:bottom w:val="single" w:color="B7C2D0" w:sz="4"/>
              <w:right w:val="single" w:color="B7C2D0" w:sz="4"/>
            </w:tcBorders>
            <w:shd w:fill="F7F9FC" w:color="auto" w:val="clear"/>
            <w:tcMar>
              <w:top w:type="dxa" w:w="60"/>
              <w:left w:type="dxa" w:w="90"/>
              <w:bottom w:type="dxa" w:w="60"/>
              <w:right w:type="dxa" w:w="90"/>
            </w:tcMar>
          </w:tcPr>
          <w:p>
            <w:pPr>
              <w:spacing w:after="0" w:line="252"/>
            </w:pPr>
            <w:r>
              <w:rPr>
                <w:rFonts w:ascii="Calibri" w:cs="Calibri" w:eastAsia="Calibri" w:hAnsi="Calibri"/>
                <w:sz w:val="17"/>
                <w:szCs w:val="17"/>
              </w:rPr>
              <w:t xml:space="preserve">2</w:t>
            </w:r>
          </w:p>
        </w:tc>
        <w:tc>
          <w:tcPr>
            <w:tcW w:type="dxa" w:w="2000"/>
            <w:tcBorders>
              <w:top w:val="single" w:color="B7C2D0" w:sz="4"/>
              <w:left w:val="single" w:color="B7C2D0" w:sz="4"/>
              <w:bottom w:val="single" w:color="B7C2D0" w:sz="4"/>
              <w:right w:val="single" w:color="B7C2D0" w:sz="4"/>
            </w:tcBorders>
            <w:shd w:fill="F7F9FC" w:color="auto" w:val="clear"/>
            <w:tcMar>
              <w:top w:type="dxa" w:w="60"/>
              <w:left w:type="dxa" w:w="90"/>
              <w:bottom w:type="dxa" w:w="60"/>
              <w:right w:type="dxa" w:w="90"/>
            </w:tcMar>
          </w:tcPr>
          <w:p>
            <w:pPr>
              <w:spacing w:after="0" w:line="252"/>
            </w:pPr>
            <w:r>
              <w:rPr>
                <w:rFonts w:ascii="Calibri" w:cs="Calibri" w:eastAsia="Calibri" w:hAnsi="Calibri"/>
                <w:sz w:val="17"/>
                <w:szCs w:val="17"/>
              </w:rPr>
              <w:t xml:space="preserve">Ghosh and Sazonov, 2022, IEEE EMBC</w:t>
            </w:r>
          </w:p>
        </w:tc>
        <w:tc>
          <w:tcPr>
            <w:tcW w:type="dxa" w:w="2864"/>
            <w:tcBorders>
              <w:top w:val="single" w:color="B7C2D0" w:sz="4"/>
              <w:left w:val="single" w:color="B7C2D0" w:sz="4"/>
              <w:bottom w:val="single" w:color="B7C2D0" w:sz="4"/>
              <w:right w:val="single" w:color="B7C2D0" w:sz="4"/>
            </w:tcBorders>
            <w:shd w:fill="F7F9FC" w:color="auto" w:val="clear"/>
            <w:tcMar>
              <w:top w:type="dxa" w:w="60"/>
              <w:left w:type="dxa" w:w="90"/>
              <w:bottom w:type="dxa" w:w="60"/>
              <w:right w:type="dxa" w:w="90"/>
            </w:tcMar>
          </w:tcPr>
          <w:p>
            <w:pPr>
              <w:spacing w:after="0" w:line="252"/>
            </w:pPr>
            <w:r>
              <w:rPr>
                <w:rFonts w:ascii="Calibri" w:cs="Calibri" w:eastAsia="Calibri" w:hAnsi="Calibri"/>
                <w:sz w:val="17"/>
                <w:szCs w:val="17"/>
              </w:rPr>
              <w:t xml:space="preserve">AIM-2.1. 3 axis accelerometer and optical sensor over the temporalis muscle, 128 Hz</w:t>
            </w:r>
          </w:p>
        </w:tc>
        <w:tc>
          <w:tcPr>
            <w:tcW w:type="dxa" w:w="2600"/>
            <w:tcBorders>
              <w:top w:val="single" w:color="B7C2D0" w:sz="4"/>
              <w:left w:val="single" w:color="B7C2D0" w:sz="4"/>
              <w:bottom w:val="single" w:color="B7C2D0" w:sz="4"/>
              <w:right w:val="single" w:color="B7C2D0" w:sz="4"/>
            </w:tcBorders>
            <w:shd w:fill="F7F9FC" w:color="auto" w:val="clear"/>
            <w:tcMar>
              <w:top w:type="dxa" w:w="60"/>
              <w:left w:type="dxa" w:w="90"/>
              <w:bottom w:type="dxa" w:w="60"/>
              <w:right w:type="dxa" w:w="90"/>
            </w:tcMar>
          </w:tcPr>
          <w:p>
            <w:pPr>
              <w:spacing w:after="0" w:line="252"/>
            </w:pPr>
            <w:r>
              <w:rPr>
                <w:rFonts w:ascii="Calibri" w:cs="Calibri" w:eastAsia="Calibri" w:hAnsi="Calibri"/>
                <w:sz w:val="17"/>
                <w:szCs w:val="17"/>
              </w:rPr>
              <w:t xml:space="preserve">17 participants, 23 free living days, 372 h, 167,419 epochs</w:t>
            </w:r>
          </w:p>
        </w:tc>
        <w:tc>
          <w:tcPr>
            <w:tcW w:type="dxa" w:w="2400"/>
            <w:tcBorders>
              <w:top w:val="single" w:color="B7C2D0" w:sz="4"/>
              <w:left w:val="single" w:color="B7C2D0" w:sz="4"/>
              <w:bottom w:val="single" w:color="B7C2D0" w:sz="4"/>
              <w:right w:val="single" w:color="B7C2D0" w:sz="4"/>
            </w:tcBorders>
            <w:shd w:fill="F7F9FC" w:color="auto" w:val="clear"/>
            <w:tcMar>
              <w:top w:type="dxa" w:w="60"/>
              <w:left w:type="dxa" w:w="90"/>
              <w:bottom w:type="dxa" w:w="60"/>
              <w:right w:type="dxa" w:w="90"/>
            </w:tcMar>
          </w:tcPr>
          <w:p>
            <w:pPr>
              <w:spacing w:after="0" w:line="252"/>
            </w:pPr>
            <w:r>
              <w:rPr>
                <w:rFonts w:ascii="Calibri" w:cs="Calibri" w:eastAsia="Calibri" w:hAnsi="Calibri"/>
                <w:sz w:val="17"/>
                <w:szCs w:val="17"/>
              </w:rPr>
              <w:t xml:space="preserve">Epoch level intake detection</w:t>
            </w:r>
          </w:p>
        </w:tc>
      </w:tr>
      <w:tr>
        <w:trPr>
          <w:cantSplit/>
        </w:trPr>
        <w:tc>
          <w:tcPr>
            <w:tcW w:type="dxa" w:w="360"/>
            <w:tcBorders>
              <w:top w:val="single" w:color="B7C2D0" w:sz="4"/>
              <w:left w:val="single" w:color="B7C2D0" w:sz="4"/>
              <w:bottom w:val="single" w:color="B7C2D0" w:sz="4"/>
              <w:right w:val="single" w:color="B7C2D0" w:sz="4"/>
            </w:tcBorders>
            <w:tcMar>
              <w:top w:type="dxa" w:w="60"/>
              <w:left w:type="dxa" w:w="90"/>
              <w:bottom w:type="dxa" w:w="60"/>
              <w:right w:type="dxa" w:w="90"/>
            </w:tcMar>
          </w:tcPr>
          <w:p>
            <w:pPr>
              <w:spacing w:after="0" w:line="252"/>
            </w:pPr>
            <w:r>
              <w:rPr>
                <w:rFonts w:ascii="Calibri" w:cs="Calibri" w:eastAsia="Calibri" w:hAnsi="Calibri"/>
                <w:sz w:val="17"/>
                <w:szCs w:val="17"/>
              </w:rPr>
              <w:t xml:space="preserve">3</w:t>
            </w:r>
          </w:p>
        </w:tc>
        <w:tc>
          <w:tcPr>
            <w:tcW w:type="dxa" w:w="2000"/>
            <w:tcBorders>
              <w:top w:val="single" w:color="B7C2D0" w:sz="4"/>
              <w:left w:val="single" w:color="B7C2D0" w:sz="4"/>
              <w:bottom w:val="single" w:color="B7C2D0" w:sz="4"/>
              <w:right w:val="single" w:color="B7C2D0" w:sz="4"/>
            </w:tcBorders>
            <w:tcMar>
              <w:top w:type="dxa" w:w="60"/>
              <w:left w:type="dxa" w:w="90"/>
              <w:bottom w:type="dxa" w:w="60"/>
              <w:right w:type="dxa" w:w="90"/>
            </w:tcMar>
          </w:tcPr>
          <w:p>
            <w:pPr>
              <w:spacing w:after="0" w:line="252"/>
            </w:pPr>
            <w:r>
              <w:rPr>
                <w:rFonts w:ascii="Calibri" w:cs="Calibri" w:eastAsia="Calibri" w:hAnsi="Calibri"/>
                <w:sz w:val="17"/>
                <w:szCs w:val="17"/>
              </w:rPr>
              <w:t xml:space="preserve">Ghosh et al., 2024, Scientific Reports</w:t>
            </w:r>
          </w:p>
        </w:tc>
        <w:tc>
          <w:tcPr>
            <w:tcW w:type="dxa" w:w="2864"/>
            <w:tcBorders>
              <w:top w:val="single" w:color="B7C2D0" w:sz="4"/>
              <w:left w:val="single" w:color="B7C2D0" w:sz="4"/>
              <w:bottom w:val="single" w:color="B7C2D0" w:sz="4"/>
              <w:right w:val="single" w:color="B7C2D0" w:sz="4"/>
            </w:tcBorders>
            <w:tcMar>
              <w:top w:type="dxa" w:w="60"/>
              <w:left w:type="dxa" w:w="90"/>
              <w:bottom w:type="dxa" w:w="60"/>
              <w:right w:type="dxa" w:w="90"/>
            </w:tcMar>
          </w:tcPr>
          <w:p>
            <w:pPr>
              <w:spacing w:after="0" w:line="252"/>
            </w:pPr>
            <w:r>
              <w:rPr>
                <w:rFonts w:ascii="Calibri" w:cs="Calibri" w:eastAsia="Calibri" w:hAnsi="Calibri"/>
                <w:sz w:val="17"/>
                <w:szCs w:val="17"/>
              </w:rPr>
              <w:t xml:space="preserve">AIM-2 accelerometer and egocentric camera</w:t>
            </w:r>
          </w:p>
        </w:tc>
        <w:tc>
          <w:tcPr>
            <w:tcW w:type="dxa" w:w="2600"/>
            <w:tcBorders>
              <w:top w:val="single" w:color="B7C2D0" w:sz="4"/>
              <w:left w:val="single" w:color="B7C2D0" w:sz="4"/>
              <w:bottom w:val="single" w:color="B7C2D0" w:sz="4"/>
              <w:right w:val="single" w:color="B7C2D0" w:sz="4"/>
            </w:tcBorders>
            <w:tcMar>
              <w:top w:type="dxa" w:w="60"/>
              <w:left w:type="dxa" w:w="90"/>
              <w:bottom w:type="dxa" w:w="60"/>
              <w:right w:type="dxa" w:w="90"/>
            </w:tcMar>
          </w:tcPr>
          <w:p>
            <w:pPr>
              <w:spacing w:after="0" w:line="252"/>
            </w:pPr>
            <w:r>
              <w:rPr>
                <w:rFonts w:ascii="Calibri" w:cs="Calibri" w:eastAsia="Calibri" w:hAnsi="Calibri"/>
                <w:sz w:val="17"/>
                <w:szCs w:val="17"/>
              </w:rPr>
              <w:t xml:space="preserve">30 participants, free living day only, 380 h, 111 meals</w:t>
            </w:r>
          </w:p>
        </w:tc>
        <w:tc>
          <w:tcPr>
            <w:tcW w:type="dxa" w:w="2400"/>
            <w:tcBorders>
              <w:top w:val="single" w:color="B7C2D0" w:sz="4"/>
              <w:left w:val="single" w:color="B7C2D0" w:sz="4"/>
              <w:bottom w:val="single" w:color="B7C2D0" w:sz="4"/>
              <w:right w:val="single" w:color="B7C2D0" w:sz="4"/>
            </w:tcBorders>
            <w:tcMar>
              <w:top w:type="dxa" w:w="60"/>
              <w:left w:type="dxa" w:w="90"/>
              <w:bottom w:type="dxa" w:w="60"/>
              <w:right w:type="dxa" w:w="90"/>
            </w:tcMar>
          </w:tcPr>
          <w:p>
            <w:pPr>
              <w:spacing w:after="0" w:line="252"/>
            </w:pPr>
            <w:r>
              <w:rPr>
                <w:rFonts w:ascii="Calibri" w:cs="Calibri" w:eastAsia="Calibri" w:hAnsi="Calibri"/>
                <w:sz w:val="17"/>
                <w:szCs w:val="17"/>
              </w:rPr>
              <w:t xml:space="preserve">Intake and episode detection by fusing sensor and image classifiers</w:t>
            </w:r>
          </w:p>
        </w:tc>
      </w:tr>
      <w:tr>
        <w:trPr>
          <w:cantSplit/>
        </w:trPr>
        <w:tc>
          <w:tcPr>
            <w:tcW w:type="dxa" w:w="360"/>
            <w:tcBorders>
              <w:top w:val="single" w:color="B7C2D0" w:sz="4"/>
              <w:left w:val="single" w:color="B7C2D0" w:sz="4"/>
              <w:bottom w:val="single" w:color="B7C2D0" w:sz="4"/>
              <w:right w:val="single" w:color="B7C2D0" w:sz="4"/>
            </w:tcBorders>
            <w:shd w:fill="F7F9FC" w:color="auto" w:val="clear"/>
            <w:tcMar>
              <w:top w:type="dxa" w:w="60"/>
              <w:left w:type="dxa" w:w="90"/>
              <w:bottom w:type="dxa" w:w="60"/>
              <w:right w:type="dxa" w:w="90"/>
            </w:tcMar>
          </w:tcPr>
          <w:p>
            <w:pPr>
              <w:spacing w:after="0" w:line="252"/>
            </w:pPr>
            <w:r>
              <w:rPr>
                <w:rFonts w:ascii="Calibri" w:cs="Calibri" w:eastAsia="Calibri" w:hAnsi="Calibri"/>
                <w:sz w:val="17"/>
                <w:szCs w:val="17"/>
              </w:rPr>
              <w:t xml:space="preserve">4</w:t>
            </w:r>
          </w:p>
        </w:tc>
        <w:tc>
          <w:tcPr>
            <w:tcW w:type="dxa" w:w="2000"/>
            <w:tcBorders>
              <w:top w:val="single" w:color="B7C2D0" w:sz="4"/>
              <w:left w:val="single" w:color="B7C2D0" w:sz="4"/>
              <w:bottom w:val="single" w:color="B7C2D0" w:sz="4"/>
              <w:right w:val="single" w:color="B7C2D0" w:sz="4"/>
            </w:tcBorders>
            <w:shd w:fill="F7F9FC" w:color="auto" w:val="clear"/>
            <w:tcMar>
              <w:top w:type="dxa" w:w="60"/>
              <w:left w:type="dxa" w:w="90"/>
              <w:bottom w:type="dxa" w:w="60"/>
              <w:right w:type="dxa" w:w="90"/>
            </w:tcMar>
          </w:tcPr>
          <w:p>
            <w:pPr>
              <w:spacing w:after="0" w:line="252"/>
            </w:pPr>
            <w:r>
              <w:rPr>
                <w:rFonts w:ascii="Calibri" w:cs="Calibri" w:eastAsia="Calibri" w:hAnsi="Calibri"/>
                <w:sz w:val="17"/>
                <w:szCs w:val="17"/>
              </w:rPr>
              <w:t xml:space="preserve">Diou et al., 2022, Appetite</w:t>
            </w:r>
          </w:p>
        </w:tc>
        <w:tc>
          <w:tcPr>
            <w:tcW w:type="dxa" w:w="2864"/>
            <w:tcBorders>
              <w:top w:val="single" w:color="B7C2D0" w:sz="4"/>
              <w:left w:val="single" w:color="B7C2D0" w:sz="4"/>
              <w:bottom w:val="single" w:color="B7C2D0" w:sz="4"/>
              <w:right w:val="single" w:color="B7C2D0" w:sz="4"/>
            </w:tcBorders>
            <w:shd w:fill="F7F9FC" w:color="auto" w:val="clear"/>
            <w:tcMar>
              <w:top w:type="dxa" w:w="60"/>
              <w:left w:type="dxa" w:w="90"/>
              <w:bottom w:type="dxa" w:w="60"/>
              <w:right w:type="dxa" w:w="90"/>
            </w:tcMar>
          </w:tcPr>
          <w:p>
            <w:pPr>
              <w:spacing w:after="0" w:line="252"/>
            </w:pPr>
            <w:r>
              <w:rPr>
                <w:rFonts w:ascii="Calibri" w:cs="Calibri" w:eastAsia="Calibri" w:hAnsi="Calibri"/>
                <w:sz w:val="17"/>
                <w:szCs w:val="17"/>
              </w:rPr>
              <w:t xml:space="preserve">Commercial smartwatch IMU. In ear microphone with PPG and accelerometer</w:t>
            </w:r>
          </w:p>
        </w:tc>
        <w:tc>
          <w:tcPr>
            <w:tcW w:type="dxa" w:w="2600"/>
            <w:tcBorders>
              <w:top w:val="single" w:color="B7C2D0" w:sz="4"/>
              <w:left w:val="single" w:color="B7C2D0" w:sz="4"/>
              <w:bottom w:val="single" w:color="B7C2D0" w:sz="4"/>
              <w:right w:val="single" w:color="B7C2D0" w:sz="4"/>
            </w:tcBorders>
            <w:shd w:fill="F7F9FC" w:color="auto" w:val="clear"/>
            <w:tcMar>
              <w:top w:type="dxa" w:w="60"/>
              <w:left w:type="dxa" w:w="90"/>
              <w:bottom w:type="dxa" w:w="60"/>
              <w:right w:type="dxa" w:w="90"/>
            </w:tcMar>
          </w:tcPr>
          <w:p>
            <w:pPr>
              <w:spacing w:after="0" w:line="252"/>
            </w:pPr>
            <w:r>
              <w:rPr>
                <w:rFonts w:ascii="Calibri" w:cs="Calibri" w:eastAsia="Calibri" w:hAnsi="Calibri"/>
                <w:sz w:val="17"/>
                <w:szCs w:val="17"/>
              </w:rPr>
              <w:t xml:space="preserve">FIC with 12 subjects and 21 meals. FreeFIC with 77 h. ACE with 250 h</w:t>
            </w:r>
          </w:p>
        </w:tc>
        <w:tc>
          <w:tcPr>
            <w:tcW w:type="dxa" w:w="2400"/>
            <w:tcBorders>
              <w:top w:val="single" w:color="B7C2D0" w:sz="4"/>
              <w:left w:val="single" w:color="B7C2D0" w:sz="4"/>
              <w:bottom w:val="single" w:color="B7C2D0" w:sz="4"/>
              <w:right w:val="single" w:color="B7C2D0" w:sz="4"/>
            </w:tcBorders>
            <w:shd w:fill="F7F9FC" w:color="auto" w:val="clear"/>
            <w:tcMar>
              <w:top w:type="dxa" w:w="60"/>
              <w:left w:type="dxa" w:w="90"/>
              <w:bottom w:type="dxa" w:w="60"/>
              <w:right w:type="dxa" w:w="90"/>
            </w:tcMar>
          </w:tcPr>
          <w:p>
            <w:pPr>
              <w:spacing w:after="0" w:line="252"/>
            </w:pPr>
            <w:r>
              <w:rPr>
                <w:rFonts w:ascii="Calibri" w:cs="Calibri" w:eastAsia="Calibri" w:hAnsi="Calibri"/>
                <w:sz w:val="17"/>
                <w:szCs w:val="17"/>
              </w:rPr>
              <w:t xml:space="preserve">Bite, meal and chewing detection</w:t>
            </w:r>
          </w:p>
        </w:tc>
      </w:tr>
      <w:tr>
        <w:trPr>
          <w:cantSplit/>
        </w:trPr>
        <w:tc>
          <w:tcPr>
            <w:tcW w:type="dxa" w:w="360"/>
            <w:tcBorders>
              <w:top w:val="single" w:color="B7C2D0" w:sz="4"/>
              <w:left w:val="single" w:color="B7C2D0" w:sz="4"/>
              <w:bottom w:val="single" w:color="B7C2D0" w:sz="4"/>
              <w:right w:val="single" w:color="B7C2D0" w:sz="4"/>
            </w:tcBorders>
            <w:tcMar>
              <w:top w:type="dxa" w:w="60"/>
              <w:left w:type="dxa" w:w="90"/>
              <w:bottom w:type="dxa" w:w="60"/>
              <w:right w:type="dxa" w:w="90"/>
            </w:tcMar>
          </w:tcPr>
          <w:p>
            <w:pPr>
              <w:spacing w:after="0" w:line="252"/>
            </w:pPr>
            <w:r>
              <w:rPr>
                <w:rFonts w:ascii="Calibri" w:cs="Calibri" w:eastAsia="Calibri" w:hAnsi="Calibri"/>
                <w:sz w:val="17"/>
                <w:szCs w:val="17"/>
              </w:rPr>
              <w:t xml:space="preserve">5</w:t>
            </w:r>
          </w:p>
        </w:tc>
        <w:tc>
          <w:tcPr>
            <w:tcW w:type="dxa" w:w="2000"/>
            <w:tcBorders>
              <w:top w:val="single" w:color="B7C2D0" w:sz="4"/>
              <w:left w:val="single" w:color="B7C2D0" w:sz="4"/>
              <w:bottom w:val="single" w:color="B7C2D0" w:sz="4"/>
              <w:right w:val="single" w:color="B7C2D0" w:sz="4"/>
            </w:tcBorders>
            <w:tcMar>
              <w:top w:type="dxa" w:w="60"/>
              <w:left w:type="dxa" w:w="90"/>
              <w:bottom w:type="dxa" w:w="60"/>
              <w:right w:type="dxa" w:w="90"/>
            </w:tcMar>
          </w:tcPr>
          <w:p>
            <w:pPr>
              <w:spacing w:after="0" w:line="252"/>
            </w:pPr>
            <w:r>
              <w:rPr>
                <w:rFonts w:ascii="Calibri" w:cs="Calibri" w:eastAsia="Calibri" w:hAnsi="Calibri"/>
                <w:sz w:val="17"/>
                <w:szCs w:val="17"/>
              </w:rPr>
              <w:t xml:space="preserve">Usman and Chen, 2021, survey</w:t>
            </w:r>
          </w:p>
        </w:tc>
        <w:tc>
          <w:tcPr>
            <w:tcW w:type="dxa" w:w="2864"/>
            <w:tcBorders>
              <w:top w:val="single" w:color="B7C2D0" w:sz="4"/>
              <w:left w:val="single" w:color="B7C2D0" w:sz="4"/>
              <w:bottom w:val="single" w:color="B7C2D0" w:sz="4"/>
              <w:right w:val="single" w:color="B7C2D0" w:sz="4"/>
            </w:tcBorders>
            <w:tcMar>
              <w:top w:type="dxa" w:w="60"/>
              <w:left w:type="dxa" w:w="90"/>
              <w:bottom w:type="dxa" w:w="60"/>
              <w:right w:type="dxa" w:w="90"/>
            </w:tcMar>
          </w:tcPr>
          <w:p>
            <w:pPr>
              <w:spacing w:after="0" w:line="252"/>
            </w:pPr>
            <w:r>
              <w:rPr>
                <w:rFonts w:ascii="Calibri" w:cs="Calibri" w:eastAsia="Calibri" w:hAnsi="Calibri"/>
                <w:sz w:val="17"/>
                <w:szCs w:val="17"/>
              </w:rPr>
              <w:t xml:space="preserve">Wearable intake sensors in general</w:t>
            </w:r>
          </w:p>
        </w:tc>
        <w:tc>
          <w:tcPr>
            <w:tcW w:type="dxa" w:w="2600"/>
            <w:tcBorders>
              <w:top w:val="single" w:color="B7C2D0" w:sz="4"/>
              <w:left w:val="single" w:color="B7C2D0" w:sz="4"/>
              <w:bottom w:val="single" w:color="B7C2D0" w:sz="4"/>
              <w:right w:val="single" w:color="B7C2D0" w:sz="4"/>
            </w:tcBorders>
            <w:tcMar>
              <w:top w:type="dxa" w:w="60"/>
              <w:left w:type="dxa" w:w="90"/>
              <w:bottom w:type="dxa" w:w="60"/>
              <w:right w:type="dxa" w:w="90"/>
            </w:tcMar>
          </w:tcPr>
          <w:p>
            <w:pPr>
              <w:spacing w:after="0" w:line="252"/>
            </w:pPr>
            <w:r>
              <w:rPr>
                <w:rFonts w:ascii="Calibri" w:cs="Calibri" w:eastAsia="Calibri" w:hAnsi="Calibri"/>
                <w:sz w:val="17"/>
                <w:szCs w:val="17"/>
              </w:rPr>
              <w:t xml:space="preserve">Review of published studies</w:t>
            </w:r>
          </w:p>
        </w:tc>
        <w:tc>
          <w:tcPr>
            <w:tcW w:type="dxa" w:w="2400"/>
            <w:tcBorders>
              <w:top w:val="single" w:color="B7C2D0" w:sz="4"/>
              <w:left w:val="single" w:color="B7C2D0" w:sz="4"/>
              <w:bottom w:val="single" w:color="B7C2D0" w:sz="4"/>
              <w:right w:val="single" w:color="B7C2D0" w:sz="4"/>
            </w:tcBorders>
            <w:tcMar>
              <w:top w:type="dxa" w:w="60"/>
              <w:left w:type="dxa" w:w="90"/>
              <w:bottom w:type="dxa" w:w="60"/>
              <w:right w:type="dxa" w:w="90"/>
            </w:tcMar>
          </w:tcPr>
          <w:p>
            <w:pPr>
              <w:spacing w:after="0" w:line="252"/>
            </w:pPr>
            <w:r>
              <w:rPr>
                <w:rFonts w:ascii="Calibri" w:cs="Calibri" w:eastAsia="Calibri" w:hAnsi="Calibri"/>
                <w:sz w:val="17"/>
                <w:szCs w:val="17"/>
              </w:rPr>
              <w:t xml:space="preserve">Taxonomy of tasks and sensors, future directions</w:t>
            </w:r>
          </w:p>
        </w:tc>
      </w:tr>
      <w:tr>
        <w:trPr>
          <w:cantSplit/>
        </w:trPr>
        <w:tc>
          <w:tcPr>
            <w:tcW w:type="dxa" w:w="360"/>
            <w:tcBorders>
              <w:top w:val="single" w:color="B7C2D0" w:sz="4"/>
              <w:left w:val="single" w:color="B7C2D0" w:sz="4"/>
              <w:bottom w:val="single" w:color="B7C2D0" w:sz="4"/>
              <w:right w:val="single" w:color="B7C2D0" w:sz="4"/>
            </w:tcBorders>
            <w:shd w:fill="F7F9FC" w:color="auto" w:val="clear"/>
            <w:tcMar>
              <w:top w:type="dxa" w:w="60"/>
              <w:left w:type="dxa" w:w="90"/>
              <w:bottom w:type="dxa" w:w="60"/>
              <w:right w:type="dxa" w:w="90"/>
            </w:tcMar>
          </w:tcPr>
          <w:p>
            <w:pPr>
              <w:spacing w:after="0" w:line="252"/>
            </w:pPr>
            <w:r>
              <w:rPr>
                <w:rFonts w:ascii="Calibri" w:cs="Calibri" w:eastAsia="Calibri" w:hAnsi="Calibri"/>
                <w:sz w:val="17"/>
                <w:szCs w:val="17"/>
              </w:rPr>
              <w:t xml:space="preserve">6</w:t>
            </w:r>
          </w:p>
        </w:tc>
        <w:tc>
          <w:tcPr>
            <w:tcW w:type="dxa" w:w="2000"/>
            <w:tcBorders>
              <w:top w:val="single" w:color="B7C2D0" w:sz="4"/>
              <w:left w:val="single" w:color="B7C2D0" w:sz="4"/>
              <w:bottom w:val="single" w:color="B7C2D0" w:sz="4"/>
              <w:right w:val="single" w:color="B7C2D0" w:sz="4"/>
            </w:tcBorders>
            <w:shd w:fill="F7F9FC" w:color="auto" w:val="clear"/>
            <w:tcMar>
              <w:top w:type="dxa" w:w="60"/>
              <w:left w:type="dxa" w:w="90"/>
              <w:bottom w:type="dxa" w:w="60"/>
              <w:right w:type="dxa" w:w="90"/>
            </w:tcMar>
          </w:tcPr>
          <w:p>
            <w:pPr>
              <w:spacing w:after="0" w:line="252"/>
            </w:pPr>
            <w:r>
              <w:rPr>
                <w:rFonts w:ascii="Calibri" w:cs="Calibri" w:eastAsia="Calibri" w:hAnsi="Calibri"/>
                <w:sz w:val="17"/>
                <w:szCs w:val="17"/>
              </w:rPr>
              <w:t xml:space="preserve">Yang et al., 2026, Physical Communication</w:t>
            </w:r>
          </w:p>
        </w:tc>
        <w:tc>
          <w:tcPr>
            <w:tcW w:type="dxa" w:w="2864"/>
            <w:tcBorders>
              <w:top w:val="single" w:color="B7C2D0" w:sz="4"/>
              <w:left w:val="single" w:color="B7C2D0" w:sz="4"/>
              <w:bottom w:val="single" w:color="B7C2D0" w:sz="4"/>
              <w:right w:val="single" w:color="B7C2D0" w:sz="4"/>
            </w:tcBorders>
            <w:shd w:fill="F7F9FC" w:color="auto" w:val="clear"/>
            <w:tcMar>
              <w:top w:type="dxa" w:w="60"/>
              <w:left w:type="dxa" w:w="90"/>
              <w:bottom w:type="dxa" w:w="60"/>
              <w:right w:type="dxa" w:w="90"/>
            </w:tcMar>
          </w:tcPr>
          <w:p>
            <w:pPr>
              <w:spacing w:after="0" w:line="252"/>
            </w:pPr>
            <w:r>
              <w:rPr>
                <w:rFonts w:ascii="Calibri" w:cs="Calibri" w:eastAsia="Calibri" w:hAnsi="Calibri"/>
                <w:sz w:val="17"/>
                <w:szCs w:val="17"/>
              </w:rPr>
              <w:t xml:space="preserve">Radio frequency waveforms, outside the food intake field</w:t>
            </w:r>
          </w:p>
        </w:tc>
        <w:tc>
          <w:tcPr>
            <w:tcW w:type="dxa" w:w="2600"/>
            <w:tcBorders>
              <w:top w:val="single" w:color="B7C2D0" w:sz="4"/>
              <w:left w:val="single" w:color="B7C2D0" w:sz="4"/>
              <w:bottom w:val="single" w:color="B7C2D0" w:sz="4"/>
              <w:right w:val="single" w:color="B7C2D0" w:sz="4"/>
            </w:tcBorders>
            <w:shd w:fill="F7F9FC" w:color="auto" w:val="clear"/>
            <w:tcMar>
              <w:top w:type="dxa" w:w="60"/>
              <w:left w:type="dxa" w:w="90"/>
              <w:bottom w:type="dxa" w:w="60"/>
              <w:right w:type="dxa" w:w="90"/>
            </w:tcMar>
          </w:tcPr>
          <w:p>
            <w:pPr>
              <w:spacing w:after="0" w:line="252"/>
            </w:pPr>
            <w:r>
              <w:rPr>
                <w:rFonts w:ascii="Calibri" w:cs="Calibri" w:eastAsia="Calibri" w:hAnsi="Calibri"/>
                <w:sz w:val="17"/>
                <w:szCs w:val="17"/>
              </w:rPr>
              <w:t xml:space="preserve">100,000 emitter signals and the RML2018.01a benchmark</w:t>
            </w:r>
          </w:p>
        </w:tc>
        <w:tc>
          <w:tcPr>
            <w:tcW w:type="dxa" w:w="2400"/>
            <w:tcBorders>
              <w:top w:val="single" w:color="B7C2D0" w:sz="4"/>
              <w:left w:val="single" w:color="B7C2D0" w:sz="4"/>
              <w:bottom w:val="single" w:color="B7C2D0" w:sz="4"/>
              <w:right w:val="single" w:color="B7C2D0" w:sz="4"/>
            </w:tcBorders>
            <w:shd w:fill="F7F9FC" w:color="auto" w:val="clear"/>
            <w:tcMar>
              <w:top w:type="dxa" w:w="60"/>
              <w:left w:type="dxa" w:w="90"/>
              <w:bottom w:type="dxa" w:w="60"/>
              <w:right w:type="dxa" w:w="90"/>
            </w:tcMar>
          </w:tcPr>
          <w:p>
            <w:pPr>
              <w:spacing w:after="0" w:line="252"/>
            </w:pPr>
            <w:r>
              <w:rPr>
                <w:rFonts w:ascii="Calibri" w:cs="Calibri" w:eastAsia="Calibri" w:hAnsi="Calibri"/>
                <w:sz w:val="17"/>
                <w:szCs w:val="17"/>
              </w:rPr>
              <w:t xml:space="preserve">Signal classification with a time frequency transformer</w:t>
            </w:r>
          </w:p>
        </w:tc>
      </w:tr>
      <w:tr>
        <w:trPr>
          <w:cantSplit/>
        </w:trPr>
        <w:tc>
          <w:tcPr>
            <w:tcW w:type="dxa" w:w="360"/>
            <w:tcBorders>
              <w:top w:val="single" w:color="B7C2D0" w:sz="4"/>
              <w:left w:val="single" w:color="B7C2D0" w:sz="4"/>
              <w:bottom w:val="single" w:color="B7C2D0" w:sz="4"/>
              <w:right w:val="single" w:color="B7C2D0" w:sz="4"/>
            </w:tcBorders>
            <w:tcMar>
              <w:top w:type="dxa" w:w="60"/>
              <w:left w:type="dxa" w:w="90"/>
              <w:bottom w:type="dxa" w:w="60"/>
              <w:right w:type="dxa" w:w="90"/>
            </w:tcMar>
          </w:tcPr>
          <w:p>
            <w:pPr>
              <w:spacing w:after="0" w:line="252"/>
            </w:pPr>
            <w:r>
              <w:rPr>
                <w:rFonts w:ascii="Calibri" w:cs="Calibri" w:eastAsia="Calibri" w:hAnsi="Calibri"/>
                <w:sz w:val="17"/>
                <w:szCs w:val="17"/>
              </w:rPr>
              <w:t xml:space="preserve">7</w:t>
            </w:r>
          </w:p>
        </w:tc>
        <w:tc>
          <w:tcPr>
            <w:tcW w:type="dxa" w:w="2000"/>
            <w:tcBorders>
              <w:top w:val="single" w:color="B7C2D0" w:sz="4"/>
              <w:left w:val="single" w:color="B7C2D0" w:sz="4"/>
              <w:bottom w:val="single" w:color="B7C2D0" w:sz="4"/>
              <w:right w:val="single" w:color="B7C2D0" w:sz="4"/>
            </w:tcBorders>
            <w:tcMar>
              <w:top w:type="dxa" w:w="60"/>
              <w:left w:type="dxa" w:w="90"/>
              <w:bottom w:type="dxa" w:w="60"/>
              <w:right w:type="dxa" w:w="90"/>
            </w:tcMar>
          </w:tcPr>
          <w:p>
            <w:pPr>
              <w:spacing w:after="0" w:line="252"/>
            </w:pPr>
            <w:r>
              <w:rPr>
                <w:rFonts w:ascii="Calibri" w:cs="Calibri" w:eastAsia="Calibri" w:hAnsi="Calibri"/>
                <w:sz w:val="17"/>
                <w:szCs w:val="17"/>
              </w:rPr>
              <w:t xml:space="preserve">Ikram et al., 2025, Frontiers in Medicine</w:t>
            </w:r>
          </w:p>
        </w:tc>
        <w:tc>
          <w:tcPr>
            <w:tcW w:type="dxa" w:w="2864"/>
            <w:tcBorders>
              <w:top w:val="single" w:color="B7C2D0" w:sz="4"/>
              <w:left w:val="single" w:color="B7C2D0" w:sz="4"/>
              <w:bottom w:val="single" w:color="B7C2D0" w:sz="4"/>
              <w:right w:val="single" w:color="B7C2D0" w:sz="4"/>
            </w:tcBorders>
            <w:tcMar>
              <w:top w:type="dxa" w:w="60"/>
              <w:left w:type="dxa" w:w="90"/>
              <w:bottom w:type="dxa" w:w="60"/>
              <w:right w:type="dxa" w:w="90"/>
            </w:tcMar>
          </w:tcPr>
          <w:p>
            <w:pPr>
              <w:spacing w:after="0" w:line="252"/>
            </w:pPr>
            <w:r>
              <w:rPr>
                <w:rFonts w:ascii="Calibri" w:cs="Calibri" w:eastAsia="Calibri" w:hAnsi="Calibri"/>
                <w:sz w:val="17"/>
                <w:szCs w:val="17"/>
              </w:rPr>
              <w:t xml:space="preserve">Electrocardiogram, outside the food intake field</w:t>
            </w:r>
          </w:p>
        </w:tc>
        <w:tc>
          <w:tcPr>
            <w:tcW w:type="dxa" w:w="2600"/>
            <w:tcBorders>
              <w:top w:val="single" w:color="B7C2D0" w:sz="4"/>
              <w:left w:val="single" w:color="B7C2D0" w:sz="4"/>
              <w:bottom w:val="single" w:color="B7C2D0" w:sz="4"/>
              <w:right w:val="single" w:color="B7C2D0" w:sz="4"/>
            </w:tcBorders>
            <w:tcMar>
              <w:top w:type="dxa" w:w="60"/>
              <w:left w:type="dxa" w:w="90"/>
              <w:bottom w:type="dxa" w:w="60"/>
              <w:right w:type="dxa" w:w="90"/>
            </w:tcMar>
          </w:tcPr>
          <w:p>
            <w:pPr>
              <w:spacing w:after="0" w:line="252"/>
            </w:pPr>
            <w:r>
              <w:rPr>
                <w:rFonts w:ascii="Calibri" w:cs="Calibri" w:eastAsia="Calibri" w:hAnsi="Calibri"/>
                <w:sz w:val="17"/>
                <w:szCs w:val="17"/>
              </w:rPr>
              <w:t xml:space="preserve">MIT-BIH, five beat classes</w:t>
            </w:r>
          </w:p>
        </w:tc>
        <w:tc>
          <w:tcPr>
            <w:tcW w:type="dxa" w:w="2400"/>
            <w:tcBorders>
              <w:top w:val="single" w:color="B7C2D0" w:sz="4"/>
              <w:left w:val="single" w:color="B7C2D0" w:sz="4"/>
              <w:bottom w:val="single" w:color="B7C2D0" w:sz="4"/>
              <w:right w:val="single" w:color="B7C2D0" w:sz="4"/>
            </w:tcBorders>
            <w:tcMar>
              <w:top w:type="dxa" w:w="60"/>
              <w:left w:type="dxa" w:w="90"/>
              <w:bottom w:type="dxa" w:w="60"/>
              <w:right w:type="dxa" w:w="90"/>
            </w:tcMar>
          </w:tcPr>
          <w:p>
            <w:pPr>
              <w:spacing w:after="0" w:line="252"/>
            </w:pPr>
            <w:r>
              <w:rPr>
                <w:rFonts w:ascii="Calibri" w:cs="Calibri" w:eastAsia="Calibri" w:hAnsi="Calibri"/>
                <w:sz w:val="17"/>
                <w:szCs w:val="17"/>
              </w:rPr>
              <w:t xml:space="preserve">Arrhythmia classification with a transformer</w:t>
            </w:r>
          </w:p>
        </w:tc>
      </w:tr>
    </w:tbl>
    <w:p>
      <w:pPr>
        <w:pStyle w:val="Heading1"/>
        <w:spacing w:after="120" w:before="300"/>
      </w:pPr>
      <w:r>
        <w:rPr>
          <w:rFonts w:ascii="Calibri" w:cs="Calibri" w:eastAsia="Calibri" w:hAnsi="Calibri"/>
        </w:rPr>
        <w:t xml:space="preserve">Methods and Reported Results</w:t>
      </w:r>
    </w:p>
    <w:p>
      <w:pPr>
        <w:keepNext/>
        <w:spacing w:after="80" w:before="160"/>
      </w:pPr>
      <w:r>
        <w:rPr>
          <w:rFonts w:ascii="Calibri" w:cs="Calibri" w:eastAsia="Calibri" w:hAnsi="Calibri"/>
          <w:b/>
          <w:bCs/>
          <w:color w:val="1F3864"/>
          <w:sz w:val="20"/>
          <w:szCs w:val="20"/>
        </w:rPr>
        <w:t xml:space="preserve">Table 2. Representation, model and evaluation in each study, with Model B for reference</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360"/>
        <w:gridCol w:w="2250"/>
        <w:gridCol w:w="1250"/>
        <w:gridCol w:w="2250"/>
        <w:gridCol w:w="2014"/>
        <w:gridCol w:w="2100"/>
      </w:tblGrid>
      <w:tr>
        <w:trPr>
          <w:tblHeader/>
        </w:trPr>
        <w:tc>
          <w:tcPr>
            <w:tcW w:type="dxa" w:w="360"/>
            <w:tcBorders>
              <w:top w:val="single" w:color="B7C2D0" w:sz="4"/>
              <w:left w:val="single" w:color="B7C2D0" w:sz="4"/>
              <w:bottom w:val="single" w:color="B7C2D0" w:sz="4"/>
              <w:right w:val="single" w:color="B7C2D0" w:sz="4"/>
            </w:tcBorders>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7"/>
                <w:szCs w:val="17"/>
              </w:rPr>
              <w:t xml:space="preserve">#</w:t>
            </w:r>
          </w:p>
        </w:tc>
        <w:tc>
          <w:tcPr>
            <w:tcW w:type="dxa" w:w="2250"/>
            <w:tcBorders>
              <w:top w:val="single" w:color="B7C2D0" w:sz="4"/>
              <w:left w:val="single" w:color="B7C2D0" w:sz="4"/>
              <w:bottom w:val="single" w:color="B7C2D0" w:sz="4"/>
              <w:right w:val="single" w:color="B7C2D0" w:sz="4"/>
            </w:tcBorders>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7"/>
                <w:szCs w:val="17"/>
              </w:rPr>
              <w:t xml:space="preserve">Input representation</w:t>
            </w:r>
          </w:p>
        </w:tc>
        <w:tc>
          <w:tcPr>
            <w:tcW w:type="dxa" w:w="1250"/>
            <w:tcBorders>
              <w:top w:val="single" w:color="B7C2D0" w:sz="4"/>
              <w:left w:val="single" w:color="B7C2D0" w:sz="4"/>
              <w:bottom w:val="single" w:color="B7C2D0" w:sz="4"/>
              <w:right w:val="single" w:color="B7C2D0" w:sz="4"/>
            </w:tcBorders>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7"/>
                <w:szCs w:val="17"/>
              </w:rPr>
              <w:t xml:space="preserve">Window</w:t>
            </w:r>
          </w:p>
        </w:tc>
        <w:tc>
          <w:tcPr>
            <w:tcW w:type="dxa" w:w="2250"/>
            <w:tcBorders>
              <w:top w:val="single" w:color="B7C2D0" w:sz="4"/>
              <w:left w:val="single" w:color="B7C2D0" w:sz="4"/>
              <w:bottom w:val="single" w:color="B7C2D0" w:sz="4"/>
              <w:right w:val="single" w:color="B7C2D0" w:sz="4"/>
            </w:tcBorders>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7"/>
                <w:szCs w:val="17"/>
              </w:rPr>
              <w:t xml:space="preserve">Model</w:t>
            </w:r>
          </w:p>
        </w:tc>
        <w:tc>
          <w:tcPr>
            <w:tcW w:type="dxa" w:w="2014"/>
            <w:tcBorders>
              <w:top w:val="single" w:color="B7C2D0" w:sz="4"/>
              <w:left w:val="single" w:color="B7C2D0" w:sz="4"/>
              <w:bottom w:val="single" w:color="B7C2D0" w:sz="4"/>
              <w:right w:val="single" w:color="B7C2D0" w:sz="4"/>
            </w:tcBorders>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7"/>
                <w:szCs w:val="17"/>
              </w:rPr>
              <w:t xml:space="preserve">Validation</w:t>
            </w:r>
          </w:p>
        </w:tc>
        <w:tc>
          <w:tcPr>
            <w:tcW w:type="dxa" w:w="2100"/>
            <w:tcBorders>
              <w:top w:val="single" w:color="B7C2D0" w:sz="4"/>
              <w:left w:val="single" w:color="B7C2D0" w:sz="4"/>
              <w:bottom w:val="single" w:color="B7C2D0" w:sz="4"/>
              <w:right w:val="single" w:color="B7C2D0" w:sz="4"/>
            </w:tcBorders>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7"/>
                <w:szCs w:val="17"/>
              </w:rPr>
              <w:t xml:space="preserve">Best reported result</w:t>
            </w:r>
          </w:p>
        </w:tc>
      </w:tr>
      <w:tr>
        <w:trPr>
          <w:cantSplit/>
        </w:trPr>
        <w:tc>
          <w:tcPr>
            <w:tcW w:type="dxa" w:w="360"/>
            <w:tcBorders>
              <w:top w:val="single" w:color="B7C2D0" w:sz="4"/>
              <w:left w:val="single" w:color="B7C2D0" w:sz="4"/>
              <w:bottom w:val="single" w:color="B7C2D0" w:sz="4"/>
              <w:right w:val="single" w:color="B7C2D0" w:sz="4"/>
            </w:tcBorders>
            <w:tcMar>
              <w:top w:type="dxa" w:w="60"/>
              <w:left w:type="dxa" w:w="90"/>
              <w:bottom w:type="dxa" w:w="60"/>
              <w:right w:type="dxa" w:w="90"/>
            </w:tcMar>
          </w:tcPr>
          <w:p>
            <w:pPr>
              <w:spacing w:after="0" w:line="252"/>
            </w:pPr>
            <w:r>
              <w:rPr>
                <w:rFonts w:ascii="Calibri" w:cs="Calibri" w:eastAsia="Calibri" w:hAnsi="Calibri"/>
                <w:sz w:val="17"/>
                <w:szCs w:val="17"/>
              </w:rPr>
              <w:t xml:space="preserve">1</w:t>
            </w:r>
          </w:p>
        </w:tc>
        <w:tc>
          <w:tcPr>
            <w:tcW w:type="dxa" w:w="2250"/>
            <w:tcBorders>
              <w:top w:val="single" w:color="B7C2D0" w:sz="4"/>
              <w:left w:val="single" w:color="B7C2D0" w:sz="4"/>
              <w:bottom w:val="single" w:color="B7C2D0" w:sz="4"/>
              <w:right w:val="single" w:color="B7C2D0" w:sz="4"/>
            </w:tcBorders>
            <w:tcMar>
              <w:top w:type="dxa" w:w="60"/>
              <w:left w:type="dxa" w:w="90"/>
              <w:bottom w:type="dxa" w:w="60"/>
              <w:right w:type="dxa" w:w="90"/>
            </w:tcMar>
          </w:tcPr>
          <w:p>
            <w:pPr>
              <w:spacing w:after="0" w:line="252"/>
            </w:pPr>
            <w:r>
              <w:rPr>
                <w:rFonts w:ascii="Calibri" w:cs="Calibri" w:eastAsia="Calibri" w:hAnsi="Calibri"/>
                <w:sz w:val="17"/>
                <w:szCs w:val="17"/>
              </w:rPr>
              <w:t xml:space="preserve">38 handcrafted time and frequency features per channel, 195 in total, reduced by mRMR and forward selection</w:t>
            </w:r>
          </w:p>
        </w:tc>
        <w:tc>
          <w:tcPr>
            <w:tcW w:type="dxa" w:w="1250"/>
            <w:tcBorders>
              <w:top w:val="single" w:color="B7C2D0" w:sz="4"/>
              <w:left w:val="single" w:color="B7C2D0" w:sz="4"/>
              <w:bottom w:val="single" w:color="B7C2D0" w:sz="4"/>
              <w:right w:val="single" w:color="B7C2D0" w:sz="4"/>
            </w:tcBorders>
            <w:tcMar>
              <w:top w:type="dxa" w:w="60"/>
              <w:left w:type="dxa" w:w="90"/>
              <w:bottom w:type="dxa" w:w="60"/>
              <w:right w:type="dxa" w:w="90"/>
            </w:tcMar>
          </w:tcPr>
          <w:p>
            <w:pPr>
              <w:spacing w:after="0" w:line="252"/>
            </w:pPr>
            <w:r>
              <w:rPr>
                <w:rFonts w:ascii="Calibri" w:cs="Calibri" w:eastAsia="Calibri" w:hAnsi="Calibri"/>
                <w:sz w:val="17"/>
                <w:szCs w:val="17"/>
              </w:rPr>
              <w:t xml:space="preserve">10 s, non overlapping</w:t>
            </w:r>
          </w:p>
        </w:tc>
        <w:tc>
          <w:tcPr>
            <w:tcW w:type="dxa" w:w="2250"/>
            <w:tcBorders>
              <w:top w:val="single" w:color="B7C2D0" w:sz="4"/>
              <w:left w:val="single" w:color="B7C2D0" w:sz="4"/>
              <w:bottom w:val="single" w:color="B7C2D0" w:sz="4"/>
              <w:right w:val="single" w:color="B7C2D0" w:sz="4"/>
            </w:tcBorders>
            <w:tcMar>
              <w:top w:type="dxa" w:w="60"/>
              <w:left w:type="dxa" w:w="90"/>
              <w:bottom w:type="dxa" w:w="60"/>
              <w:right w:type="dxa" w:w="90"/>
            </w:tcMar>
          </w:tcPr>
          <w:p>
            <w:pPr>
              <w:spacing w:after="0" w:line="252"/>
            </w:pPr>
            <w:r>
              <w:rPr>
                <w:rFonts w:ascii="Calibri" w:cs="Calibri" w:eastAsia="Calibri" w:hAnsi="Calibri"/>
                <w:sz w:val="17"/>
                <w:szCs w:val="17"/>
              </w:rPr>
              <w:t xml:space="preserve">Two stage linear SVM, gated by flex sensor amplitude</w:t>
            </w:r>
          </w:p>
        </w:tc>
        <w:tc>
          <w:tcPr>
            <w:tcW w:type="dxa" w:w="2014"/>
            <w:tcBorders>
              <w:top w:val="single" w:color="B7C2D0" w:sz="4"/>
              <w:left w:val="single" w:color="B7C2D0" w:sz="4"/>
              <w:bottom w:val="single" w:color="B7C2D0" w:sz="4"/>
              <w:right w:val="single" w:color="B7C2D0" w:sz="4"/>
            </w:tcBorders>
            <w:tcMar>
              <w:top w:type="dxa" w:w="60"/>
              <w:left w:type="dxa" w:w="90"/>
              <w:bottom w:type="dxa" w:w="60"/>
              <w:right w:type="dxa" w:w="90"/>
            </w:tcMar>
          </w:tcPr>
          <w:p>
            <w:pPr>
              <w:spacing w:after="0" w:line="252"/>
            </w:pPr>
            <w:r>
              <w:rPr>
                <w:rFonts w:ascii="Calibri" w:cs="Calibri" w:eastAsia="Calibri" w:hAnsi="Calibri"/>
                <w:sz w:val="17"/>
                <w:szCs w:val="17"/>
              </w:rPr>
              <w:t xml:space="preserve">Leave one subject out, 30 folds</w:t>
            </w:r>
          </w:p>
        </w:tc>
        <w:tc>
          <w:tcPr>
            <w:tcW w:type="dxa" w:w="2100"/>
            <w:tcBorders>
              <w:top w:val="single" w:color="B7C2D0" w:sz="4"/>
              <w:left w:val="single" w:color="B7C2D0" w:sz="4"/>
              <w:bottom w:val="single" w:color="B7C2D0" w:sz="4"/>
              <w:right w:val="single" w:color="B7C2D0" w:sz="4"/>
            </w:tcBorders>
            <w:tcMar>
              <w:top w:type="dxa" w:w="60"/>
              <w:left w:type="dxa" w:w="90"/>
              <w:bottom w:type="dxa" w:w="60"/>
              <w:right w:type="dxa" w:w="90"/>
            </w:tcMar>
          </w:tcPr>
          <w:p>
            <w:pPr>
              <w:spacing w:after="0" w:line="252"/>
            </w:pPr>
            <w:r>
              <w:rPr>
                <w:rFonts w:ascii="Calibri" w:cs="Calibri" w:eastAsia="Calibri" w:hAnsi="Calibri"/>
                <w:sz w:val="17"/>
                <w:szCs w:val="17"/>
              </w:rPr>
              <w:t xml:space="preserve">F1 0.818 (SD 0.101) on laboratory meals</w:t>
            </w:r>
          </w:p>
        </w:tc>
      </w:tr>
      <w:tr>
        <w:trPr>
          <w:cantSplit/>
        </w:trPr>
        <w:tc>
          <w:tcPr>
            <w:tcW w:type="dxa" w:w="360"/>
            <w:tcBorders>
              <w:top w:val="single" w:color="B7C2D0" w:sz="4"/>
              <w:left w:val="single" w:color="B7C2D0" w:sz="4"/>
              <w:bottom w:val="single" w:color="B7C2D0" w:sz="4"/>
              <w:right w:val="single" w:color="B7C2D0" w:sz="4"/>
            </w:tcBorders>
            <w:shd w:fill="F7F9FC" w:color="auto" w:val="clear"/>
            <w:tcMar>
              <w:top w:type="dxa" w:w="60"/>
              <w:left w:type="dxa" w:w="90"/>
              <w:bottom w:type="dxa" w:w="60"/>
              <w:right w:type="dxa" w:w="90"/>
            </w:tcMar>
          </w:tcPr>
          <w:p>
            <w:pPr>
              <w:spacing w:after="0" w:line="252"/>
            </w:pPr>
            <w:r>
              <w:rPr>
                <w:rFonts w:ascii="Calibri" w:cs="Calibri" w:eastAsia="Calibri" w:hAnsi="Calibri"/>
                <w:sz w:val="17"/>
                <w:szCs w:val="17"/>
              </w:rPr>
              <w:t xml:space="preserve">2</w:t>
            </w:r>
          </w:p>
        </w:tc>
        <w:tc>
          <w:tcPr>
            <w:tcW w:type="dxa" w:w="2250"/>
            <w:tcBorders>
              <w:top w:val="single" w:color="B7C2D0" w:sz="4"/>
              <w:left w:val="single" w:color="B7C2D0" w:sz="4"/>
              <w:bottom w:val="single" w:color="B7C2D0" w:sz="4"/>
              <w:right w:val="single" w:color="B7C2D0" w:sz="4"/>
            </w:tcBorders>
            <w:shd w:fill="F7F9FC" w:color="auto" w:val="clear"/>
            <w:tcMar>
              <w:top w:type="dxa" w:w="60"/>
              <w:left w:type="dxa" w:w="90"/>
              <w:bottom w:type="dxa" w:w="60"/>
              <w:right w:type="dxa" w:w="90"/>
            </w:tcMar>
          </w:tcPr>
          <w:p>
            <w:pPr>
              <w:spacing w:after="0" w:line="252"/>
            </w:pPr>
            <w:r>
              <w:rPr>
                <w:rFonts w:ascii="Calibri" w:cs="Calibri" w:eastAsia="Calibri" w:hAnsi="Calibri"/>
                <w:sz w:val="17"/>
                <w:szCs w:val="17"/>
              </w:rPr>
              <w:t xml:space="preserve">Raw 4 channel time series, three accelerometer axes and optical</w:t>
            </w:r>
          </w:p>
        </w:tc>
        <w:tc>
          <w:tcPr>
            <w:tcW w:type="dxa" w:w="1250"/>
            <w:tcBorders>
              <w:top w:val="single" w:color="B7C2D0" w:sz="4"/>
              <w:left w:val="single" w:color="B7C2D0" w:sz="4"/>
              <w:bottom w:val="single" w:color="B7C2D0" w:sz="4"/>
              <w:right w:val="single" w:color="B7C2D0" w:sz="4"/>
            </w:tcBorders>
            <w:shd w:fill="F7F9FC" w:color="auto" w:val="clear"/>
            <w:tcMar>
              <w:top w:type="dxa" w:w="60"/>
              <w:left w:type="dxa" w:w="90"/>
              <w:bottom w:type="dxa" w:w="60"/>
              <w:right w:type="dxa" w:w="90"/>
            </w:tcMar>
          </w:tcPr>
          <w:p>
            <w:pPr>
              <w:spacing w:after="0" w:line="252"/>
            </w:pPr>
            <w:r>
              <w:rPr>
                <w:rFonts w:ascii="Calibri" w:cs="Calibri" w:eastAsia="Calibri" w:hAnsi="Calibri"/>
                <w:sz w:val="17"/>
                <w:szCs w:val="17"/>
              </w:rPr>
              <w:t xml:space="preserve">8 s</w:t>
            </w:r>
          </w:p>
        </w:tc>
        <w:tc>
          <w:tcPr>
            <w:tcW w:type="dxa" w:w="2250"/>
            <w:tcBorders>
              <w:top w:val="single" w:color="B7C2D0" w:sz="4"/>
              <w:left w:val="single" w:color="B7C2D0" w:sz="4"/>
              <w:bottom w:val="single" w:color="B7C2D0" w:sz="4"/>
              <w:right w:val="single" w:color="B7C2D0" w:sz="4"/>
            </w:tcBorders>
            <w:shd w:fill="F7F9FC" w:color="auto" w:val="clear"/>
            <w:tcMar>
              <w:top w:type="dxa" w:w="60"/>
              <w:left w:type="dxa" w:w="90"/>
              <w:bottom w:type="dxa" w:w="60"/>
              <w:right w:type="dxa" w:w="90"/>
            </w:tcMar>
          </w:tcPr>
          <w:p>
            <w:pPr>
              <w:spacing w:after="0" w:line="252"/>
            </w:pPr>
            <w:r>
              <w:rPr>
                <w:rFonts w:ascii="Calibri" w:cs="Calibri" w:eastAsia="Calibri" w:hAnsi="Calibri"/>
                <w:sz w:val="17"/>
                <w:szCs w:val="17"/>
              </w:rPr>
              <w:t xml:space="preserve">MLP, Time-CNN, FCN, ResNet and Inception compared</w:t>
            </w:r>
          </w:p>
        </w:tc>
        <w:tc>
          <w:tcPr>
            <w:tcW w:type="dxa" w:w="2014"/>
            <w:tcBorders>
              <w:top w:val="single" w:color="B7C2D0" w:sz="4"/>
              <w:left w:val="single" w:color="B7C2D0" w:sz="4"/>
              <w:bottom w:val="single" w:color="B7C2D0" w:sz="4"/>
              <w:right w:val="single" w:color="B7C2D0" w:sz="4"/>
            </w:tcBorders>
            <w:shd w:fill="F7F9FC" w:color="auto" w:val="clear"/>
            <w:tcMar>
              <w:top w:type="dxa" w:w="60"/>
              <w:left w:type="dxa" w:w="90"/>
              <w:bottom w:type="dxa" w:w="60"/>
              <w:right w:type="dxa" w:w="90"/>
            </w:tcMar>
          </w:tcPr>
          <w:p>
            <w:pPr>
              <w:spacing w:after="0" w:line="252"/>
            </w:pPr>
            <w:r>
              <w:rPr>
                <w:rFonts w:ascii="Calibri" w:cs="Calibri" w:eastAsia="Calibri" w:hAnsi="Calibri"/>
                <w:sz w:val="17"/>
                <w:szCs w:val="17"/>
              </w:rPr>
              <w:t xml:space="preserve">Leave one subject out, 17 folds</w:t>
            </w:r>
          </w:p>
        </w:tc>
        <w:tc>
          <w:tcPr>
            <w:tcW w:type="dxa" w:w="2100"/>
            <w:tcBorders>
              <w:top w:val="single" w:color="B7C2D0" w:sz="4"/>
              <w:left w:val="single" w:color="B7C2D0" w:sz="4"/>
              <w:bottom w:val="single" w:color="B7C2D0" w:sz="4"/>
              <w:right w:val="single" w:color="B7C2D0" w:sz="4"/>
            </w:tcBorders>
            <w:shd w:fill="F7F9FC" w:color="auto" w:val="clear"/>
            <w:tcMar>
              <w:top w:type="dxa" w:w="60"/>
              <w:left w:type="dxa" w:w="90"/>
              <w:bottom w:type="dxa" w:w="60"/>
              <w:right w:type="dxa" w:w="90"/>
            </w:tcMar>
          </w:tcPr>
          <w:p>
            <w:pPr>
              <w:spacing w:after="0" w:line="252"/>
            </w:pPr>
            <w:r>
              <w:rPr>
                <w:rFonts w:ascii="Calibri" w:cs="Calibri" w:eastAsia="Calibri" w:hAnsi="Calibri"/>
                <w:sz w:val="17"/>
                <w:szCs w:val="17"/>
              </w:rPr>
              <w:t xml:space="preserve">ResNet F1 0.906, balanced accuracy 0.935</w:t>
            </w:r>
          </w:p>
        </w:tc>
      </w:tr>
      <w:tr>
        <w:trPr>
          <w:cantSplit/>
        </w:trPr>
        <w:tc>
          <w:tcPr>
            <w:tcW w:type="dxa" w:w="360"/>
            <w:tcBorders>
              <w:top w:val="single" w:color="B7C2D0" w:sz="4"/>
              <w:left w:val="single" w:color="B7C2D0" w:sz="4"/>
              <w:bottom w:val="single" w:color="B7C2D0" w:sz="4"/>
              <w:right w:val="single" w:color="B7C2D0" w:sz="4"/>
            </w:tcBorders>
            <w:tcMar>
              <w:top w:type="dxa" w:w="60"/>
              <w:left w:type="dxa" w:w="90"/>
              <w:bottom w:type="dxa" w:w="60"/>
              <w:right w:type="dxa" w:w="90"/>
            </w:tcMar>
          </w:tcPr>
          <w:p>
            <w:pPr>
              <w:spacing w:after="0" w:line="252"/>
            </w:pPr>
            <w:r>
              <w:rPr>
                <w:rFonts w:ascii="Calibri" w:cs="Calibri" w:eastAsia="Calibri" w:hAnsi="Calibri"/>
                <w:sz w:val="17"/>
                <w:szCs w:val="17"/>
              </w:rPr>
              <w:t xml:space="preserve">3</w:t>
            </w:r>
          </w:p>
        </w:tc>
        <w:tc>
          <w:tcPr>
            <w:tcW w:type="dxa" w:w="2250"/>
            <w:tcBorders>
              <w:top w:val="single" w:color="B7C2D0" w:sz="4"/>
              <w:left w:val="single" w:color="B7C2D0" w:sz="4"/>
              <w:bottom w:val="single" w:color="B7C2D0" w:sz="4"/>
              <w:right w:val="single" w:color="B7C2D0" w:sz="4"/>
            </w:tcBorders>
            <w:tcMar>
              <w:top w:type="dxa" w:w="60"/>
              <w:left w:type="dxa" w:w="90"/>
              <w:bottom w:type="dxa" w:w="60"/>
              <w:right w:type="dxa" w:w="90"/>
            </w:tcMar>
          </w:tcPr>
          <w:p>
            <w:pPr>
              <w:spacing w:after="0" w:line="252"/>
            </w:pPr>
            <w:r>
              <w:rPr>
                <w:rFonts w:ascii="Calibri" w:cs="Calibri" w:eastAsia="Calibri" w:hAnsi="Calibri"/>
                <w:sz w:val="17"/>
                <w:szCs w:val="17"/>
              </w:rPr>
              <w:t xml:space="preserve">Continuous wavelet scalogram of the three accelerometer axes, resized to a 192 by 192 image</w:t>
            </w:r>
          </w:p>
        </w:tc>
        <w:tc>
          <w:tcPr>
            <w:tcW w:type="dxa" w:w="1250"/>
            <w:tcBorders>
              <w:top w:val="single" w:color="B7C2D0" w:sz="4"/>
              <w:left w:val="single" w:color="B7C2D0" w:sz="4"/>
              <w:bottom w:val="single" w:color="B7C2D0" w:sz="4"/>
              <w:right w:val="single" w:color="B7C2D0" w:sz="4"/>
            </w:tcBorders>
            <w:tcMar>
              <w:top w:type="dxa" w:w="60"/>
              <w:left w:type="dxa" w:w="90"/>
              <w:bottom w:type="dxa" w:w="60"/>
              <w:right w:type="dxa" w:w="90"/>
            </w:tcMar>
          </w:tcPr>
          <w:p>
            <w:pPr>
              <w:spacing w:after="0" w:line="252"/>
            </w:pPr>
            <w:r>
              <w:rPr>
                <w:rFonts w:ascii="Calibri" w:cs="Calibri" w:eastAsia="Calibri" w:hAnsi="Calibri"/>
                <w:sz w:val="17"/>
                <w:szCs w:val="17"/>
              </w:rPr>
              <w:t xml:space="preserve">15 s</w:t>
            </w:r>
          </w:p>
        </w:tc>
        <w:tc>
          <w:tcPr>
            <w:tcW w:type="dxa" w:w="2250"/>
            <w:tcBorders>
              <w:top w:val="single" w:color="B7C2D0" w:sz="4"/>
              <w:left w:val="single" w:color="B7C2D0" w:sz="4"/>
              <w:bottom w:val="single" w:color="B7C2D0" w:sz="4"/>
              <w:right w:val="single" w:color="B7C2D0" w:sz="4"/>
            </w:tcBorders>
            <w:tcMar>
              <w:top w:type="dxa" w:w="60"/>
              <w:left w:type="dxa" w:w="90"/>
              <w:bottom w:type="dxa" w:w="60"/>
              <w:right w:type="dxa" w:w="90"/>
            </w:tcMar>
          </w:tcPr>
          <w:p>
            <w:pPr>
              <w:spacing w:after="0" w:line="252"/>
            </w:pPr>
            <w:r>
              <w:rPr>
                <w:rFonts w:ascii="Calibri" w:cs="Calibri" w:eastAsia="Calibri" w:hAnsi="Calibri"/>
                <w:sz w:val="17"/>
                <w:szCs w:val="17"/>
              </w:rPr>
              <w:t xml:space="preserve">2D CNN, then a random forest that fuses sensor and image scores</w:t>
            </w:r>
          </w:p>
        </w:tc>
        <w:tc>
          <w:tcPr>
            <w:tcW w:type="dxa" w:w="2014"/>
            <w:tcBorders>
              <w:top w:val="single" w:color="B7C2D0" w:sz="4"/>
              <w:left w:val="single" w:color="B7C2D0" w:sz="4"/>
              <w:bottom w:val="single" w:color="B7C2D0" w:sz="4"/>
              <w:right w:val="single" w:color="B7C2D0" w:sz="4"/>
            </w:tcBorders>
            <w:tcMar>
              <w:top w:type="dxa" w:w="60"/>
              <w:left w:type="dxa" w:w="90"/>
              <w:bottom w:type="dxa" w:w="60"/>
              <w:right w:type="dxa" w:w="90"/>
            </w:tcMar>
          </w:tcPr>
          <w:p>
            <w:pPr>
              <w:spacing w:after="0" w:line="252"/>
            </w:pPr>
            <w:r>
              <w:rPr>
                <w:rFonts w:ascii="Calibri" w:cs="Calibri" w:eastAsia="Calibri" w:hAnsi="Calibri"/>
                <w:sz w:val="17"/>
                <w:szCs w:val="17"/>
              </w:rPr>
              <w:t xml:space="preserve">Leave one subject out for the sensor model. Random holdout to select the fusion model</w:t>
            </w:r>
          </w:p>
        </w:tc>
        <w:tc>
          <w:tcPr>
            <w:tcW w:type="dxa" w:w="2100"/>
            <w:tcBorders>
              <w:top w:val="single" w:color="B7C2D0" w:sz="4"/>
              <w:left w:val="single" w:color="B7C2D0" w:sz="4"/>
              <w:bottom w:val="single" w:color="B7C2D0" w:sz="4"/>
              <w:right w:val="single" w:color="B7C2D0" w:sz="4"/>
            </w:tcBorders>
            <w:tcMar>
              <w:top w:type="dxa" w:w="60"/>
              <w:left w:type="dxa" w:w="90"/>
              <w:bottom w:type="dxa" w:w="60"/>
              <w:right w:type="dxa" w:w="90"/>
            </w:tcMar>
          </w:tcPr>
          <w:p>
            <w:pPr>
              <w:spacing w:after="0" w:line="252"/>
            </w:pPr>
            <w:r>
              <w:rPr>
                <w:rFonts w:ascii="Calibri" w:cs="Calibri" w:eastAsia="Calibri" w:hAnsi="Calibri"/>
                <w:sz w:val="17"/>
                <w:szCs w:val="17"/>
              </w:rPr>
              <w:t xml:space="preserve">Sensor only F1 0.776. Episode level fusion F1 0.808</w:t>
            </w:r>
          </w:p>
        </w:tc>
      </w:tr>
      <w:tr>
        <w:trPr>
          <w:cantSplit/>
        </w:trPr>
        <w:tc>
          <w:tcPr>
            <w:tcW w:type="dxa" w:w="360"/>
            <w:tcBorders>
              <w:top w:val="single" w:color="B7C2D0" w:sz="4"/>
              <w:left w:val="single" w:color="B7C2D0" w:sz="4"/>
              <w:bottom w:val="single" w:color="B7C2D0" w:sz="4"/>
              <w:right w:val="single" w:color="B7C2D0" w:sz="4"/>
            </w:tcBorders>
            <w:shd w:fill="F7F9FC" w:color="auto" w:val="clear"/>
            <w:tcMar>
              <w:top w:type="dxa" w:w="60"/>
              <w:left w:type="dxa" w:w="90"/>
              <w:bottom w:type="dxa" w:w="60"/>
              <w:right w:type="dxa" w:w="90"/>
            </w:tcMar>
          </w:tcPr>
          <w:p>
            <w:pPr>
              <w:spacing w:after="0" w:line="252"/>
            </w:pPr>
            <w:r>
              <w:rPr>
                <w:rFonts w:ascii="Calibri" w:cs="Calibri" w:eastAsia="Calibri" w:hAnsi="Calibri"/>
                <w:sz w:val="17"/>
                <w:szCs w:val="17"/>
              </w:rPr>
              <w:t xml:space="preserve">4</w:t>
            </w:r>
          </w:p>
        </w:tc>
        <w:tc>
          <w:tcPr>
            <w:tcW w:type="dxa" w:w="2250"/>
            <w:tcBorders>
              <w:top w:val="single" w:color="B7C2D0" w:sz="4"/>
              <w:left w:val="single" w:color="B7C2D0" w:sz="4"/>
              <w:bottom w:val="single" w:color="B7C2D0" w:sz="4"/>
              <w:right w:val="single" w:color="B7C2D0" w:sz="4"/>
            </w:tcBorders>
            <w:shd w:fill="F7F9FC" w:color="auto" w:val="clear"/>
            <w:tcMar>
              <w:top w:type="dxa" w:w="60"/>
              <w:left w:type="dxa" w:w="90"/>
              <w:bottom w:type="dxa" w:w="60"/>
              <w:right w:type="dxa" w:w="90"/>
            </w:tcMar>
          </w:tcPr>
          <w:p>
            <w:pPr>
              <w:spacing w:after="0" w:line="252"/>
            </w:pPr>
            <w:r>
              <w:rPr>
                <w:rFonts w:ascii="Calibri" w:cs="Calibri" w:eastAsia="Calibri" w:hAnsi="Calibri"/>
                <w:sz w:val="17"/>
                <w:szCs w:val="17"/>
              </w:rPr>
              <w:t xml:space="preserve">Raw inertial signals for bites. Audio signal with learned features for chewing</w:t>
            </w:r>
          </w:p>
        </w:tc>
        <w:tc>
          <w:tcPr>
            <w:tcW w:type="dxa" w:w="1250"/>
            <w:tcBorders>
              <w:top w:val="single" w:color="B7C2D0" w:sz="4"/>
              <w:left w:val="single" w:color="B7C2D0" w:sz="4"/>
              <w:bottom w:val="single" w:color="B7C2D0" w:sz="4"/>
              <w:right w:val="single" w:color="B7C2D0" w:sz="4"/>
            </w:tcBorders>
            <w:shd w:fill="F7F9FC" w:color="auto" w:val="clear"/>
            <w:tcMar>
              <w:top w:type="dxa" w:w="60"/>
              <w:left w:type="dxa" w:w="90"/>
              <w:bottom w:type="dxa" w:w="60"/>
              <w:right w:type="dxa" w:w="90"/>
            </w:tcMar>
          </w:tcPr>
          <w:p>
            <w:pPr>
              <w:spacing w:after="0" w:line="252"/>
            </w:pPr>
            <w:r>
              <w:rPr>
                <w:rFonts w:ascii="Calibri" w:cs="Calibri" w:eastAsia="Calibri" w:hAnsi="Calibri"/>
                <w:sz w:val="17"/>
                <w:szCs w:val="17"/>
              </w:rPr>
              <w:t xml:space="preserve">5 s</w:t>
            </w:r>
          </w:p>
        </w:tc>
        <w:tc>
          <w:tcPr>
            <w:tcW w:type="dxa" w:w="2250"/>
            <w:tcBorders>
              <w:top w:val="single" w:color="B7C2D0" w:sz="4"/>
              <w:left w:val="single" w:color="B7C2D0" w:sz="4"/>
              <w:bottom w:val="single" w:color="B7C2D0" w:sz="4"/>
              <w:right w:val="single" w:color="B7C2D0" w:sz="4"/>
            </w:tcBorders>
            <w:shd w:fill="F7F9FC" w:color="auto" w:val="clear"/>
            <w:tcMar>
              <w:top w:type="dxa" w:w="60"/>
              <w:left w:type="dxa" w:w="90"/>
              <w:bottom w:type="dxa" w:w="60"/>
              <w:right w:type="dxa" w:w="90"/>
            </w:tcMar>
          </w:tcPr>
          <w:p>
            <w:pPr>
              <w:spacing w:after="0" w:line="252"/>
            </w:pPr>
            <w:r>
              <w:rPr>
                <w:rFonts w:ascii="Calibri" w:cs="Calibri" w:eastAsia="Calibri" w:hAnsi="Calibri"/>
                <w:sz w:val="17"/>
                <w:szCs w:val="17"/>
              </w:rPr>
              <w:t xml:space="preserve">CNN followed by LSTM, trained end to end. Audio CNN, also with self supervised pretraining</w:t>
            </w:r>
          </w:p>
        </w:tc>
        <w:tc>
          <w:tcPr>
            <w:tcW w:type="dxa" w:w="2014"/>
            <w:tcBorders>
              <w:top w:val="single" w:color="B7C2D0" w:sz="4"/>
              <w:left w:val="single" w:color="B7C2D0" w:sz="4"/>
              <w:bottom w:val="single" w:color="B7C2D0" w:sz="4"/>
              <w:right w:val="single" w:color="B7C2D0" w:sz="4"/>
            </w:tcBorders>
            <w:shd w:fill="F7F9FC" w:color="auto" w:val="clear"/>
            <w:tcMar>
              <w:top w:type="dxa" w:w="60"/>
              <w:left w:type="dxa" w:w="90"/>
              <w:bottom w:type="dxa" w:w="60"/>
              <w:right w:type="dxa" w:w="90"/>
            </w:tcMar>
          </w:tcPr>
          <w:p>
            <w:pPr>
              <w:spacing w:after="0" w:line="252"/>
            </w:pPr>
            <w:r>
              <w:rPr>
                <w:rFonts w:ascii="Calibri" w:cs="Calibri" w:eastAsia="Calibri" w:hAnsi="Calibri"/>
                <w:sz w:val="17"/>
                <w:szCs w:val="17"/>
              </w:rPr>
              <w:t xml:space="preserve">Leave one subject out</w:t>
            </w:r>
          </w:p>
        </w:tc>
        <w:tc>
          <w:tcPr>
            <w:tcW w:type="dxa" w:w="2100"/>
            <w:tcBorders>
              <w:top w:val="single" w:color="B7C2D0" w:sz="4"/>
              <w:left w:val="single" w:color="B7C2D0" w:sz="4"/>
              <w:bottom w:val="single" w:color="B7C2D0" w:sz="4"/>
              <w:right w:val="single" w:color="B7C2D0" w:sz="4"/>
            </w:tcBorders>
            <w:shd w:fill="F7F9FC" w:color="auto" w:val="clear"/>
            <w:tcMar>
              <w:top w:type="dxa" w:w="60"/>
              <w:left w:type="dxa" w:w="90"/>
              <w:bottom w:type="dxa" w:w="60"/>
              <w:right w:type="dxa" w:w="90"/>
            </w:tcMar>
          </w:tcPr>
          <w:p>
            <w:pPr>
              <w:spacing w:after="0" w:line="252"/>
            </w:pPr>
            <w:r>
              <w:rPr>
                <w:rFonts w:ascii="Calibri" w:cs="Calibri" w:eastAsia="Calibri" w:hAnsi="Calibri"/>
                <w:sz w:val="17"/>
                <w:szCs w:val="17"/>
              </w:rPr>
              <w:t xml:space="preserve">Bite F1 0.923. Chewing F1 0.908 supervised and 0.86 self supervised</w:t>
            </w:r>
          </w:p>
        </w:tc>
      </w:tr>
      <w:tr>
        <w:trPr>
          <w:cantSplit/>
        </w:trPr>
        <w:tc>
          <w:tcPr>
            <w:tcW w:type="dxa" w:w="360"/>
            <w:tcBorders>
              <w:top w:val="single" w:color="B7C2D0" w:sz="4"/>
              <w:left w:val="single" w:color="B7C2D0" w:sz="4"/>
              <w:bottom w:val="single" w:color="B7C2D0" w:sz="4"/>
              <w:right w:val="single" w:color="B7C2D0" w:sz="4"/>
            </w:tcBorders>
            <w:tcMar>
              <w:top w:type="dxa" w:w="60"/>
              <w:left w:type="dxa" w:w="90"/>
              <w:bottom w:type="dxa" w:w="60"/>
              <w:right w:type="dxa" w:w="90"/>
            </w:tcMar>
          </w:tcPr>
          <w:p>
            <w:pPr>
              <w:spacing w:after="0" w:line="252"/>
            </w:pPr>
            <w:r>
              <w:rPr>
                <w:rFonts w:ascii="Calibri" w:cs="Calibri" w:eastAsia="Calibri" w:hAnsi="Calibri"/>
                <w:sz w:val="17"/>
                <w:szCs w:val="17"/>
              </w:rPr>
              <w:t xml:space="preserve">5</w:t>
            </w:r>
          </w:p>
        </w:tc>
        <w:tc>
          <w:tcPr>
            <w:tcW w:type="dxa" w:w="2250"/>
            <w:tcBorders>
              <w:top w:val="single" w:color="B7C2D0" w:sz="4"/>
              <w:left w:val="single" w:color="B7C2D0" w:sz="4"/>
              <w:bottom w:val="single" w:color="B7C2D0" w:sz="4"/>
              <w:right w:val="single" w:color="B7C2D0" w:sz="4"/>
            </w:tcBorders>
            <w:tcMar>
              <w:top w:type="dxa" w:w="60"/>
              <w:left w:type="dxa" w:w="90"/>
              <w:bottom w:type="dxa" w:w="60"/>
              <w:right w:type="dxa" w:w="90"/>
            </w:tcMar>
          </w:tcPr>
          <w:p>
            <w:pPr>
              <w:spacing w:after="0" w:line="252"/>
            </w:pPr>
            <w:r>
              <w:rPr>
                <w:rFonts w:ascii="Calibri" w:cs="Calibri" w:eastAsia="Calibri" w:hAnsi="Calibri"/>
                <w:sz w:val="17"/>
                <w:szCs w:val="17"/>
              </w:rPr>
              <w:t xml:space="preserve">Mostly handcrafted features</w:t>
            </w:r>
          </w:p>
        </w:tc>
        <w:tc>
          <w:tcPr>
            <w:tcW w:type="dxa" w:w="1250"/>
            <w:tcBorders>
              <w:top w:val="single" w:color="B7C2D0" w:sz="4"/>
              <w:left w:val="single" w:color="B7C2D0" w:sz="4"/>
              <w:bottom w:val="single" w:color="B7C2D0" w:sz="4"/>
              <w:right w:val="single" w:color="B7C2D0" w:sz="4"/>
            </w:tcBorders>
            <w:tcMar>
              <w:top w:type="dxa" w:w="60"/>
              <w:left w:type="dxa" w:w="90"/>
              <w:bottom w:type="dxa" w:w="60"/>
              <w:right w:type="dxa" w:w="90"/>
            </w:tcMar>
          </w:tcPr>
          <w:p>
            <w:pPr>
              <w:spacing w:after="0" w:line="252"/>
            </w:pPr>
            <w:r>
              <w:rPr>
                <w:rFonts w:ascii="Calibri" w:cs="Calibri" w:eastAsia="Calibri" w:hAnsi="Calibri"/>
                <w:sz w:val="17"/>
                <w:szCs w:val="17"/>
              </w:rPr>
              <w:t xml:space="preserve">Varies</w:t>
            </w:r>
          </w:p>
        </w:tc>
        <w:tc>
          <w:tcPr>
            <w:tcW w:type="dxa" w:w="2250"/>
            <w:tcBorders>
              <w:top w:val="single" w:color="B7C2D0" w:sz="4"/>
              <w:left w:val="single" w:color="B7C2D0" w:sz="4"/>
              <w:bottom w:val="single" w:color="B7C2D0" w:sz="4"/>
              <w:right w:val="single" w:color="B7C2D0" w:sz="4"/>
            </w:tcBorders>
            <w:tcMar>
              <w:top w:type="dxa" w:w="60"/>
              <w:left w:type="dxa" w:w="90"/>
              <w:bottom w:type="dxa" w:w="60"/>
              <w:right w:type="dxa" w:w="90"/>
            </w:tcMar>
          </w:tcPr>
          <w:p>
            <w:pPr>
              <w:spacing w:after="0" w:line="252"/>
            </w:pPr>
            <w:r>
              <w:rPr>
                <w:rFonts w:ascii="Calibri" w:cs="Calibri" w:eastAsia="Calibri" w:hAnsi="Calibri"/>
                <w:sz w:val="17"/>
                <w:szCs w:val="17"/>
              </w:rPr>
              <w:t xml:space="preserve">Mostly SVM and random forest, some CNN and LSTM</w:t>
            </w:r>
          </w:p>
        </w:tc>
        <w:tc>
          <w:tcPr>
            <w:tcW w:type="dxa" w:w="2014"/>
            <w:tcBorders>
              <w:top w:val="single" w:color="B7C2D0" w:sz="4"/>
              <w:left w:val="single" w:color="B7C2D0" w:sz="4"/>
              <w:bottom w:val="single" w:color="B7C2D0" w:sz="4"/>
              <w:right w:val="single" w:color="B7C2D0" w:sz="4"/>
            </w:tcBorders>
            <w:tcMar>
              <w:top w:type="dxa" w:w="60"/>
              <w:left w:type="dxa" w:w="90"/>
              <w:bottom w:type="dxa" w:w="60"/>
              <w:right w:type="dxa" w:w="90"/>
            </w:tcMar>
          </w:tcPr>
          <w:p>
            <w:pPr>
              <w:spacing w:after="0" w:line="252"/>
            </w:pPr>
            <w:r>
              <w:rPr>
                <w:rFonts w:ascii="Calibri" w:cs="Calibri" w:eastAsia="Calibri" w:hAnsi="Calibri"/>
                <w:sz w:val="17"/>
                <w:szCs w:val="17"/>
              </w:rPr>
              <w:t xml:space="preserve">Varies</w:t>
            </w:r>
          </w:p>
        </w:tc>
        <w:tc>
          <w:tcPr>
            <w:tcW w:type="dxa" w:w="2100"/>
            <w:tcBorders>
              <w:top w:val="single" w:color="B7C2D0" w:sz="4"/>
              <w:left w:val="single" w:color="B7C2D0" w:sz="4"/>
              <w:bottom w:val="single" w:color="B7C2D0" w:sz="4"/>
              <w:right w:val="single" w:color="B7C2D0" w:sz="4"/>
            </w:tcBorders>
            <w:tcMar>
              <w:top w:type="dxa" w:w="60"/>
              <w:left w:type="dxa" w:w="90"/>
              <w:bottom w:type="dxa" w:w="60"/>
              <w:right w:type="dxa" w:w="90"/>
            </w:tcMar>
          </w:tcPr>
          <w:p>
            <w:pPr>
              <w:spacing w:after="0" w:line="252"/>
            </w:pPr>
            <w:r>
              <w:rPr>
                <w:rFonts w:ascii="Calibri" w:cs="Calibri" w:eastAsia="Calibri" w:hAnsi="Calibri"/>
                <w:sz w:val="17"/>
                <w:szCs w:val="17"/>
              </w:rPr>
              <w:t xml:space="preserve">Not applicable</w:t>
            </w:r>
          </w:p>
        </w:tc>
      </w:tr>
      <w:tr>
        <w:trPr>
          <w:cantSplit/>
        </w:trPr>
        <w:tc>
          <w:tcPr>
            <w:tcW w:type="dxa" w:w="360"/>
            <w:tcBorders>
              <w:top w:val="single" w:color="B7C2D0" w:sz="4"/>
              <w:left w:val="single" w:color="B7C2D0" w:sz="4"/>
              <w:bottom w:val="single" w:color="B7C2D0" w:sz="4"/>
              <w:right w:val="single" w:color="B7C2D0" w:sz="4"/>
            </w:tcBorders>
            <w:shd w:fill="F7F9FC" w:color="auto" w:val="clear"/>
            <w:tcMar>
              <w:top w:type="dxa" w:w="60"/>
              <w:left w:type="dxa" w:w="90"/>
              <w:bottom w:type="dxa" w:w="60"/>
              <w:right w:type="dxa" w:w="90"/>
            </w:tcMar>
          </w:tcPr>
          <w:p>
            <w:pPr>
              <w:spacing w:after="0" w:line="252"/>
            </w:pPr>
            <w:r>
              <w:rPr>
                <w:rFonts w:ascii="Calibri" w:cs="Calibri" w:eastAsia="Calibri" w:hAnsi="Calibri"/>
                <w:sz w:val="17"/>
                <w:szCs w:val="17"/>
              </w:rPr>
              <w:t xml:space="preserve">6</w:t>
            </w:r>
          </w:p>
        </w:tc>
        <w:tc>
          <w:tcPr>
            <w:tcW w:type="dxa" w:w="2250"/>
            <w:tcBorders>
              <w:top w:val="single" w:color="B7C2D0" w:sz="4"/>
              <w:left w:val="single" w:color="B7C2D0" w:sz="4"/>
              <w:bottom w:val="single" w:color="B7C2D0" w:sz="4"/>
              <w:right w:val="single" w:color="B7C2D0" w:sz="4"/>
            </w:tcBorders>
            <w:shd w:fill="F7F9FC" w:color="auto" w:val="clear"/>
            <w:tcMar>
              <w:top w:type="dxa" w:w="60"/>
              <w:left w:type="dxa" w:w="90"/>
              <w:bottom w:type="dxa" w:w="60"/>
              <w:right w:type="dxa" w:w="90"/>
            </w:tcMar>
          </w:tcPr>
          <w:p>
            <w:pPr>
              <w:spacing w:after="0" w:line="252"/>
            </w:pPr>
            <w:r>
              <w:rPr>
                <w:rFonts w:ascii="Calibri" w:cs="Calibri" w:eastAsia="Calibri" w:hAnsi="Calibri"/>
                <w:sz w:val="17"/>
                <w:szCs w:val="17"/>
              </w:rPr>
              <w:t xml:space="preserve">Raw waveform, with an internal FFT step that selects dominant periods</w:t>
            </w:r>
          </w:p>
        </w:tc>
        <w:tc>
          <w:tcPr>
            <w:tcW w:type="dxa" w:w="1250"/>
            <w:tcBorders>
              <w:top w:val="single" w:color="B7C2D0" w:sz="4"/>
              <w:left w:val="single" w:color="B7C2D0" w:sz="4"/>
              <w:bottom w:val="single" w:color="B7C2D0" w:sz="4"/>
              <w:right w:val="single" w:color="B7C2D0" w:sz="4"/>
            </w:tcBorders>
            <w:shd w:fill="F7F9FC" w:color="auto" w:val="clear"/>
            <w:tcMar>
              <w:top w:type="dxa" w:w="60"/>
              <w:left w:type="dxa" w:w="90"/>
              <w:bottom w:type="dxa" w:w="60"/>
              <w:right w:type="dxa" w:w="90"/>
            </w:tcMar>
          </w:tcPr>
          <w:p>
            <w:pPr>
              <w:spacing w:after="0" w:line="252"/>
            </w:pPr>
            <w:r>
              <w:rPr>
                <w:rFonts w:ascii="Calibri" w:cs="Calibri" w:eastAsia="Calibri" w:hAnsi="Calibri"/>
                <w:sz w:val="17"/>
                <w:szCs w:val="17"/>
              </w:rPr>
              <w:t xml:space="preserve">3,000 samples</w:t>
            </w:r>
          </w:p>
        </w:tc>
        <w:tc>
          <w:tcPr>
            <w:tcW w:type="dxa" w:w="2250"/>
            <w:tcBorders>
              <w:top w:val="single" w:color="B7C2D0" w:sz="4"/>
              <w:left w:val="single" w:color="B7C2D0" w:sz="4"/>
              <w:bottom w:val="single" w:color="B7C2D0" w:sz="4"/>
              <w:right w:val="single" w:color="B7C2D0" w:sz="4"/>
            </w:tcBorders>
            <w:shd w:fill="F7F9FC" w:color="auto" w:val="clear"/>
            <w:tcMar>
              <w:top w:type="dxa" w:w="60"/>
              <w:left w:type="dxa" w:w="90"/>
              <w:bottom w:type="dxa" w:w="60"/>
              <w:right w:type="dxa" w:w="90"/>
            </w:tcMar>
          </w:tcPr>
          <w:p>
            <w:pPr>
              <w:spacing w:after="0" w:line="252"/>
            </w:pPr>
            <w:r>
              <w:rPr>
                <w:rFonts w:ascii="Calibri" w:cs="Calibri" w:eastAsia="Calibri" w:hAnsi="Calibri"/>
                <w:sz w:val="17"/>
                <w:szCs w:val="17"/>
              </w:rPr>
              <w:t xml:space="preserve">Windowed multi scale transformer with squeeze and excitation gating</w:t>
            </w:r>
          </w:p>
        </w:tc>
        <w:tc>
          <w:tcPr>
            <w:tcW w:type="dxa" w:w="2014"/>
            <w:tcBorders>
              <w:top w:val="single" w:color="B7C2D0" w:sz="4"/>
              <w:left w:val="single" w:color="B7C2D0" w:sz="4"/>
              <w:bottom w:val="single" w:color="B7C2D0" w:sz="4"/>
              <w:right w:val="single" w:color="B7C2D0" w:sz="4"/>
            </w:tcBorders>
            <w:shd w:fill="F7F9FC" w:color="auto" w:val="clear"/>
            <w:tcMar>
              <w:top w:type="dxa" w:w="60"/>
              <w:left w:type="dxa" w:w="90"/>
              <w:bottom w:type="dxa" w:w="60"/>
              <w:right w:type="dxa" w:w="90"/>
            </w:tcMar>
          </w:tcPr>
          <w:p>
            <w:pPr>
              <w:spacing w:after="0" w:line="252"/>
            </w:pPr>
            <w:r>
              <w:rPr>
                <w:rFonts w:ascii="Calibri" w:cs="Calibri" w:eastAsia="Calibri" w:hAnsi="Calibri"/>
                <w:sz w:val="17"/>
                <w:szCs w:val="17"/>
              </w:rPr>
              <w:t xml:space="preserve">Random 60, 20, 20 split</w:t>
            </w:r>
          </w:p>
        </w:tc>
        <w:tc>
          <w:tcPr>
            <w:tcW w:type="dxa" w:w="2100"/>
            <w:tcBorders>
              <w:top w:val="single" w:color="B7C2D0" w:sz="4"/>
              <w:left w:val="single" w:color="B7C2D0" w:sz="4"/>
              <w:bottom w:val="single" w:color="B7C2D0" w:sz="4"/>
              <w:right w:val="single" w:color="B7C2D0" w:sz="4"/>
            </w:tcBorders>
            <w:shd w:fill="F7F9FC" w:color="auto" w:val="clear"/>
            <w:tcMar>
              <w:top w:type="dxa" w:w="60"/>
              <w:left w:type="dxa" w:w="90"/>
              <w:bottom w:type="dxa" w:w="60"/>
              <w:right w:type="dxa" w:w="90"/>
            </w:tcMar>
          </w:tcPr>
          <w:p>
            <w:pPr>
              <w:spacing w:after="0" w:line="252"/>
            </w:pPr>
            <w:r>
              <w:rPr>
                <w:rFonts w:ascii="Calibri" w:cs="Calibri" w:eastAsia="Calibri" w:hAnsi="Calibri"/>
                <w:sz w:val="17"/>
                <w:szCs w:val="17"/>
              </w:rPr>
              <w:t xml:space="preserve">Accuracy 0.950 over all noise levels</w:t>
            </w:r>
          </w:p>
        </w:tc>
      </w:tr>
      <w:tr>
        <w:trPr>
          <w:cantSplit/>
        </w:trPr>
        <w:tc>
          <w:tcPr>
            <w:tcW w:type="dxa" w:w="360"/>
            <w:tcBorders>
              <w:top w:val="single" w:color="B7C2D0" w:sz="4"/>
              <w:left w:val="single" w:color="B7C2D0" w:sz="4"/>
              <w:bottom w:val="single" w:color="B7C2D0" w:sz="4"/>
              <w:right w:val="single" w:color="B7C2D0" w:sz="4"/>
            </w:tcBorders>
            <w:tcMar>
              <w:top w:type="dxa" w:w="60"/>
              <w:left w:type="dxa" w:w="90"/>
              <w:bottom w:type="dxa" w:w="60"/>
              <w:right w:type="dxa" w:w="90"/>
            </w:tcMar>
          </w:tcPr>
          <w:p>
            <w:pPr>
              <w:spacing w:after="0" w:line="252"/>
            </w:pPr>
            <w:r>
              <w:rPr>
                <w:rFonts w:ascii="Calibri" w:cs="Calibri" w:eastAsia="Calibri" w:hAnsi="Calibri"/>
                <w:sz w:val="17"/>
                <w:szCs w:val="17"/>
              </w:rPr>
              <w:t xml:space="preserve">7</w:t>
            </w:r>
          </w:p>
        </w:tc>
        <w:tc>
          <w:tcPr>
            <w:tcW w:type="dxa" w:w="2250"/>
            <w:tcBorders>
              <w:top w:val="single" w:color="B7C2D0" w:sz="4"/>
              <w:left w:val="single" w:color="B7C2D0" w:sz="4"/>
              <w:bottom w:val="single" w:color="B7C2D0" w:sz="4"/>
              <w:right w:val="single" w:color="B7C2D0" w:sz="4"/>
            </w:tcBorders>
            <w:tcMar>
              <w:top w:type="dxa" w:w="60"/>
              <w:left w:type="dxa" w:w="90"/>
              <w:bottom w:type="dxa" w:w="60"/>
              <w:right w:type="dxa" w:w="90"/>
            </w:tcMar>
          </w:tcPr>
          <w:p>
            <w:pPr>
              <w:spacing w:after="0" w:line="252"/>
            </w:pPr>
            <w:r>
              <w:rPr>
                <w:rFonts w:ascii="Calibri" w:cs="Calibri" w:eastAsia="Calibri" w:hAnsi="Calibri"/>
                <w:sz w:val="17"/>
                <w:szCs w:val="17"/>
              </w:rPr>
              <w:t xml:space="preserve">Single beats, min max scaled, with PCA and correlation based selection</w:t>
            </w:r>
          </w:p>
        </w:tc>
        <w:tc>
          <w:tcPr>
            <w:tcW w:type="dxa" w:w="1250"/>
            <w:tcBorders>
              <w:top w:val="single" w:color="B7C2D0" w:sz="4"/>
              <w:left w:val="single" w:color="B7C2D0" w:sz="4"/>
              <w:bottom w:val="single" w:color="B7C2D0" w:sz="4"/>
              <w:right w:val="single" w:color="B7C2D0" w:sz="4"/>
            </w:tcBorders>
            <w:tcMar>
              <w:top w:type="dxa" w:w="60"/>
              <w:left w:type="dxa" w:w="90"/>
              <w:bottom w:type="dxa" w:w="60"/>
              <w:right w:type="dxa" w:w="90"/>
            </w:tcMar>
          </w:tcPr>
          <w:p>
            <w:pPr>
              <w:spacing w:after="0" w:line="252"/>
            </w:pPr>
            <w:r>
              <w:rPr>
                <w:rFonts w:ascii="Calibri" w:cs="Calibri" w:eastAsia="Calibri" w:hAnsi="Calibri"/>
                <w:sz w:val="17"/>
                <w:szCs w:val="17"/>
              </w:rPr>
              <w:t xml:space="preserve">One beat</w:t>
            </w:r>
          </w:p>
        </w:tc>
        <w:tc>
          <w:tcPr>
            <w:tcW w:type="dxa" w:w="2250"/>
            <w:tcBorders>
              <w:top w:val="single" w:color="B7C2D0" w:sz="4"/>
              <w:left w:val="single" w:color="B7C2D0" w:sz="4"/>
              <w:bottom w:val="single" w:color="B7C2D0" w:sz="4"/>
              <w:right w:val="single" w:color="B7C2D0" w:sz="4"/>
            </w:tcBorders>
            <w:tcMar>
              <w:top w:type="dxa" w:w="60"/>
              <w:left w:type="dxa" w:w="90"/>
              <w:bottom w:type="dxa" w:w="60"/>
              <w:right w:type="dxa" w:w="90"/>
            </w:tcMar>
          </w:tcPr>
          <w:p>
            <w:pPr>
              <w:spacing w:after="0" w:line="252"/>
            </w:pPr>
            <w:r>
              <w:rPr>
                <w:rFonts w:ascii="Calibri" w:cs="Calibri" w:eastAsia="Calibri" w:hAnsi="Calibri"/>
                <w:sz w:val="17"/>
                <w:szCs w:val="17"/>
              </w:rPr>
              <w:t xml:space="preserve">Transformer encoder with four attention heads</w:t>
            </w:r>
          </w:p>
        </w:tc>
        <w:tc>
          <w:tcPr>
            <w:tcW w:type="dxa" w:w="2014"/>
            <w:tcBorders>
              <w:top w:val="single" w:color="B7C2D0" w:sz="4"/>
              <w:left w:val="single" w:color="B7C2D0" w:sz="4"/>
              <w:bottom w:val="single" w:color="B7C2D0" w:sz="4"/>
              <w:right w:val="single" w:color="B7C2D0" w:sz="4"/>
            </w:tcBorders>
            <w:tcMar>
              <w:top w:type="dxa" w:w="60"/>
              <w:left w:type="dxa" w:w="90"/>
              <w:bottom w:type="dxa" w:w="60"/>
              <w:right w:type="dxa" w:w="90"/>
            </w:tcMar>
          </w:tcPr>
          <w:p>
            <w:pPr>
              <w:spacing w:after="0" w:line="252"/>
            </w:pPr>
            <w:r>
              <w:rPr>
                <w:rFonts w:ascii="Calibri" w:cs="Calibri" w:eastAsia="Calibri" w:hAnsi="Calibri"/>
                <w:sz w:val="17"/>
                <w:szCs w:val="17"/>
              </w:rPr>
              <w:t xml:space="preserve">Sample level train and test split. Patient separation not reported</w:t>
            </w:r>
          </w:p>
        </w:tc>
        <w:tc>
          <w:tcPr>
            <w:tcW w:type="dxa" w:w="2100"/>
            <w:tcBorders>
              <w:top w:val="single" w:color="B7C2D0" w:sz="4"/>
              <w:left w:val="single" w:color="B7C2D0" w:sz="4"/>
              <w:bottom w:val="single" w:color="B7C2D0" w:sz="4"/>
              <w:right w:val="single" w:color="B7C2D0" w:sz="4"/>
            </w:tcBorders>
            <w:tcMar>
              <w:top w:type="dxa" w:w="60"/>
              <w:left w:type="dxa" w:w="90"/>
              <w:bottom w:type="dxa" w:w="60"/>
              <w:right w:type="dxa" w:w="90"/>
            </w:tcMar>
          </w:tcPr>
          <w:p>
            <w:pPr>
              <w:spacing w:after="0" w:line="252"/>
            </w:pPr>
            <w:r>
              <w:rPr>
                <w:rFonts w:ascii="Calibri" w:cs="Calibri" w:eastAsia="Calibri" w:hAnsi="Calibri"/>
                <w:sz w:val="17"/>
                <w:szCs w:val="17"/>
              </w:rPr>
              <w:t xml:space="preserve">Accuracy 0.971, F1 0.95</w:t>
            </w:r>
          </w:p>
        </w:tc>
      </w:tr>
      <w:tr>
        <w:trPr>
          <w:cantSplit/>
        </w:trPr>
        <w:tc>
          <w:tcPr>
            <w:tcW w:type="dxa" w:w="360"/>
            <w:tcBorders>
              <w:top w:val="single" w:color="B7C2D0" w:sz="4"/>
              <w:left w:val="single" w:color="B7C2D0" w:sz="4"/>
              <w:bottom w:val="single" w:color="B7C2D0" w:sz="4"/>
              <w:right w:val="single" w:color="B7C2D0" w:sz="4"/>
            </w:tcBorders>
            <w:shd w:fill="E8EEF7" w:color="auto" w:val="clear"/>
            <w:tcMar>
              <w:top w:type="dxa" w:w="60"/>
              <w:left w:type="dxa" w:w="90"/>
              <w:bottom w:type="dxa" w:w="60"/>
              <w:right w:type="dxa" w:w="90"/>
            </w:tcMar>
          </w:tcPr>
          <w:p>
            <w:pPr>
              <w:spacing w:after="0" w:line="252"/>
            </w:pPr>
            <w:r>
              <w:rPr>
                <w:rFonts w:ascii="Calibri" w:cs="Calibri" w:eastAsia="Calibri" w:hAnsi="Calibri"/>
                <w:b/>
                <w:bCs/>
                <w:sz w:val="17"/>
                <w:szCs w:val="17"/>
              </w:rPr>
              <w:t xml:space="preserve">B</w:t>
            </w:r>
          </w:p>
        </w:tc>
        <w:tc>
          <w:tcPr>
            <w:tcW w:type="dxa" w:w="2250"/>
            <w:tcBorders>
              <w:top w:val="single" w:color="B7C2D0" w:sz="4"/>
              <w:left w:val="single" w:color="B7C2D0" w:sz="4"/>
              <w:bottom w:val="single" w:color="B7C2D0" w:sz="4"/>
              <w:right w:val="single" w:color="B7C2D0" w:sz="4"/>
            </w:tcBorders>
            <w:shd w:fill="E8EEF7" w:color="auto" w:val="clear"/>
            <w:tcMar>
              <w:top w:type="dxa" w:w="60"/>
              <w:left w:type="dxa" w:w="90"/>
              <w:bottom w:type="dxa" w:w="60"/>
              <w:right w:type="dxa" w:w="90"/>
            </w:tcMar>
          </w:tcPr>
          <w:p>
            <w:pPr>
              <w:spacing w:after="0" w:line="252"/>
            </w:pPr>
            <w:r>
              <w:rPr>
                <w:rFonts w:ascii="Calibri" w:cs="Calibri" w:eastAsia="Calibri" w:hAnsi="Calibri"/>
                <w:sz w:val="17"/>
                <w:szCs w:val="17"/>
              </w:rPr>
              <w:t xml:space="preserve">Band passed 4 channel time series, DC removed, missing samples excluded then zeroed</w:t>
            </w:r>
          </w:p>
        </w:tc>
        <w:tc>
          <w:tcPr>
            <w:tcW w:type="dxa" w:w="1250"/>
            <w:tcBorders>
              <w:top w:val="single" w:color="B7C2D0" w:sz="4"/>
              <w:left w:val="single" w:color="B7C2D0" w:sz="4"/>
              <w:bottom w:val="single" w:color="B7C2D0" w:sz="4"/>
              <w:right w:val="single" w:color="B7C2D0" w:sz="4"/>
            </w:tcBorders>
            <w:shd w:fill="E8EEF7" w:color="auto" w:val="clear"/>
            <w:tcMar>
              <w:top w:type="dxa" w:w="60"/>
              <w:left w:type="dxa" w:w="90"/>
              <w:bottom w:type="dxa" w:w="60"/>
              <w:right w:type="dxa" w:w="90"/>
            </w:tcMar>
          </w:tcPr>
          <w:p>
            <w:pPr>
              <w:spacing w:after="0" w:line="252"/>
            </w:pPr>
            <w:r>
              <w:rPr>
                <w:rFonts w:ascii="Calibri" w:cs="Calibri" w:eastAsia="Calibri" w:hAnsi="Calibri"/>
                <w:sz w:val="17"/>
                <w:szCs w:val="17"/>
              </w:rPr>
              <w:t xml:space="preserve">8 s, with a 4 s hop at training time only</w:t>
            </w:r>
          </w:p>
        </w:tc>
        <w:tc>
          <w:tcPr>
            <w:tcW w:type="dxa" w:w="2250"/>
            <w:tcBorders>
              <w:top w:val="single" w:color="B7C2D0" w:sz="4"/>
              <w:left w:val="single" w:color="B7C2D0" w:sz="4"/>
              <w:bottom w:val="single" w:color="B7C2D0" w:sz="4"/>
              <w:right w:val="single" w:color="B7C2D0" w:sz="4"/>
            </w:tcBorders>
            <w:shd w:fill="E8EEF7" w:color="auto" w:val="clear"/>
            <w:tcMar>
              <w:top w:type="dxa" w:w="60"/>
              <w:left w:type="dxa" w:w="90"/>
              <w:bottom w:type="dxa" w:w="60"/>
              <w:right w:type="dxa" w:w="90"/>
            </w:tcMar>
          </w:tcPr>
          <w:p>
            <w:pPr>
              <w:spacing w:after="0" w:line="252"/>
            </w:pPr>
            <w:r>
              <w:rPr>
                <w:rFonts w:ascii="Calibri" w:cs="Calibri" w:eastAsia="Calibri" w:hAnsi="Calibri"/>
                <w:sz w:val="17"/>
                <w:szCs w:val="17"/>
              </w:rPr>
              <w:t xml:space="preserve">1D CNN with squeeze and excitation, attention pooling over time and an auxiliary chew count head</w:t>
            </w:r>
          </w:p>
        </w:tc>
        <w:tc>
          <w:tcPr>
            <w:tcW w:type="dxa" w:w="2014"/>
            <w:tcBorders>
              <w:top w:val="single" w:color="B7C2D0" w:sz="4"/>
              <w:left w:val="single" w:color="B7C2D0" w:sz="4"/>
              <w:bottom w:val="single" w:color="B7C2D0" w:sz="4"/>
              <w:right w:val="single" w:color="B7C2D0" w:sz="4"/>
            </w:tcBorders>
            <w:shd w:fill="E8EEF7" w:color="auto" w:val="clear"/>
            <w:tcMar>
              <w:top w:type="dxa" w:w="60"/>
              <w:left w:type="dxa" w:w="90"/>
              <w:bottom w:type="dxa" w:w="60"/>
              <w:right w:type="dxa" w:w="90"/>
            </w:tcMar>
          </w:tcPr>
          <w:p>
            <w:pPr>
              <w:spacing w:after="0" w:line="252"/>
            </w:pPr>
            <w:r>
              <w:rPr>
                <w:rFonts w:ascii="Calibri" w:cs="Calibri" w:eastAsia="Calibri" w:hAnsi="Calibri"/>
                <w:sz w:val="17"/>
                <w:szCs w:val="17"/>
              </w:rPr>
              <w:t xml:space="preserve">Participant level 4 fold CV, threshold set on inner validation participants</w:t>
            </w:r>
          </w:p>
        </w:tc>
        <w:tc>
          <w:tcPr>
            <w:tcW w:type="dxa" w:w="2100"/>
            <w:tcBorders>
              <w:top w:val="single" w:color="B7C2D0" w:sz="4"/>
              <w:left w:val="single" w:color="B7C2D0" w:sz="4"/>
              <w:bottom w:val="single" w:color="B7C2D0" w:sz="4"/>
              <w:right w:val="single" w:color="B7C2D0" w:sz="4"/>
            </w:tcBorders>
            <w:shd w:fill="E8EEF7" w:color="auto" w:val="clear"/>
            <w:tcMar>
              <w:top w:type="dxa" w:w="60"/>
              <w:left w:type="dxa" w:w="90"/>
              <w:bottom w:type="dxa" w:w="60"/>
              <w:right w:type="dxa" w:w="90"/>
            </w:tcMar>
          </w:tcPr>
          <w:p>
            <w:pPr>
              <w:spacing w:after="0" w:line="252"/>
            </w:pPr>
            <w:r>
              <w:rPr>
                <w:rFonts w:ascii="Calibri" w:cs="Calibri" w:eastAsia="Calibri" w:hAnsi="Calibri"/>
                <w:sz w:val="17"/>
                <w:szCs w:val="17"/>
              </w:rPr>
              <w:t xml:space="preserve">F1 0.854, balanced accuracy 0.887, precision 0.876</w:t>
            </w:r>
          </w:p>
        </w:tc>
      </w:tr>
    </w:tbl>
    <w:p>
      <w:pPr>
        <w:spacing w:after="200" w:before="60"/>
      </w:pPr>
      <w:r>
        <w:rPr>
          <w:rFonts w:ascii="Calibri" w:cs="Calibri" w:eastAsia="Calibri" w:hAnsi="Calibri"/>
          <w:i/>
          <w:iCs/>
          <w:color w:val="555555"/>
          <w:sz w:val="17"/>
          <w:szCs w:val="17"/>
        </w:rPr>
        <w:t xml:space="preserve">Figures come from different datasets, labels and validation schemes and are not directly comparable. The section on evaluation and comparability discusses this.</w:t>
      </w:r>
    </w:p>
    <w:p>
      <w:pPr>
        <w:pStyle w:val="Heading1"/>
        <w:spacing w:after="120" w:before="300"/>
      </w:pPr>
      <w:r>
        <w:rPr>
          <w:rFonts w:ascii="Calibri" w:cs="Calibri" w:eastAsia="Calibri" w:hAnsi="Calibri"/>
        </w:rPr>
        <w:t xml:space="preserve">Input Representation Across the AIM Line of Work</w:t>
      </w:r>
    </w:p>
    <w:p>
      <w:pPr>
        <w:spacing w:after="140" w:before="120" w:line="276"/>
        <w:jc w:val="left"/>
      </w:pPr>
      <w:r>
        <w:rPr>
          <w:rFonts w:ascii="Calibri" w:cs="Calibri" w:eastAsia="Calibri" w:hAnsi="Calibri"/>
          <w:sz w:val="22"/>
          <w:szCs w:val="22"/>
        </w:rPr>
        <w:t xml:space="preserve">The clearest thread through the AIM papers is the input representation. Table 3 lays out that progression together with the two models I trained on the new database.</w:t>
      </w:r>
    </w:p>
    <w:p>
      <w:pPr>
        <w:keepNext/>
        <w:spacing w:after="80" w:before="160"/>
      </w:pPr>
      <w:r>
        <w:rPr>
          <w:rFonts w:ascii="Calibri" w:cs="Calibri" w:eastAsia="Calibri" w:hAnsi="Calibri"/>
          <w:b/>
          <w:bCs/>
          <w:color w:val="1F3864"/>
          <w:sz w:val="20"/>
          <w:szCs w:val="20"/>
        </w:rPr>
        <w:t xml:space="preserve">Table 3. How the AIM input has been represented over time</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3024"/>
        <w:gridCol w:w="2000"/>
        <w:gridCol w:w="1900"/>
      </w:tblGrid>
      <w:tr>
        <w:trPr>
          <w:tblHeader/>
        </w:trPr>
        <w:tc>
          <w:tcPr>
            <w:tcW w:type="dxa" w:w="800"/>
            <w:tcBorders>
              <w:top w:val="single" w:color="B7C2D0" w:sz="4"/>
              <w:left w:val="single" w:color="B7C2D0" w:sz="4"/>
              <w:bottom w:val="single" w:color="B7C2D0" w:sz="4"/>
              <w:right w:val="single" w:color="B7C2D0" w:sz="4"/>
            </w:tcBorders>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7"/>
                <w:szCs w:val="17"/>
              </w:rPr>
              <w:t xml:space="preserve">Year</w:t>
            </w:r>
          </w:p>
        </w:tc>
        <w:tc>
          <w:tcPr>
            <w:tcW w:type="dxa" w:w="2500"/>
            <w:tcBorders>
              <w:top w:val="single" w:color="B7C2D0" w:sz="4"/>
              <w:left w:val="single" w:color="B7C2D0" w:sz="4"/>
              <w:bottom w:val="single" w:color="B7C2D0" w:sz="4"/>
              <w:right w:val="single" w:color="B7C2D0" w:sz="4"/>
            </w:tcBorders>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7"/>
                <w:szCs w:val="17"/>
              </w:rPr>
              <w:t xml:space="preserve">Work</w:t>
            </w:r>
          </w:p>
        </w:tc>
        <w:tc>
          <w:tcPr>
            <w:tcW w:type="dxa" w:w="3024"/>
            <w:tcBorders>
              <w:top w:val="single" w:color="B7C2D0" w:sz="4"/>
              <w:left w:val="single" w:color="B7C2D0" w:sz="4"/>
              <w:bottom w:val="single" w:color="B7C2D0" w:sz="4"/>
              <w:right w:val="single" w:color="B7C2D0" w:sz="4"/>
            </w:tcBorders>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7"/>
                <w:szCs w:val="17"/>
              </w:rPr>
              <w:t xml:space="preserve">Representation</w:t>
            </w:r>
          </w:p>
        </w:tc>
        <w:tc>
          <w:tcPr>
            <w:tcW w:type="dxa" w:w="2000"/>
            <w:tcBorders>
              <w:top w:val="single" w:color="B7C2D0" w:sz="4"/>
              <w:left w:val="single" w:color="B7C2D0" w:sz="4"/>
              <w:bottom w:val="single" w:color="B7C2D0" w:sz="4"/>
              <w:right w:val="single" w:color="B7C2D0" w:sz="4"/>
            </w:tcBorders>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7"/>
                <w:szCs w:val="17"/>
              </w:rPr>
              <w:t xml:space="preserve">Sensors</w:t>
            </w:r>
          </w:p>
        </w:tc>
        <w:tc>
          <w:tcPr>
            <w:tcW w:type="dxa" w:w="1900"/>
            <w:tcBorders>
              <w:top w:val="single" w:color="B7C2D0" w:sz="4"/>
              <w:left w:val="single" w:color="B7C2D0" w:sz="4"/>
              <w:bottom w:val="single" w:color="B7C2D0" w:sz="4"/>
              <w:right w:val="single" w:color="B7C2D0" w:sz="4"/>
            </w:tcBorders>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7"/>
                <w:szCs w:val="17"/>
              </w:rPr>
              <w:t xml:space="preserve">F1</w:t>
            </w:r>
          </w:p>
        </w:tc>
      </w:tr>
      <w:tr>
        <w:trPr>
          <w:cantSplit/>
        </w:trPr>
        <w:tc>
          <w:tcPr>
            <w:tcW w:type="dxa" w:w="800"/>
            <w:tcBorders>
              <w:top w:val="single" w:color="B7C2D0" w:sz="4"/>
              <w:left w:val="single" w:color="B7C2D0" w:sz="4"/>
              <w:bottom w:val="single" w:color="B7C2D0" w:sz="4"/>
              <w:right w:val="single" w:color="B7C2D0" w:sz="4"/>
            </w:tcBorders>
            <w:tcMar>
              <w:top w:type="dxa" w:w="60"/>
              <w:left w:type="dxa" w:w="90"/>
              <w:bottom w:type="dxa" w:w="60"/>
              <w:right w:type="dxa" w:w="90"/>
            </w:tcMar>
          </w:tcPr>
          <w:p>
            <w:pPr>
              <w:spacing w:after="0" w:line="252"/>
            </w:pPr>
            <w:r>
              <w:rPr>
                <w:rFonts w:ascii="Calibri" w:cs="Calibri" w:eastAsia="Calibri" w:hAnsi="Calibri"/>
                <w:sz w:val="17"/>
                <w:szCs w:val="17"/>
              </w:rPr>
              <w:t xml:space="preserve">2021</w:t>
            </w:r>
          </w:p>
        </w:tc>
        <w:tc>
          <w:tcPr>
            <w:tcW w:type="dxa" w:w="2500"/>
            <w:tcBorders>
              <w:top w:val="single" w:color="B7C2D0" w:sz="4"/>
              <w:left w:val="single" w:color="B7C2D0" w:sz="4"/>
              <w:bottom w:val="single" w:color="B7C2D0" w:sz="4"/>
              <w:right w:val="single" w:color="B7C2D0" w:sz="4"/>
            </w:tcBorders>
            <w:tcMar>
              <w:top w:type="dxa" w:w="60"/>
              <w:left w:type="dxa" w:w="90"/>
              <w:bottom w:type="dxa" w:w="60"/>
              <w:right w:type="dxa" w:w="90"/>
            </w:tcMar>
          </w:tcPr>
          <w:p>
            <w:pPr>
              <w:spacing w:after="0" w:line="252"/>
            </w:pPr>
            <w:r>
              <w:rPr>
                <w:rFonts w:ascii="Calibri" w:cs="Calibri" w:eastAsia="Calibri" w:hAnsi="Calibri"/>
                <w:sz w:val="17"/>
                <w:szCs w:val="17"/>
              </w:rPr>
              <w:t xml:space="preserve">Doulah et al.</w:t>
            </w:r>
          </w:p>
        </w:tc>
        <w:tc>
          <w:tcPr>
            <w:tcW w:type="dxa" w:w="3024"/>
            <w:tcBorders>
              <w:top w:val="single" w:color="B7C2D0" w:sz="4"/>
              <w:left w:val="single" w:color="B7C2D0" w:sz="4"/>
              <w:bottom w:val="single" w:color="B7C2D0" w:sz="4"/>
              <w:right w:val="single" w:color="B7C2D0" w:sz="4"/>
            </w:tcBorders>
            <w:tcMar>
              <w:top w:type="dxa" w:w="60"/>
              <w:left w:type="dxa" w:w="90"/>
              <w:bottom w:type="dxa" w:w="60"/>
              <w:right w:type="dxa" w:w="90"/>
            </w:tcMar>
          </w:tcPr>
          <w:p>
            <w:pPr>
              <w:spacing w:after="0" w:line="252"/>
            </w:pPr>
            <w:r>
              <w:rPr>
                <w:rFonts w:ascii="Calibri" w:cs="Calibri" w:eastAsia="Calibri" w:hAnsi="Calibri"/>
                <w:sz w:val="17"/>
                <w:szCs w:val="17"/>
              </w:rPr>
              <w:t xml:space="preserve">Handcrafted features and SVM</w:t>
            </w:r>
          </w:p>
        </w:tc>
        <w:tc>
          <w:tcPr>
            <w:tcW w:type="dxa" w:w="2000"/>
            <w:tcBorders>
              <w:top w:val="single" w:color="B7C2D0" w:sz="4"/>
              <w:left w:val="single" w:color="B7C2D0" w:sz="4"/>
              <w:bottom w:val="single" w:color="B7C2D0" w:sz="4"/>
              <w:right w:val="single" w:color="B7C2D0" w:sz="4"/>
            </w:tcBorders>
            <w:tcMar>
              <w:top w:type="dxa" w:w="60"/>
              <w:left w:type="dxa" w:w="90"/>
              <w:bottom w:type="dxa" w:w="60"/>
              <w:right w:type="dxa" w:w="90"/>
            </w:tcMar>
          </w:tcPr>
          <w:p>
            <w:pPr>
              <w:spacing w:after="0" w:line="252"/>
            </w:pPr>
            <w:r>
              <w:rPr>
                <w:rFonts w:ascii="Calibri" w:cs="Calibri" w:eastAsia="Calibri" w:hAnsi="Calibri"/>
                <w:sz w:val="17"/>
                <w:szCs w:val="17"/>
              </w:rPr>
              <w:t xml:space="preserve">Accelerometer and flex</w:t>
            </w:r>
          </w:p>
        </w:tc>
        <w:tc>
          <w:tcPr>
            <w:tcW w:type="dxa" w:w="1900"/>
            <w:tcBorders>
              <w:top w:val="single" w:color="B7C2D0" w:sz="4"/>
              <w:left w:val="single" w:color="B7C2D0" w:sz="4"/>
              <w:bottom w:val="single" w:color="B7C2D0" w:sz="4"/>
              <w:right w:val="single" w:color="B7C2D0" w:sz="4"/>
            </w:tcBorders>
            <w:tcMar>
              <w:top w:type="dxa" w:w="60"/>
              <w:left w:type="dxa" w:w="90"/>
              <w:bottom w:type="dxa" w:w="60"/>
              <w:right w:type="dxa" w:w="90"/>
            </w:tcMar>
          </w:tcPr>
          <w:p>
            <w:pPr>
              <w:spacing w:after="0" w:line="252"/>
            </w:pPr>
            <w:r>
              <w:rPr>
                <w:rFonts w:ascii="Calibri" w:cs="Calibri" w:eastAsia="Calibri" w:hAnsi="Calibri"/>
                <w:sz w:val="17"/>
                <w:szCs w:val="17"/>
              </w:rPr>
              <w:t xml:space="preserve">0.818, laboratory meals</w:t>
            </w:r>
          </w:p>
        </w:tc>
      </w:tr>
      <w:tr>
        <w:trPr>
          <w:cantSplit/>
        </w:trPr>
        <w:tc>
          <w:tcPr>
            <w:tcW w:type="dxa" w:w="800"/>
            <w:tcBorders>
              <w:top w:val="single" w:color="B7C2D0" w:sz="4"/>
              <w:left w:val="single" w:color="B7C2D0" w:sz="4"/>
              <w:bottom w:val="single" w:color="B7C2D0" w:sz="4"/>
              <w:right w:val="single" w:color="B7C2D0" w:sz="4"/>
            </w:tcBorders>
            <w:shd w:fill="F7F9FC" w:color="auto" w:val="clear"/>
            <w:tcMar>
              <w:top w:type="dxa" w:w="60"/>
              <w:left w:type="dxa" w:w="90"/>
              <w:bottom w:type="dxa" w:w="60"/>
              <w:right w:type="dxa" w:w="90"/>
            </w:tcMar>
          </w:tcPr>
          <w:p>
            <w:pPr>
              <w:spacing w:after="0" w:line="252"/>
            </w:pPr>
            <w:r>
              <w:rPr>
                <w:rFonts w:ascii="Calibri" w:cs="Calibri" w:eastAsia="Calibri" w:hAnsi="Calibri"/>
                <w:sz w:val="17"/>
                <w:szCs w:val="17"/>
              </w:rPr>
              <w:t xml:space="preserve">2022</w:t>
            </w:r>
          </w:p>
        </w:tc>
        <w:tc>
          <w:tcPr>
            <w:tcW w:type="dxa" w:w="2500"/>
            <w:tcBorders>
              <w:top w:val="single" w:color="B7C2D0" w:sz="4"/>
              <w:left w:val="single" w:color="B7C2D0" w:sz="4"/>
              <w:bottom w:val="single" w:color="B7C2D0" w:sz="4"/>
              <w:right w:val="single" w:color="B7C2D0" w:sz="4"/>
            </w:tcBorders>
            <w:shd w:fill="F7F9FC" w:color="auto" w:val="clear"/>
            <w:tcMar>
              <w:top w:type="dxa" w:w="60"/>
              <w:left w:type="dxa" w:w="90"/>
              <w:bottom w:type="dxa" w:w="60"/>
              <w:right w:type="dxa" w:w="90"/>
            </w:tcMar>
          </w:tcPr>
          <w:p>
            <w:pPr>
              <w:spacing w:after="0" w:line="252"/>
            </w:pPr>
            <w:r>
              <w:rPr>
                <w:rFonts w:ascii="Calibri" w:cs="Calibri" w:eastAsia="Calibri" w:hAnsi="Calibri"/>
                <w:sz w:val="17"/>
                <w:szCs w:val="17"/>
              </w:rPr>
              <w:t xml:space="preserve">Ghosh and Sazonov</w:t>
            </w:r>
          </w:p>
        </w:tc>
        <w:tc>
          <w:tcPr>
            <w:tcW w:type="dxa" w:w="3024"/>
            <w:tcBorders>
              <w:top w:val="single" w:color="B7C2D0" w:sz="4"/>
              <w:left w:val="single" w:color="B7C2D0" w:sz="4"/>
              <w:bottom w:val="single" w:color="B7C2D0" w:sz="4"/>
              <w:right w:val="single" w:color="B7C2D0" w:sz="4"/>
            </w:tcBorders>
            <w:shd w:fill="F7F9FC" w:color="auto" w:val="clear"/>
            <w:tcMar>
              <w:top w:type="dxa" w:w="60"/>
              <w:left w:type="dxa" w:w="90"/>
              <w:bottom w:type="dxa" w:w="60"/>
              <w:right w:type="dxa" w:w="90"/>
            </w:tcMar>
          </w:tcPr>
          <w:p>
            <w:pPr>
              <w:spacing w:after="0" w:line="252"/>
            </w:pPr>
            <w:r>
              <w:rPr>
                <w:rFonts w:ascii="Calibri" w:cs="Calibri" w:eastAsia="Calibri" w:hAnsi="Calibri"/>
                <w:sz w:val="17"/>
                <w:szCs w:val="17"/>
              </w:rPr>
              <w:t xml:space="preserve">Raw time series and ResNet</w:t>
            </w:r>
          </w:p>
        </w:tc>
        <w:tc>
          <w:tcPr>
            <w:tcW w:type="dxa" w:w="2000"/>
            <w:tcBorders>
              <w:top w:val="single" w:color="B7C2D0" w:sz="4"/>
              <w:left w:val="single" w:color="B7C2D0" w:sz="4"/>
              <w:bottom w:val="single" w:color="B7C2D0" w:sz="4"/>
              <w:right w:val="single" w:color="B7C2D0" w:sz="4"/>
            </w:tcBorders>
            <w:shd w:fill="F7F9FC" w:color="auto" w:val="clear"/>
            <w:tcMar>
              <w:top w:type="dxa" w:w="60"/>
              <w:left w:type="dxa" w:w="90"/>
              <w:bottom w:type="dxa" w:w="60"/>
              <w:right w:type="dxa" w:w="90"/>
            </w:tcMar>
          </w:tcPr>
          <w:p>
            <w:pPr>
              <w:spacing w:after="0" w:line="252"/>
            </w:pPr>
            <w:r>
              <w:rPr>
                <w:rFonts w:ascii="Calibri" w:cs="Calibri" w:eastAsia="Calibri" w:hAnsi="Calibri"/>
                <w:sz w:val="17"/>
                <w:szCs w:val="17"/>
              </w:rPr>
              <w:t xml:space="preserve">Accelerometer and optical</w:t>
            </w:r>
          </w:p>
        </w:tc>
        <w:tc>
          <w:tcPr>
            <w:tcW w:type="dxa" w:w="1900"/>
            <w:tcBorders>
              <w:top w:val="single" w:color="B7C2D0" w:sz="4"/>
              <w:left w:val="single" w:color="B7C2D0" w:sz="4"/>
              <w:bottom w:val="single" w:color="B7C2D0" w:sz="4"/>
              <w:right w:val="single" w:color="B7C2D0" w:sz="4"/>
            </w:tcBorders>
            <w:shd w:fill="F7F9FC" w:color="auto" w:val="clear"/>
            <w:tcMar>
              <w:top w:type="dxa" w:w="60"/>
              <w:left w:type="dxa" w:w="90"/>
              <w:bottom w:type="dxa" w:w="60"/>
              <w:right w:type="dxa" w:w="90"/>
            </w:tcMar>
          </w:tcPr>
          <w:p>
            <w:pPr>
              <w:spacing w:after="0" w:line="252"/>
            </w:pPr>
            <w:r>
              <w:rPr>
                <w:rFonts w:ascii="Calibri" w:cs="Calibri" w:eastAsia="Calibri" w:hAnsi="Calibri"/>
                <w:sz w:val="17"/>
                <w:szCs w:val="17"/>
              </w:rPr>
              <w:t xml:space="preserve">0.906, free living</w:t>
            </w:r>
          </w:p>
        </w:tc>
      </w:tr>
      <w:tr>
        <w:trPr>
          <w:cantSplit/>
        </w:trPr>
        <w:tc>
          <w:tcPr>
            <w:tcW w:type="dxa" w:w="800"/>
            <w:tcBorders>
              <w:top w:val="single" w:color="B7C2D0" w:sz="4"/>
              <w:left w:val="single" w:color="B7C2D0" w:sz="4"/>
              <w:bottom w:val="single" w:color="B7C2D0" w:sz="4"/>
              <w:right w:val="single" w:color="B7C2D0" w:sz="4"/>
            </w:tcBorders>
            <w:tcMar>
              <w:top w:type="dxa" w:w="60"/>
              <w:left w:type="dxa" w:w="90"/>
              <w:bottom w:type="dxa" w:w="60"/>
              <w:right w:type="dxa" w:w="90"/>
            </w:tcMar>
          </w:tcPr>
          <w:p>
            <w:pPr>
              <w:spacing w:after="0" w:line="252"/>
            </w:pPr>
            <w:r>
              <w:rPr>
                <w:rFonts w:ascii="Calibri" w:cs="Calibri" w:eastAsia="Calibri" w:hAnsi="Calibri"/>
                <w:sz w:val="17"/>
                <w:szCs w:val="17"/>
              </w:rPr>
              <w:t xml:space="preserve">2024</w:t>
            </w:r>
          </w:p>
        </w:tc>
        <w:tc>
          <w:tcPr>
            <w:tcW w:type="dxa" w:w="2500"/>
            <w:tcBorders>
              <w:top w:val="single" w:color="B7C2D0" w:sz="4"/>
              <w:left w:val="single" w:color="B7C2D0" w:sz="4"/>
              <w:bottom w:val="single" w:color="B7C2D0" w:sz="4"/>
              <w:right w:val="single" w:color="B7C2D0" w:sz="4"/>
            </w:tcBorders>
            <w:tcMar>
              <w:top w:type="dxa" w:w="60"/>
              <w:left w:type="dxa" w:w="90"/>
              <w:bottom w:type="dxa" w:w="60"/>
              <w:right w:type="dxa" w:w="90"/>
            </w:tcMar>
          </w:tcPr>
          <w:p>
            <w:pPr>
              <w:spacing w:after="0" w:line="252"/>
            </w:pPr>
            <w:r>
              <w:rPr>
                <w:rFonts w:ascii="Calibri" w:cs="Calibri" w:eastAsia="Calibri" w:hAnsi="Calibri"/>
                <w:sz w:val="17"/>
                <w:szCs w:val="17"/>
              </w:rPr>
              <w:t xml:space="preserve">Ghosh et al.</w:t>
            </w:r>
          </w:p>
        </w:tc>
        <w:tc>
          <w:tcPr>
            <w:tcW w:type="dxa" w:w="3024"/>
            <w:tcBorders>
              <w:top w:val="single" w:color="B7C2D0" w:sz="4"/>
              <w:left w:val="single" w:color="B7C2D0" w:sz="4"/>
              <w:bottom w:val="single" w:color="B7C2D0" w:sz="4"/>
              <w:right w:val="single" w:color="B7C2D0" w:sz="4"/>
            </w:tcBorders>
            <w:tcMar>
              <w:top w:type="dxa" w:w="60"/>
              <w:left w:type="dxa" w:w="90"/>
              <w:bottom w:type="dxa" w:w="60"/>
              <w:right w:type="dxa" w:w="90"/>
            </w:tcMar>
          </w:tcPr>
          <w:p>
            <w:pPr>
              <w:spacing w:after="0" w:line="252"/>
            </w:pPr>
            <w:r>
              <w:rPr>
                <w:rFonts w:ascii="Calibri" w:cs="Calibri" w:eastAsia="Calibri" w:hAnsi="Calibri"/>
                <w:sz w:val="17"/>
                <w:szCs w:val="17"/>
              </w:rPr>
              <w:t xml:space="preserve">Wavelet scalogram and 2D CNN</w:t>
            </w:r>
          </w:p>
        </w:tc>
        <w:tc>
          <w:tcPr>
            <w:tcW w:type="dxa" w:w="2000"/>
            <w:tcBorders>
              <w:top w:val="single" w:color="B7C2D0" w:sz="4"/>
              <w:left w:val="single" w:color="B7C2D0" w:sz="4"/>
              <w:bottom w:val="single" w:color="B7C2D0" w:sz="4"/>
              <w:right w:val="single" w:color="B7C2D0" w:sz="4"/>
            </w:tcBorders>
            <w:tcMar>
              <w:top w:type="dxa" w:w="60"/>
              <w:left w:type="dxa" w:w="90"/>
              <w:bottom w:type="dxa" w:w="60"/>
              <w:right w:type="dxa" w:w="90"/>
            </w:tcMar>
          </w:tcPr>
          <w:p>
            <w:pPr>
              <w:spacing w:after="0" w:line="252"/>
            </w:pPr>
            <w:r>
              <w:rPr>
                <w:rFonts w:ascii="Calibri" w:cs="Calibri" w:eastAsia="Calibri" w:hAnsi="Calibri"/>
                <w:sz w:val="17"/>
                <w:szCs w:val="17"/>
              </w:rPr>
              <w:t xml:space="preserve">Accelerometer only</w:t>
            </w:r>
          </w:p>
        </w:tc>
        <w:tc>
          <w:tcPr>
            <w:tcW w:type="dxa" w:w="1900"/>
            <w:tcBorders>
              <w:top w:val="single" w:color="B7C2D0" w:sz="4"/>
              <w:left w:val="single" w:color="B7C2D0" w:sz="4"/>
              <w:bottom w:val="single" w:color="B7C2D0" w:sz="4"/>
              <w:right w:val="single" w:color="B7C2D0" w:sz="4"/>
            </w:tcBorders>
            <w:tcMar>
              <w:top w:type="dxa" w:w="60"/>
              <w:left w:type="dxa" w:w="90"/>
              <w:bottom w:type="dxa" w:w="60"/>
              <w:right w:type="dxa" w:w="90"/>
            </w:tcMar>
          </w:tcPr>
          <w:p>
            <w:pPr>
              <w:spacing w:after="0" w:line="252"/>
            </w:pPr>
            <w:r>
              <w:rPr>
                <w:rFonts w:ascii="Calibri" w:cs="Calibri" w:eastAsia="Calibri" w:hAnsi="Calibri"/>
                <w:sz w:val="17"/>
                <w:szCs w:val="17"/>
              </w:rPr>
              <w:t xml:space="preserve">0.776, free living</w:t>
            </w:r>
          </w:p>
        </w:tc>
      </w:tr>
      <w:tr>
        <w:trPr>
          <w:cantSplit/>
        </w:trPr>
        <w:tc>
          <w:tcPr>
            <w:tcW w:type="dxa" w:w="800"/>
            <w:tcBorders>
              <w:top w:val="single" w:color="B7C2D0" w:sz="4"/>
              <w:left w:val="single" w:color="B7C2D0" w:sz="4"/>
              <w:bottom w:val="single" w:color="B7C2D0" w:sz="4"/>
              <w:right w:val="single" w:color="B7C2D0" w:sz="4"/>
            </w:tcBorders>
            <w:shd w:fill="F7F9FC" w:color="auto" w:val="clear"/>
            <w:tcMar>
              <w:top w:type="dxa" w:w="60"/>
              <w:left w:type="dxa" w:w="90"/>
              <w:bottom w:type="dxa" w:w="60"/>
              <w:right w:type="dxa" w:w="90"/>
            </w:tcMar>
          </w:tcPr>
          <w:p>
            <w:pPr>
              <w:spacing w:after="0" w:line="252"/>
            </w:pPr>
            <w:r>
              <w:rPr>
                <w:rFonts w:ascii="Calibri" w:cs="Calibri" w:eastAsia="Calibri" w:hAnsi="Calibri"/>
                <w:sz w:val="17"/>
                <w:szCs w:val="17"/>
              </w:rPr>
              <w:t xml:space="preserve">Prior</w:t>
            </w:r>
          </w:p>
        </w:tc>
        <w:tc>
          <w:tcPr>
            <w:tcW w:type="dxa" w:w="2500"/>
            <w:tcBorders>
              <w:top w:val="single" w:color="B7C2D0" w:sz="4"/>
              <w:left w:val="single" w:color="B7C2D0" w:sz="4"/>
              <w:bottom w:val="single" w:color="B7C2D0" w:sz="4"/>
              <w:right w:val="single" w:color="B7C2D0" w:sz="4"/>
            </w:tcBorders>
            <w:shd w:fill="F7F9FC" w:color="auto" w:val="clear"/>
            <w:tcMar>
              <w:top w:type="dxa" w:w="60"/>
              <w:left w:type="dxa" w:w="90"/>
              <w:bottom w:type="dxa" w:w="60"/>
              <w:right w:type="dxa" w:w="90"/>
            </w:tcMar>
          </w:tcPr>
          <w:p>
            <w:pPr>
              <w:spacing w:after="0" w:line="252"/>
            </w:pPr>
            <w:r>
              <w:rPr>
                <w:rFonts w:ascii="Calibri" w:cs="Calibri" w:eastAsia="Calibri" w:hAnsi="Calibri"/>
                <w:sz w:val="17"/>
                <w:szCs w:val="17"/>
              </w:rPr>
              <w:t xml:space="preserve">Previous in house model, Model A</w:t>
            </w:r>
          </w:p>
        </w:tc>
        <w:tc>
          <w:tcPr>
            <w:tcW w:type="dxa" w:w="3024"/>
            <w:tcBorders>
              <w:top w:val="single" w:color="B7C2D0" w:sz="4"/>
              <w:left w:val="single" w:color="B7C2D0" w:sz="4"/>
              <w:bottom w:val="single" w:color="B7C2D0" w:sz="4"/>
              <w:right w:val="single" w:color="B7C2D0" w:sz="4"/>
            </w:tcBorders>
            <w:shd w:fill="F7F9FC" w:color="auto" w:val="clear"/>
            <w:tcMar>
              <w:top w:type="dxa" w:w="60"/>
              <w:left w:type="dxa" w:w="90"/>
              <w:bottom w:type="dxa" w:w="60"/>
              <w:right w:type="dxa" w:w="90"/>
            </w:tcMar>
          </w:tcPr>
          <w:p>
            <w:pPr>
              <w:spacing w:after="0" w:line="252"/>
            </w:pPr>
            <w:r>
              <w:rPr>
                <w:rFonts w:ascii="Calibri" w:cs="Calibri" w:eastAsia="Calibri" w:hAnsi="Calibri"/>
                <w:sz w:val="17"/>
                <w:szCs w:val="17"/>
              </w:rPr>
              <w:t xml:space="preserve">FFT magnitude spectrum, 513 bins, and 1D CNN over frequency</w:t>
            </w:r>
          </w:p>
        </w:tc>
        <w:tc>
          <w:tcPr>
            <w:tcW w:type="dxa" w:w="2000"/>
            <w:tcBorders>
              <w:top w:val="single" w:color="B7C2D0" w:sz="4"/>
              <w:left w:val="single" w:color="B7C2D0" w:sz="4"/>
              <w:bottom w:val="single" w:color="B7C2D0" w:sz="4"/>
              <w:right w:val="single" w:color="B7C2D0" w:sz="4"/>
            </w:tcBorders>
            <w:shd w:fill="F7F9FC" w:color="auto" w:val="clear"/>
            <w:tcMar>
              <w:top w:type="dxa" w:w="60"/>
              <w:left w:type="dxa" w:w="90"/>
              <w:bottom w:type="dxa" w:w="60"/>
              <w:right w:type="dxa" w:w="90"/>
            </w:tcMar>
          </w:tcPr>
          <w:p>
            <w:pPr>
              <w:spacing w:after="0" w:line="252"/>
            </w:pPr>
            <w:r>
              <w:rPr>
                <w:rFonts w:ascii="Calibri" w:cs="Calibri" w:eastAsia="Calibri" w:hAnsi="Calibri"/>
                <w:sz w:val="17"/>
                <w:szCs w:val="17"/>
              </w:rPr>
              <w:t xml:space="preserve">Accelerometer and optical</w:t>
            </w:r>
          </w:p>
        </w:tc>
        <w:tc>
          <w:tcPr>
            <w:tcW w:type="dxa" w:w="1900"/>
            <w:tcBorders>
              <w:top w:val="single" w:color="B7C2D0" w:sz="4"/>
              <w:left w:val="single" w:color="B7C2D0" w:sz="4"/>
              <w:bottom w:val="single" w:color="B7C2D0" w:sz="4"/>
              <w:right w:val="single" w:color="B7C2D0" w:sz="4"/>
            </w:tcBorders>
            <w:shd w:fill="F7F9FC" w:color="auto" w:val="clear"/>
            <w:tcMar>
              <w:top w:type="dxa" w:w="60"/>
              <w:left w:type="dxa" w:w="90"/>
              <w:bottom w:type="dxa" w:w="60"/>
              <w:right w:type="dxa" w:w="90"/>
            </w:tcMar>
          </w:tcPr>
          <w:p>
            <w:pPr>
              <w:spacing w:after="0" w:line="252"/>
            </w:pPr>
            <w:r>
              <w:rPr>
                <w:rFonts w:ascii="Calibri" w:cs="Calibri" w:eastAsia="Calibri" w:hAnsi="Calibri"/>
                <w:sz w:val="17"/>
                <w:szCs w:val="17"/>
              </w:rPr>
              <w:t xml:space="preserve">0.779, new database</w:t>
            </w:r>
          </w:p>
        </w:tc>
      </w:tr>
      <w:tr>
        <w:trPr>
          <w:cantSplit/>
        </w:trPr>
        <w:tc>
          <w:tcPr>
            <w:tcW w:type="dxa" w:w="800"/>
            <w:tcBorders>
              <w:top w:val="single" w:color="B7C2D0" w:sz="4"/>
              <w:left w:val="single" w:color="B7C2D0" w:sz="4"/>
              <w:bottom w:val="single" w:color="B7C2D0" w:sz="4"/>
              <w:right w:val="single" w:color="B7C2D0" w:sz="4"/>
            </w:tcBorders>
            <w:shd w:fill="E8EEF7" w:color="auto" w:val="clear"/>
            <w:tcMar>
              <w:top w:type="dxa" w:w="60"/>
              <w:left w:type="dxa" w:w="90"/>
              <w:bottom w:type="dxa" w:w="60"/>
              <w:right w:type="dxa" w:w="90"/>
            </w:tcMar>
          </w:tcPr>
          <w:p>
            <w:pPr>
              <w:spacing w:after="0" w:line="252"/>
            </w:pPr>
            <w:r>
              <w:rPr>
                <w:rFonts w:ascii="Calibri" w:cs="Calibri" w:eastAsia="Calibri" w:hAnsi="Calibri"/>
                <w:b/>
                <w:bCs/>
                <w:sz w:val="17"/>
                <w:szCs w:val="17"/>
              </w:rPr>
              <w:t xml:space="preserve">2026</w:t>
            </w:r>
          </w:p>
        </w:tc>
        <w:tc>
          <w:tcPr>
            <w:tcW w:type="dxa" w:w="2500"/>
            <w:tcBorders>
              <w:top w:val="single" w:color="B7C2D0" w:sz="4"/>
              <w:left w:val="single" w:color="B7C2D0" w:sz="4"/>
              <w:bottom w:val="single" w:color="B7C2D0" w:sz="4"/>
              <w:right w:val="single" w:color="B7C2D0" w:sz="4"/>
            </w:tcBorders>
            <w:shd w:fill="E8EEF7" w:color="auto" w:val="clear"/>
            <w:tcMar>
              <w:top w:type="dxa" w:w="60"/>
              <w:left w:type="dxa" w:w="90"/>
              <w:bottom w:type="dxa" w:w="60"/>
              <w:right w:type="dxa" w:w="90"/>
            </w:tcMar>
          </w:tcPr>
          <w:p>
            <w:pPr>
              <w:spacing w:after="0" w:line="252"/>
            </w:pPr>
            <w:r>
              <w:rPr>
                <w:rFonts w:ascii="Calibri" w:cs="Calibri" w:eastAsia="Calibri" w:hAnsi="Calibri"/>
                <w:sz w:val="17"/>
                <w:szCs w:val="17"/>
              </w:rPr>
              <w:t xml:space="preserve">Model B, this project</w:t>
            </w:r>
          </w:p>
        </w:tc>
        <w:tc>
          <w:tcPr>
            <w:tcW w:type="dxa" w:w="3024"/>
            <w:tcBorders>
              <w:top w:val="single" w:color="B7C2D0" w:sz="4"/>
              <w:left w:val="single" w:color="B7C2D0" w:sz="4"/>
              <w:bottom w:val="single" w:color="B7C2D0" w:sz="4"/>
              <w:right w:val="single" w:color="B7C2D0" w:sz="4"/>
            </w:tcBorders>
            <w:shd w:fill="E8EEF7" w:color="auto" w:val="clear"/>
            <w:tcMar>
              <w:top w:type="dxa" w:w="60"/>
              <w:left w:type="dxa" w:w="90"/>
              <w:bottom w:type="dxa" w:w="60"/>
              <w:right w:type="dxa" w:w="90"/>
            </w:tcMar>
          </w:tcPr>
          <w:p>
            <w:pPr>
              <w:spacing w:after="0" w:line="252"/>
            </w:pPr>
            <w:r>
              <w:rPr>
                <w:rFonts w:ascii="Calibri" w:cs="Calibri" w:eastAsia="Calibri" w:hAnsi="Calibri"/>
                <w:sz w:val="17"/>
                <w:szCs w:val="17"/>
              </w:rPr>
              <w:t xml:space="preserve">Band passed time series and 1D CNN with attention</w:t>
            </w:r>
          </w:p>
        </w:tc>
        <w:tc>
          <w:tcPr>
            <w:tcW w:type="dxa" w:w="2000"/>
            <w:tcBorders>
              <w:top w:val="single" w:color="B7C2D0" w:sz="4"/>
              <w:left w:val="single" w:color="B7C2D0" w:sz="4"/>
              <w:bottom w:val="single" w:color="B7C2D0" w:sz="4"/>
              <w:right w:val="single" w:color="B7C2D0" w:sz="4"/>
            </w:tcBorders>
            <w:shd w:fill="E8EEF7" w:color="auto" w:val="clear"/>
            <w:tcMar>
              <w:top w:type="dxa" w:w="60"/>
              <w:left w:type="dxa" w:w="90"/>
              <w:bottom w:type="dxa" w:w="60"/>
              <w:right w:type="dxa" w:w="90"/>
            </w:tcMar>
          </w:tcPr>
          <w:p>
            <w:pPr>
              <w:spacing w:after="0" w:line="252"/>
            </w:pPr>
            <w:r>
              <w:rPr>
                <w:rFonts w:ascii="Calibri" w:cs="Calibri" w:eastAsia="Calibri" w:hAnsi="Calibri"/>
                <w:sz w:val="17"/>
                <w:szCs w:val="17"/>
              </w:rPr>
              <w:t xml:space="preserve">Accelerometer and optical</w:t>
            </w:r>
          </w:p>
        </w:tc>
        <w:tc>
          <w:tcPr>
            <w:tcW w:type="dxa" w:w="1900"/>
            <w:tcBorders>
              <w:top w:val="single" w:color="B7C2D0" w:sz="4"/>
              <w:left w:val="single" w:color="B7C2D0" w:sz="4"/>
              <w:bottom w:val="single" w:color="B7C2D0" w:sz="4"/>
              <w:right w:val="single" w:color="B7C2D0" w:sz="4"/>
            </w:tcBorders>
            <w:shd w:fill="E8EEF7" w:color="auto" w:val="clear"/>
            <w:tcMar>
              <w:top w:type="dxa" w:w="60"/>
              <w:left w:type="dxa" w:w="90"/>
              <w:bottom w:type="dxa" w:w="60"/>
              <w:right w:type="dxa" w:w="90"/>
            </w:tcMar>
          </w:tcPr>
          <w:p>
            <w:pPr>
              <w:spacing w:after="0" w:line="252"/>
            </w:pPr>
            <w:r>
              <w:rPr>
                <w:rFonts w:ascii="Calibri" w:cs="Calibri" w:eastAsia="Calibri" w:hAnsi="Calibri"/>
                <w:sz w:val="17"/>
                <w:szCs w:val="17"/>
              </w:rPr>
              <w:t xml:space="preserve">0.854, new database</w:t>
            </w:r>
          </w:p>
        </w:tc>
      </w:tr>
      <w:tr>
        <w:trPr>
          <w:cantSplit/>
        </w:trPr>
        <w:tc>
          <w:tcPr>
            <w:tcW w:type="dxa" w:w="800"/>
            <w:tcBorders>
              <w:top w:val="single" w:color="B7C2D0" w:sz="4"/>
              <w:left w:val="single" w:color="B7C2D0" w:sz="4"/>
              <w:bottom w:val="single" w:color="B7C2D0" w:sz="4"/>
              <w:right w:val="single" w:color="B7C2D0" w:sz="4"/>
            </w:tcBorders>
            <w:shd w:fill="F7F9FC" w:color="auto" w:val="clear"/>
            <w:tcMar>
              <w:top w:type="dxa" w:w="60"/>
              <w:left w:type="dxa" w:w="90"/>
              <w:bottom w:type="dxa" w:w="60"/>
              <w:right w:type="dxa" w:w="90"/>
            </w:tcMar>
          </w:tcPr>
          <w:p>
            <w:pPr>
              <w:spacing w:after="0" w:line="252"/>
            </w:pPr>
            <w:r>
              <w:rPr>
                <w:rFonts w:ascii="Calibri" w:cs="Calibri" w:eastAsia="Calibri" w:hAnsi="Calibri"/>
                <w:sz w:val="17"/>
                <w:szCs w:val="17"/>
              </w:rPr>
              <w:t xml:space="preserve">2026</w:t>
            </w:r>
          </w:p>
        </w:tc>
        <w:tc>
          <w:tcPr>
            <w:tcW w:type="dxa" w:w="2500"/>
            <w:tcBorders>
              <w:top w:val="single" w:color="B7C2D0" w:sz="4"/>
              <w:left w:val="single" w:color="B7C2D0" w:sz="4"/>
              <w:bottom w:val="single" w:color="B7C2D0" w:sz="4"/>
              <w:right w:val="single" w:color="B7C2D0" w:sz="4"/>
            </w:tcBorders>
            <w:shd w:fill="F7F9FC" w:color="auto" w:val="clear"/>
            <w:tcMar>
              <w:top w:type="dxa" w:w="60"/>
              <w:left w:type="dxa" w:w="90"/>
              <w:bottom w:type="dxa" w:w="60"/>
              <w:right w:type="dxa" w:w="90"/>
            </w:tcMar>
          </w:tcPr>
          <w:p>
            <w:pPr>
              <w:spacing w:after="0" w:line="252"/>
            </w:pPr>
            <w:r>
              <w:rPr>
                <w:rFonts w:ascii="Calibri" w:cs="Calibri" w:eastAsia="Calibri" w:hAnsi="Calibri"/>
                <w:sz w:val="17"/>
                <w:szCs w:val="17"/>
              </w:rPr>
              <w:t xml:space="preserve">Model B architecture with FFT input</w:t>
            </w:r>
          </w:p>
        </w:tc>
        <w:tc>
          <w:tcPr>
            <w:tcW w:type="dxa" w:w="3024"/>
            <w:tcBorders>
              <w:top w:val="single" w:color="B7C2D0" w:sz="4"/>
              <w:left w:val="single" w:color="B7C2D0" w:sz="4"/>
              <w:bottom w:val="single" w:color="B7C2D0" w:sz="4"/>
              <w:right w:val="single" w:color="B7C2D0" w:sz="4"/>
            </w:tcBorders>
            <w:shd w:fill="F7F9FC" w:color="auto" w:val="clear"/>
            <w:tcMar>
              <w:top w:type="dxa" w:w="60"/>
              <w:left w:type="dxa" w:w="90"/>
              <w:bottom w:type="dxa" w:w="60"/>
              <w:right w:type="dxa" w:w="90"/>
            </w:tcMar>
          </w:tcPr>
          <w:p>
            <w:pPr>
              <w:spacing w:after="0" w:line="252"/>
            </w:pPr>
            <w:r>
              <w:rPr>
                <w:rFonts w:ascii="Calibri" w:cs="Calibri" w:eastAsia="Calibri" w:hAnsi="Calibri"/>
                <w:sz w:val="17"/>
                <w:szCs w:val="17"/>
              </w:rPr>
              <w:t xml:space="preserve">FFT magnitude spectrum</w:t>
            </w:r>
          </w:p>
        </w:tc>
        <w:tc>
          <w:tcPr>
            <w:tcW w:type="dxa" w:w="2000"/>
            <w:tcBorders>
              <w:top w:val="single" w:color="B7C2D0" w:sz="4"/>
              <w:left w:val="single" w:color="B7C2D0" w:sz="4"/>
              <w:bottom w:val="single" w:color="B7C2D0" w:sz="4"/>
              <w:right w:val="single" w:color="B7C2D0" w:sz="4"/>
            </w:tcBorders>
            <w:shd w:fill="F7F9FC" w:color="auto" w:val="clear"/>
            <w:tcMar>
              <w:top w:type="dxa" w:w="60"/>
              <w:left w:type="dxa" w:w="90"/>
              <w:bottom w:type="dxa" w:w="60"/>
              <w:right w:type="dxa" w:w="90"/>
            </w:tcMar>
          </w:tcPr>
          <w:p>
            <w:pPr>
              <w:spacing w:after="0" w:line="252"/>
            </w:pPr>
            <w:r>
              <w:rPr>
                <w:rFonts w:ascii="Calibri" w:cs="Calibri" w:eastAsia="Calibri" w:hAnsi="Calibri"/>
                <w:sz w:val="17"/>
                <w:szCs w:val="17"/>
              </w:rPr>
              <w:t xml:space="preserve">Accelerometer and optical</w:t>
            </w:r>
          </w:p>
        </w:tc>
        <w:tc>
          <w:tcPr>
            <w:tcW w:type="dxa" w:w="1900"/>
            <w:tcBorders>
              <w:top w:val="single" w:color="B7C2D0" w:sz="4"/>
              <w:left w:val="single" w:color="B7C2D0" w:sz="4"/>
              <w:bottom w:val="single" w:color="B7C2D0" w:sz="4"/>
              <w:right w:val="single" w:color="B7C2D0" w:sz="4"/>
            </w:tcBorders>
            <w:shd w:fill="F7F9FC" w:color="auto" w:val="clear"/>
            <w:tcMar>
              <w:top w:type="dxa" w:w="60"/>
              <w:left w:type="dxa" w:w="90"/>
              <w:bottom w:type="dxa" w:w="60"/>
              <w:right w:type="dxa" w:w="90"/>
            </w:tcMar>
          </w:tcPr>
          <w:p>
            <w:pPr>
              <w:spacing w:after="0" w:line="252"/>
            </w:pPr>
            <w:r>
              <w:rPr>
                <w:rFonts w:ascii="Calibri" w:cs="Calibri" w:eastAsia="Calibri" w:hAnsi="Calibri"/>
                <w:sz w:val="17"/>
                <w:szCs w:val="17"/>
              </w:rPr>
              <w:t xml:space="preserve">0.767, new database</w:t>
            </w:r>
          </w:p>
        </w:tc>
      </w:tr>
    </w:tbl>
    <w:p>
      <w:pPr>
        <w:spacing w:after="140" w:before="120" w:line="276"/>
        <w:jc w:val="left"/>
      </w:pPr>
      <w:r>
        <w:rPr>
          <w:rFonts w:ascii="Calibri" w:cs="Calibri" w:eastAsia="Calibri" w:hAnsi="Calibri"/>
          <w:sz w:val="22"/>
          <w:szCs w:val="22"/>
        </w:rPr>
        <w:t xml:space="preserve">The lab moved from handcrafted features to raw time series input in 2022, so the magnitude spectrum used by the previous in house model was a step away from established practice rather than the norm. My ablation therefore does not introduce time domain input as a new idea. What it contributes is a </w:t>
      </w:r>
      <w:r>
        <w:rPr>
          <w:rFonts w:ascii="Calibri" w:cs="Calibri" w:eastAsia="Calibri" w:hAnsi="Calibri"/>
          <w:b/>
          <w:bCs/>
          <w:sz w:val="22"/>
          <w:szCs w:val="22"/>
        </w:rPr>
        <w:t xml:space="preserve">controlled measurement</w:t>
      </w:r>
      <w:r>
        <w:rPr>
          <w:rFonts w:ascii="Calibri" w:cs="Calibri" w:eastAsia="Calibri" w:hAnsi="Calibri"/>
          <w:sz w:val="22"/>
          <w:szCs w:val="22"/>
        </w:rPr>
        <w:t xml:space="preserve"> of what the spectrum costs. With the architecture, folds and threshold procedure held fixed, replacing the time series with its magnitude spectrum lowers F1 by 0.087 and precision by 0.180, and it removes any benefit from attention. None of the reviewed papers reports that comparison under matched conditions.</w:t>
      </w:r>
    </w:p>
    <w:p>
      <w:pPr>
        <w:spacing w:after="140" w:before="120" w:line="276"/>
        <w:jc w:val="left"/>
      </w:pPr>
      <w:r>
        <w:rPr>
          <w:rFonts w:ascii="Calibri" w:cs="Calibri" w:eastAsia="Calibri" w:hAnsi="Calibri"/>
          <w:sz w:val="22"/>
          <w:szCs w:val="22"/>
        </w:rPr>
        <w:t xml:space="preserve">The 2024 scalogram result points the same way. A wavelet scalogram keeps time localisation, which a magnitude spectrum discards, but converting it to a resized image and using the accelerometer alone produced a lower F1 than the raw four channel input of 2022.</w:t>
      </w:r>
    </w:p>
    <w:p>
      <w:pPr>
        <w:pStyle w:val="Heading1"/>
        <w:spacing w:after="120" w:before="300"/>
      </w:pPr>
      <w:r>
        <w:rPr>
          <w:rFonts w:ascii="Calibri" w:cs="Calibri" w:eastAsia="Calibri" w:hAnsi="Calibri"/>
        </w:rPr>
        <w:t xml:space="preserve">Model B Components Against Prior Work</w:t>
      </w:r>
    </w:p>
    <w:p>
      <w:pPr>
        <w:spacing w:after="140" w:before="120" w:line="276"/>
        <w:jc w:val="left"/>
      </w:pPr>
      <w:r>
        <w:rPr>
          <w:rFonts w:ascii="Calibri" w:cs="Calibri" w:eastAsia="Calibri" w:hAnsi="Calibri"/>
          <w:sz w:val="22"/>
          <w:szCs w:val="22"/>
        </w:rPr>
        <w:t xml:space="preserve">Table 4 takes each component of Model B and records the closest precedent I found, whether the idea is established, and what it measurably contributed in my ablations. The fold to fold spread in F1 is about 0.048, which sets the bar for what counts as a real effect.</w:t>
      </w:r>
    </w:p>
    <w:p>
      <w:pPr>
        <w:keepNext/>
        <w:spacing w:after="80" w:before="160"/>
      </w:pPr>
      <w:r>
        <w:rPr>
          <w:rFonts w:ascii="Calibri" w:cs="Calibri" w:eastAsia="Calibri" w:hAnsi="Calibri"/>
          <w:b/>
          <w:bCs/>
          <w:color w:val="1F3864"/>
          <w:sz w:val="20"/>
          <w:szCs w:val="20"/>
        </w:rPr>
        <w:t xml:space="preserve">Table 4. Precedent and measured effect for each component</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300"/>
        <w:gridCol w:w="3224"/>
        <w:gridCol w:w="2300"/>
        <w:gridCol w:w="2400"/>
      </w:tblGrid>
      <w:tr>
        <w:trPr>
          <w:tblHeader/>
        </w:trPr>
        <w:tc>
          <w:tcPr>
            <w:tcW w:type="dxa" w:w="2300"/>
            <w:tcBorders>
              <w:top w:val="single" w:color="B7C2D0" w:sz="4"/>
              <w:left w:val="single" w:color="B7C2D0" w:sz="4"/>
              <w:bottom w:val="single" w:color="B7C2D0" w:sz="4"/>
              <w:right w:val="single" w:color="B7C2D0" w:sz="4"/>
            </w:tcBorders>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7"/>
                <w:szCs w:val="17"/>
              </w:rPr>
              <w:t xml:space="preserve">Component</w:t>
            </w:r>
          </w:p>
        </w:tc>
        <w:tc>
          <w:tcPr>
            <w:tcW w:type="dxa" w:w="3224"/>
            <w:tcBorders>
              <w:top w:val="single" w:color="B7C2D0" w:sz="4"/>
              <w:left w:val="single" w:color="B7C2D0" w:sz="4"/>
              <w:bottom w:val="single" w:color="B7C2D0" w:sz="4"/>
              <w:right w:val="single" w:color="B7C2D0" w:sz="4"/>
            </w:tcBorders>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7"/>
                <w:szCs w:val="17"/>
              </w:rPr>
              <w:t xml:space="preserve">Closest precedent</w:t>
            </w:r>
          </w:p>
        </w:tc>
        <w:tc>
          <w:tcPr>
            <w:tcW w:type="dxa" w:w="2300"/>
            <w:tcBorders>
              <w:top w:val="single" w:color="B7C2D0" w:sz="4"/>
              <w:left w:val="single" w:color="B7C2D0" w:sz="4"/>
              <w:bottom w:val="single" w:color="B7C2D0" w:sz="4"/>
              <w:right w:val="single" w:color="B7C2D0" w:sz="4"/>
            </w:tcBorders>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7"/>
                <w:szCs w:val="17"/>
              </w:rPr>
              <w:t xml:space="preserve">Status</w:t>
            </w:r>
          </w:p>
        </w:tc>
        <w:tc>
          <w:tcPr>
            <w:tcW w:type="dxa" w:w="2400"/>
            <w:tcBorders>
              <w:top w:val="single" w:color="B7C2D0" w:sz="4"/>
              <w:left w:val="single" w:color="B7C2D0" w:sz="4"/>
              <w:bottom w:val="single" w:color="B7C2D0" w:sz="4"/>
              <w:right w:val="single" w:color="B7C2D0" w:sz="4"/>
            </w:tcBorders>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7"/>
                <w:szCs w:val="17"/>
              </w:rPr>
              <w:t xml:space="preserve">Measured effect in Model B</w:t>
            </w:r>
          </w:p>
        </w:tc>
      </w:tr>
      <w:tr>
        <w:trPr>
          <w:cantSplit/>
        </w:trPr>
        <w:tc>
          <w:tcPr>
            <w:tcW w:type="dxa" w:w="2300"/>
            <w:tcBorders>
              <w:top w:val="single" w:color="B7C2D0" w:sz="4"/>
              <w:left w:val="single" w:color="B7C2D0" w:sz="4"/>
              <w:bottom w:val="single" w:color="B7C2D0" w:sz="4"/>
              <w:right w:val="single" w:color="B7C2D0" w:sz="4"/>
            </w:tcBorders>
            <w:tcMar>
              <w:top w:type="dxa" w:w="60"/>
              <w:left w:type="dxa" w:w="90"/>
              <w:bottom w:type="dxa" w:w="60"/>
              <w:right w:type="dxa" w:w="90"/>
            </w:tcMar>
          </w:tcPr>
          <w:p>
            <w:pPr>
              <w:spacing w:after="0" w:line="252"/>
            </w:pPr>
            <w:r>
              <w:rPr>
                <w:rFonts w:ascii="Calibri" w:cs="Calibri" w:eastAsia="Calibri" w:hAnsi="Calibri"/>
                <w:b/>
                <w:bCs/>
                <w:sz w:val="17"/>
                <w:szCs w:val="17"/>
              </w:rPr>
              <w:t xml:space="preserve">Time domain, band passed input</w:t>
            </w:r>
          </w:p>
        </w:tc>
        <w:tc>
          <w:tcPr>
            <w:tcW w:type="dxa" w:w="3224"/>
            <w:tcBorders>
              <w:top w:val="single" w:color="B7C2D0" w:sz="4"/>
              <w:left w:val="single" w:color="B7C2D0" w:sz="4"/>
              <w:bottom w:val="single" w:color="B7C2D0" w:sz="4"/>
              <w:right w:val="single" w:color="B7C2D0" w:sz="4"/>
            </w:tcBorders>
            <w:tcMar>
              <w:top w:type="dxa" w:w="60"/>
              <w:left w:type="dxa" w:w="90"/>
              <w:bottom w:type="dxa" w:w="60"/>
              <w:right w:type="dxa" w:w="90"/>
            </w:tcMar>
          </w:tcPr>
          <w:p>
            <w:pPr>
              <w:spacing w:after="0" w:line="252"/>
            </w:pPr>
            <w:r>
              <w:rPr>
                <w:rFonts w:ascii="Calibri" w:cs="Calibri" w:eastAsia="Calibri" w:hAnsi="Calibri"/>
                <w:sz w:val="17"/>
                <w:szCs w:val="17"/>
              </w:rPr>
              <w:t xml:space="preserve">Raw four channel input in Ghosh and Sazonov 2022. Chewing band filtering in Doulah et al. 2021</w:t>
            </w:r>
          </w:p>
        </w:tc>
        <w:tc>
          <w:tcPr>
            <w:tcW w:type="dxa" w:w="2300"/>
            <w:tcBorders>
              <w:top w:val="single" w:color="B7C2D0" w:sz="4"/>
              <w:left w:val="single" w:color="B7C2D0" w:sz="4"/>
              <w:bottom w:val="single" w:color="B7C2D0" w:sz="4"/>
              <w:right w:val="single" w:color="B7C2D0" w:sz="4"/>
            </w:tcBorders>
            <w:tcMar>
              <w:top w:type="dxa" w:w="60"/>
              <w:left w:type="dxa" w:w="90"/>
              <w:bottom w:type="dxa" w:w="60"/>
              <w:right w:type="dxa" w:w="90"/>
            </w:tcMar>
          </w:tcPr>
          <w:p>
            <w:pPr>
              <w:spacing w:after="0" w:line="252"/>
            </w:pPr>
            <w:r>
              <w:rPr>
                <w:rFonts w:ascii="Calibri" w:cs="Calibri" w:eastAsia="Calibri" w:hAnsi="Calibri"/>
                <w:sz w:val="17"/>
                <w:szCs w:val="17"/>
              </w:rPr>
              <w:t xml:space="preserve">Established in the lab</w:t>
            </w:r>
          </w:p>
        </w:tc>
        <w:tc>
          <w:tcPr>
            <w:tcW w:type="dxa" w:w="2400"/>
            <w:tcBorders>
              <w:top w:val="single" w:color="B7C2D0" w:sz="4"/>
              <w:left w:val="single" w:color="B7C2D0" w:sz="4"/>
              <w:bottom w:val="single" w:color="B7C2D0" w:sz="4"/>
              <w:right w:val="single" w:color="B7C2D0" w:sz="4"/>
            </w:tcBorders>
            <w:tcMar>
              <w:top w:type="dxa" w:w="60"/>
              <w:left w:type="dxa" w:w="90"/>
              <w:bottom w:type="dxa" w:w="60"/>
              <w:right w:type="dxa" w:w="90"/>
            </w:tcMar>
          </w:tcPr>
          <w:p>
            <w:pPr>
              <w:spacing w:after="0" w:line="252"/>
            </w:pPr>
            <w:r>
              <w:rPr>
                <w:rFonts w:ascii="Calibri" w:cs="Calibri" w:eastAsia="Calibri" w:hAnsi="Calibri"/>
                <w:sz w:val="17"/>
                <w:szCs w:val="17"/>
              </w:rPr>
              <w:t xml:space="preserve">F1 +0.087, precision +0.180. Larger than the fold spread</w:t>
            </w:r>
          </w:p>
        </w:tc>
      </w:tr>
      <w:tr>
        <w:trPr>
          <w:cantSplit/>
        </w:trPr>
        <w:tc>
          <w:tcPr>
            <w:tcW w:type="dxa" w:w="2300"/>
            <w:tcBorders>
              <w:top w:val="single" w:color="B7C2D0" w:sz="4"/>
              <w:left w:val="single" w:color="B7C2D0" w:sz="4"/>
              <w:bottom w:val="single" w:color="B7C2D0" w:sz="4"/>
              <w:right w:val="single" w:color="B7C2D0" w:sz="4"/>
            </w:tcBorders>
            <w:shd w:fill="F7F9FC" w:color="auto" w:val="clear"/>
            <w:tcMar>
              <w:top w:type="dxa" w:w="60"/>
              <w:left w:type="dxa" w:w="90"/>
              <w:bottom w:type="dxa" w:w="60"/>
              <w:right w:type="dxa" w:w="90"/>
            </w:tcMar>
          </w:tcPr>
          <w:p>
            <w:pPr>
              <w:spacing w:after="0" w:line="252"/>
            </w:pPr>
            <w:r>
              <w:rPr>
                <w:rFonts w:ascii="Calibri" w:cs="Calibri" w:eastAsia="Calibri" w:hAnsi="Calibri"/>
                <w:b/>
                <w:bCs/>
                <w:sz w:val="17"/>
                <w:szCs w:val="17"/>
              </w:rPr>
              <w:t xml:space="preserve">Squeeze and excitation channel weighting</w:t>
            </w:r>
          </w:p>
        </w:tc>
        <w:tc>
          <w:tcPr>
            <w:tcW w:type="dxa" w:w="3224"/>
            <w:tcBorders>
              <w:top w:val="single" w:color="B7C2D0" w:sz="4"/>
              <w:left w:val="single" w:color="B7C2D0" w:sz="4"/>
              <w:bottom w:val="single" w:color="B7C2D0" w:sz="4"/>
              <w:right w:val="single" w:color="B7C2D0" w:sz="4"/>
            </w:tcBorders>
            <w:shd w:fill="F7F9FC" w:color="auto" w:val="clear"/>
            <w:tcMar>
              <w:top w:type="dxa" w:w="60"/>
              <w:left w:type="dxa" w:w="90"/>
              <w:bottom w:type="dxa" w:w="60"/>
              <w:right w:type="dxa" w:w="90"/>
            </w:tcMar>
          </w:tcPr>
          <w:p>
            <w:pPr>
              <w:spacing w:after="0" w:line="252"/>
            </w:pPr>
            <w:r>
              <w:rPr>
                <w:rFonts w:ascii="Calibri" w:cs="Calibri" w:eastAsia="Calibri" w:hAnsi="Calibri"/>
                <w:sz w:val="17"/>
                <w:szCs w:val="17"/>
              </w:rPr>
              <w:t xml:space="preserve">Hu et al. 2018. Also used as the gating step in Yang et al. 2026</w:t>
            </w:r>
          </w:p>
        </w:tc>
        <w:tc>
          <w:tcPr>
            <w:tcW w:type="dxa" w:w="2300"/>
            <w:tcBorders>
              <w:top w:val="single" w:color="B7C2D0" w:sz="4"/>
              <w:left w:val="single" w:color="B7C2D0" w:sz="4"/>
              <w:bottom w:val="single" w:color="B7C2D0" w:sz="4"/>
              <w:right w:val="single" w:color="B7C2D0" w:sz="4"/>
            </w:tcBorders>
            <w:shd w:fill="F7F9FC" w:color="auto" w:val="clear"/>
            <w:tcMar>
              <w:top w:type="dxa" w:w="60"/>
              <w:left w:type="dxa" w:w="90"/>
              <w:bottom w:type="dxa" w:w="60"/>
              <w:right w:type="dxa" w:w="90"/>
            </w:tcMar>
          </w:tcPr>
          <w:p>
            <w:pPr>
              <w:spacing w:after="0" w:line="252"/>
            </w:pPr>
            <w:r>
              <w:rPr>
                <w:rFonts w:ascii="Calibri" w:cs="Calibri" w:eastAsia="Calibri" w:hAnsi="Calibri"/>
                <w:sz w:val="17"/>
                <w:szCs w:val="17"/>
              </w:rPr>
              <w:t xml:space="preserve">Standard building block</w:t>
            </w:r>
          </w:p>
        </w:tc>
        <w:tc>
          <w:tcPr>
            <w:tcW w:type="dxa" w:w="2400"/>
            <w:tcBorders>
              <w:top w:val="single" w:color="B7C2D0" w:sz="4"/>
              <w:left w:val="single" w:color="B7C2D0" w:sz="4"/>
              <w:bottom w:val="single" w:color="B7C2D0" w:sz="4"/>
              <w:right w:val="single" w:color="B7C2D0" w:sz="4"/>
            </w:tcBorders>
            <w:shd w:fill="F7F9FC" w:color="auto" w:val="clear"/>
            <w:tcMar>
              <w:top w:type="dxa" w:w="60"/>
              <w:left w:type="dxa" w:w="90"/>
              <w:bottom w:type="dxa" w:w="60"/>
              <w:right w:type="dxa" w:w="90"/>
            </w:tcMar>
          </w:tcPr>
          <w:p>
            <w:pPr>
              <w:spacing w:after="0" w:line="252"/>
            </w:pPr>
            <w:r>
              <w:rPr>
                <w:rFonts w:ascii="Calibri" w:cs="Calibri" w:eastAsia="Calibri" w:hAnsi="Calibri"/>
                <w:sz w:val="17"/>
                <w:szCs w:val="17"/>
              </w:rPr>
              <w:t xml:space="preserve">F1 +0.007 together with attention pooling. Inside noise</w:t>
            </w:r>
          </w:p>
        </w:tc>
      </w:tr>
      <w:tr>
        <w:trPr>
          <w:cantSplit/>
        </w:trPr>
        <w:tc>
          <w:tcPr>
            <w:tcW w:type="dxa" w:w="2300"/>
            <w:tcBorders>
              <w:top w:val="single" w:color="B7C2D0" w:sz="4"/>
              <w:left w:val="single" w:color="B7C2D0" w:sz="4"/>
              <w:bottom w:val="single" w:color="B7C2D0" w:sz="4"/>
              <w:right w:val="single" w:color="B7C2D0" w:sz="4"/>
            </w:tcBorders>
            <w:tcMar>
              <w:top w:type="dxa" w:w="60"/>
              <w:left w:type="dxa" w:w="90"/>
              <w:bottom w:type="dxa" w:w="60"/>
              <w:right w:type="dxa" w:w="90"/>
            </w:tcMar>
          </w:tcPr>
          <w:p>
            <w:pPr>
              <w:spacing w:after="0" w:line="252"/>
            </w:pPr>
            <w:r>
              <w:rPr>
                <w:rFonts w:ascii="Calibri" w:cs="Calibri" w:eastAsia="Calibri" w:hAnsi="Calibri"/>
                <w:b/>
                <w:bCs/>
                <w:sz w:val="17"/>
                <w:szCs w:val="17"/>
              </w:rPr>
              <w:t xml:space="preserve">Attention pooling over time</w:t>
            </w:r>
          </w:p>
        </w:tc>
        <w:tc>
          <w:tcPr>
            <w:tcW w:type="dxa" w:w="3224"/>
            <w:tcBorders>
              <w:top w:val="single" w:color="B7C2D0" w:sz="4"/>
              <w:left w:val="single" w:color="B7C2D0" w:sz="4"/>
              <w:bottom w:val="single" w:color="B7C2D0" w:sz="4"/>
              <w:right w:val="single" w:color="B7C2D0" w:sz="4"/>
            </w:tcBorders>
            <w:tcMar>
              <w:top w:type="dxa" w:w="60"/>
              <w:left w:type="dxa" w:w="90"/>
              <w:bottom w:type="dxa" w:w="60"/>
              <w:right w:type="dxa" w:w="90"/>
            </w:tcMar>
          </w:tcPr>
          <w:p>
            <w:pPr>
              <w:spacing w:after="0" w:line="252"/>
            </w:pPr>
            <w:r>
              <w:rPr>
                <w:rFonts w:ascii="Calibri" w:cs="Calibri" w:eastAsia="Calibri" w:hAnsi="Calibri"/>
                <w:sz w:val="17"/>
                <w:szCs w:val="17"/>
              </w:rPr>
              <w:t xml:space="preserve">Attention based pooling in Ilse et al. 2018. The reviewed intake papers use global average pooling or an LSTM</w:t>
            </w:r>
          </w:p>
        </w:tc>
        <w:tc>
          <w:tcPr>
            <w:tcW w:type="dxa" w:w="2300"/>
            <w:tcBorders>
              <w:top w:val="single" w:color="B7C2D0" w:sz="4"/>
              <w:left w:val="single" w:color="B7C2D0" w:sz="4"/>
              <w:bottom w:val="single" w:color="B7C2D0" w:sz="4"/>
              <w:right w:val="single" w:color="B7C2D0" w:sz="4"/>
            </w:tcBorders>
            <w:tcMar>
              <w:top w:type="dxa" w:w="60"/>
              <w:left w:type="dxa" w:w="90"/>
              <w:bottom w:type="dxa" w:w="60"/>
              <w:right w:type="dxa" w:w="90"/>
            </w:tcMar>
          </w:tcPr>
          <w:p>
            <w:pPr>
              <w:spacing w:after="0" w:line="252"/>
            </w:pPr>
            <w:r>
              <w:rPr>
                <w:rFonts w:ascii="Calibri" w:cs="Calibri" w:eastAsia="Calibri" w:hAnsi="Calibri"/>
                <w:sz w:val="17"/>
                <w:szCs w:val="17"/>
              </w:rPr>
              <w:t xml:space="preserve">Standard block, not used in the reviewed AIM papers</w:t>
            </w:r>
          </w:p>
        </w:tc>
        <w:tc>
          <w:tcPr>
            <w:tcW w:type="dxa" w:w="2400"/>
            <w:tcBorders>
              <w:top w:val="single" w:color="B7C2D0" w:sz="4"/>
              <w:left w:val="single" w:color="B7C2D0" w:sz="4"/>
              <w:bottom w:val="single" w:color="B7C2D0" w:sz="4"/>
              <w:right w:val="single" w:color="B7C2D0" w:sz="4"/>
            </w:tcBorders>
            <w:tcMar>
              <w:top w:type="dxa" w:w="60"/>
              <w:left w:type="dxa" w:w="90"/>
              <w:bottom w:type="dxa" w:w="60"/>
              <w:right w:type="dxa" w:w="90"/>
            </w:tcMar>
          </w:tcPr>
          <w:p>
            <w:pPr>
              <w:spacing w:after="0" w:line="252"/>
            </w:pPr>
            <w:r>
              <w:rPr>
                <w:rFonts w:ascii="Calibri" w:cs="Calibri" w:eastAsia="Calibri" w:hAnsi="Calibri"/>
                <w:sz w:val="17"/>
                <w:szCs w:val="17"/>
              </w:rPr>
              <w:t xml:space="preserve">Counted with the row above</w:t>
            </w:r>
          </w:p>
        </w:tc>
      </w:tr>
      <w:tr>
        <w:trPr>
          <w:cantSplit/>
        </w:trPr>
        <w:tc>
          <w:tcPr>
            <w:tcW w:type="dxa" w:w="2300"/>
            <w:tcBorders>
              <w:top w:val="single" w:color="B7C2D0" w:sz="4"/>
              <w:left w:val="single" w:color="B7C2D0" w:sz="4"/>
              <w:bottom w:val="single" w:color="B7C2D0" w:sz="4"/>
              <w:right w:val="single" w:color="B7C2D0" w:sz="4"/>
            </w:tcBorders>
            <w:shd w:fill="F7F9FC" w:color="auto" w:val="clear"/>
            <w:tcMar>
              <w:top w:type="dxa" w:w="60"/>
              <w:left w:type="dxa" w:w="90"/>
              <w:bottom w:type="dxa" w:w="60"/>
              <w:right w:type="dxa" w:w="90"/>
            </w:tcMar>
          </w:tcPr>
          <w:p>
            <w:pPr>
              <w:spacing w:after="0" w:line="252"/>
            </w:pPr>
            <w:r>
              <w:rPr>
                <w:rFonts w:ascii="Calibri" w:cs="Calibri" w:eastAsia="Calibri" w:hAnsi="Calibri"/>
                <w:b/>
                <w:bCs/>
                <w:sz w:val="17"/>
                <w:szCs w:val="17"/>
              </w:rPr>
              <w:t xml:space="preserve">Auxiliary chew count head</w:t>
            </w:r>
          </w:p>
        </w:tc>
        <w:tc>
          <w:tcPr>
            <w:tcW w:type="dxa" w:w="3224"/>
            <w:tcBorders>
              <w:top w:val="single" w:color="B7C2D0" w:sz="4"/>
              <w:left w:val="single" w:color="B7C2D0" w:sz="4"/>
              <w:bottom w:val="single" w:color="B7C2D0" w:sz="4"/>
              <w:right w:val="single" w:color="B7C2D0" w:sz="4"/>
            </w:tcBorders>
            <w:shd w:fill="F7F9FC" w:color="auto" w:val="clear"/>
            <w:tcMar>
              <w:top w:type="dxa" w:w="60"/>
              <w:left w:type="dxa" w:w="90"/>
              <w:bottom w:type="dxa" w:w="60"/>
              <w:right w:type="dxa" w:w="90"/>
            </w:tcMar>
          </w:tcPr>
          <w:p>
            <w:pPr>
              <w:spacing w:after="0" w:line="252"/>
            </w:pPr>
            <w:r>
              <w:rPr>
                <w:rFonts w:ascii="Calibri" w:cs="Calibri" w:eastAsia="Calibri" w:hAnsi="Calibri"/>
                <w:sz w:val="17"/>
                <w:szCs w:val="17"/>
              </w:rPr>
              <w:t xml:space="preserve">Chew counting from sensor signals by Farooq and Sazonov, summarised in Usman and Chen 2021, but as a separate stage</w:t>
            </w:r>
          </w:p>
        </w:tc>
        <w:tc>
          <w:tcPr>
            <w:tcW w:type="dxa" w:w="2300"/>
            <w:tcBorders>
              <w:top w:val="single" w:color="B7C2D0" w:sz="4"/>
              <w:left w:val="single" w:color="B7C2D0" w:sz="4"/>
              <w:bottom w:val="single" w:color="B7C2D0" w:sz="4"/>
              <w:right w:val="single" w:color="B7C2D0" w:sz="4"/>
            </w:tcBorders>
            <w:shd w:fill="F7F9FC" w:color="auto" w:val="clear"/>
            <w:tcMar>
              <w:top w:type="dxa" w:w="60"/>
              <w:left w:type="dxa" w:w="90"/>
              <w:bottom w:type="dxa" w:w="60"/>
              <w:right w:type="dxa" w:w="90"/>
            </w:tcMar>
          </w:tcPr>
          <w:p>
            <w:pPr>
              <w:spacing w:after="0" w:line="252"/>
            </w:pPr>
            <w:r>
              <w:rPr>
                <w:rFonts w:ascii="Calibri" w:cs="Calibri" w:eastAsia="Calibri" w:hAnsi="Calibri"/>
                <w:sz w:val="17"/>
                <w:szCs w:val="17"/>
              </w:rPr>
              <w:t xml:space="preserve">Not found in the reviewed papers as a training target inside the classifier</w:t>
            </w:r>
          </w:p>
        </w:tc>
        <w:tc>
          <w:tcPr>
            <w:tcW w:type="dxa" w:w="2400"/>
            <w:tcBorders>
              <w:top w:val="single" w:color="B7C2D0" w:sz="4"/>
              <w:left w:val="single" w:color="B7C2D0" w:sz="4"/>
              <w:bottom w:val="single" w:color="B7C2D0" w:sz="4"/>
              <w:right w:val="single" w:color="B7C2D0" w:sz="4"/>
            </w:tcBorders>
            <w:shd w:fill="F7F9FC" w:color="auto" w:val="clear"/>
            <w:tcMar>
              <w:top w:type="dxa" w:w="60"/>
              <w:left w:type="dxa" w:w="90"/>
              <w:bottom w:type="dxa" w:w="60"/>
              <w:right w:type="dxa" w:w="90"/>
            </w:tcMar>
          </w:tcPr>
          <w:p>
            <w:pPr>
              <w:spacing w:after="0" w:line="252"/>
            </w:pPr>
            <w:r>
              <w:rPr>
                <w:rFonts w:ascii="Calibri" w:cs="Calibri" w:eastAsia="Calibri" w:hAnsi="Calibri"/>
                <w:sz w:val="17"/>
                <w:szCs w:val="17"/>
              </w:rPr>
              <w:t xml:space="preserve">F1 +0.006. Inside noise</w:t>
            </w:r>
          </w:p>
        </w:tc>
      </w:tr>
      <w:tr>
        <w:trPr>
          <w:cantSplit/>
        </w:trPr>
        <w:tc>
          <w:tcPr>
            <w:tcW w:type="dxa" w:w="2300"/>
            <w:tcBorders>
              <w:top w:val="single" w:color="B7C2D0" w:sz="4"/>
              <w:left w:val="single" w:color="B7C2D0" w:sz="4"/>
              <w:bottom w:val="single" w:color="B7C2D0" w:sz="4"/>
              <w:right w:val="single" w:color="B7C2D0" w:sz="4"/>
            </w:tcBorders>
            <w:tcMar>
              <w:top w:type="dxa" w:w="60"/>
              <w:left w:type="dxa" w:w="90"/>
              <w:bottom w:type="dxa" w:w="60"/>
              <w:right w:type="dxa" w:w="90"/>
            </w:tcMar>
          </w:tcPr>
          <w:p>
            <w:pPr>
              <w:spacing w:after="0" w:line="252"/>
            </w:pPr>
            <w:r>
              <w:rPr>
                <w:rFonts w:ascii="Calibri" w:cs="Calibri" w:eastAsia="Calibri" w:hAnsi="Calibri"/>
                <w:b/>
                <w:bCs/>
                <w:sz w:val="17"/>
                <w:szCs w:val="17"/>
              </w:rPr>
              <w:t xml:space="preserve">Overlapping windows at training time only</w:t>
            </w:r>
          </w:p>
        </w:tc>
        <w:tc>
          <w:tcPr>
            <w:tcW w:type="dxa" w:w="3224"/>
            <w:tcBorders>
              <w:top w:val="single" w:color="B7C2D0" w:sz="4"/>
              <w:left w:val="single" w:color="B7C2D0" w:sz="4"/>
              <w:bottom w:val="single" w:color="B7C2D0" w:sz="4"/>
              <w:right w:val="single" w:color="B7C2D0" w:sz="4"/>
            </w:tcBorders>
            <w:tcMar>
              <w:top w:type="dxa" w:w="60"/>
              <w:left w:type="dxa" w:w="90"/>
              <w:bottom w:type="dxa" w:w="60"/>
              <w:right w:type="dxa" w:w="90"/>
            </w:tcMar>
          </w:tcPr>
          <w:p>
            <w:pPr>
              <w:spacing w:after="0" w:line="252"/>
            </w:pPr>
            <w:r>
              <w:rPr>
                <w:rFonts w:ascii="Calibri" w:cs="Calibri" w:eastAsia="Calibri" w:hAnsi="Calibri"/>
                <w:sz w:val="17"/>
                <w:szCs w:val="17"/>
              </w:rPr>
              <w:t xml:space="preserve">Random shift and crop augmentation in Yang et al. 2026</w:t>
            </w:r>
          </w:p>
        </w:tc>
        <w:tc>
          <w:tcPr>
            <w:tcW w:type="dxa" w:w="2300"/>
            <w:tcBorders>
              <w:top w:val="single" w:color="B7C2D0" w:sz="4"/>
              <w:left w:val="single" w:color="B7C2D0" w:sz="4"/>
              <w:bottom w:val="single" w:color="B7C2D0" w:sz="4"/>
              <w:right w:val="single" w:color="B7C2D0" w:sz="4"/>
            </w:tcBorders>
            <w:tcMar>
              <w:top w:type="dxa" w:w="60"/>
              <w:left w:type="dxa" w:w="90"/>
              <w:bottom w:type="dxa" w:w="60"/>
              <w:right w:type="dxa" w:w="90"/>
            </w:tcMar>
          </w:tcPr>
          <w:p>
            <w:pPr>
              <w:spacing w:after="0" w:line="252"/>
            </w:pPr>
            <w:r>
              <w:rPr>
                <w:rFonts w:ascii="Calibri" w:cs="Calibri" w:eastAsia="Calibri" w:hAnsi="Calibri"/>
                <w:sz w:val="17"/>
                <w:szCs w:val="17"/>
              </w:rPr>
              <w:t xml:space="preserve">Common augmentation</w:t>
            </w:r>
          </w:p>
        </w:tc>
        <w:tc>
          <w:tcPr>
            <w:tcW w:type="dxa" w:w="2400"/>
            <w:tcBorders>
              <w:top w:val="single" w:color="B7C2D0" w:sz="4"/>
              <w:left w:val="single" w:color="B7C2D0" w:sz="4"/>
              <w:bottom w:val="single" w:color="B7C2D0" w:sz="4"/>
              <w:right w:val="single" w:color="B7C2D0" w:sz="4"/>
            </w:tcBorders>
            <w:tcMar>
              <w:top w:type="dxa" w:w="60"/>
              <w:left w:type="dxa" w:w="90"/>
              <w:bottom w:type="dxa" w:w="60"/>
              <w:right w:type="dxa" w:w="90"/>
            </w:tcMar>
          </w:tcPr>
          <w:p>
            <w:pPr>
              <w:spacing w:after="0" w:line="252"/>
            </w:pPr>
            <w:r>
              <w:rPr>
                <w:rFonts w:ascii="Calibri" w:cs="Calibri" w:eastAsia="Calibri" w:hAnsi="Calibri"/>
                <w:sz w:val="17"/>
                <w:szCs w:val="17"/>
              </w:rPr>
              <w:t xml:space="preserve">F1 +0.025. Suggestive, about half the spread</w:t>
            </w:r>
          </w:p>
        </w:tc>
      </w:tr>
      <w:tr>
        <w:trPr>
          <w:cantSplit/>
        </w:trPr>
        <w:tc>
          <w:tcPr>
            <w:tcW w:type="dxa" w:w="2300"/>
            <w:tcBorders>
              <w:top w:val="single" w:color="B7C2D0" w:sz="4"/>
              <w:left w:val="single" w:color="B7C2D0" w:sz="4"/>
              <w:bottom w:val="single" w:color="B7C2D0" w:sz="4"/>
              <w:right w:val="single" w:color="B7C2D0" w:sz="4"/>
            </w:tcBorders>
            <w:shd w:fill="F7F9FC" w:color="auto" w:val="clear"/>
            <w:tcMar>
              <w:top w:type="dxa" w:w="60"/>
              <w:left w:type="dxa" w:w="90"/>
              <w:bottom w:type="dxa" w:w="60"/>
              <w:right w:type="dxa" w:w="90"/>
            </w:tcMar>
          </w:tcPr>
          <w:p>
            <w:pPr>
              <w:spacing w:after="0" w:line="252"/>
            </w:pPr>
            <w:r>
              <w:rPr>
                <w:rFonts w:ascii="Calibri" w:cs="Calibri" w:eastAsia="Calibri" w:hAnsi="Calibri"/>
                <w:b/>
                <w:bCs/>
                <w:sz w:val="17"/>
                <w:szCs w:val="17"/>
              </w:rPr>
              <w:t xml:space="preserve">Participant level validation</w:t>
            </w:r>
          </w:p>
        </w:tc>
        <w:tc>
          <w:tcPr>
            <w:tcW w:type="dxa" w:w="3224"/>
            <w:tcBorders>
              <w:top w:val="single" w:color="B7C2D0" w:sz="4"/>
              <w:left w:val="single" w:color="B7C2D0" w:sz="4"/>
              <w:bottom w:val="single" w:color="B7C2D0" w:sz="4"/>
              <w:right w:val="single" w:color="B7C2D0" w:sz="4"/>
            </w:tcBorders>
            <w:shd w:fill="F7F9FC" w:color="auto" w:val="clear"/>
            <w:tcMar>
              <w:top w:type="dxa" w:w="60"/>
              <w:left w:type="dxa" w:w="90"/>
              <w:bottom w:type="dxa" w:w="60"/>
              <w:right w:type="dxa" w:w="90"/>
            </w:tcMar>
          </w:tcPr>
          <w:p>
            <w:pPr>
              <w:spacing w:after="0" w:line="252"/>
            </w:pPr>
            <w:r>
              <w:rPr>
                <w:rFonts w:ascii="Calibri" w:cs="Calibri" w:eastAsia="Calibri" w:hAnsi="Calibri"/>
                <w:sz w:val="17"/>
                <w:szCs w:val="17"/>
              </w:rPr>
              <w:t xml:space="preserve">Leave one subject out in Doulah 2021, Ghosh 2022 and Ghosh 2024</w:t>
            </w:r>
          </w:p>
        </w:tc>
        <w:tc>
          <w:tcPr>
            <w:tcW w:type="dxa" w:w="2300"/>
            <w:tcBorders>
              <w:top w:val="single" w:color="B7C2D0" w:sz="4"/>
              <w:left w:val="single" w:color="B7C2D0" w:sz="4"/>
              <w:bottom w:val="single" w:color="B7C2D0" w:sz="4"/>
              <w:right w:val="single" w:color="B7C2D0" w:sz="4"/>
            </w:tcBorders>
            <w:shd w:fill="F7F9FC" w:color="auto" w:val="clear"/>
            <w:tcMar>
              <w:top w:type="dxa" w:w="60"/>
              <w:left w:type="dxa" w:w="90"/>
              <w:bottom w:type="dxa" w:w="60"/>
              <w:right w:type="dxa" w:w="90"/>
            </w:tcMar>
          </w:tcPr>
          <w:p>
            <w:pPr>
              <w:spacing w:after="0" w:line="252"/>
            </w:pPr>
            <w:r>
              <w:rPr>
                <w:rFonts w:ascii="Calibri" w:cs="Calibri" w:eastAsia="Calibri" w:hAnsi="Calibri"/>
                <w:sz w:val="17"/>
                <w:szCs w:val="17"/>
              </w:rPr>
              <w:t xml:space="preserve">Established in the lab. My 4 fold scheme is coarser</w:t>
            </w:r>
          </w:p>
        </w:tc>
        <w:tc>
          <w:tcPr>
            <w:tcW w:type="dxa" w:w="2400"/>
            <w:tcBorders>
              <w:top w:val="single" w:color="B7C2D0" w:sz="4"/>
              <w:left w:val="single" w:color="B7C2D0" w:sz="4"/>
              <w:bottom w:val="single" w:color="B7C2D0" w:sz="4"/>
              <w:right w:val="single" w:color="B7C2D0" w:sz="4"/>
            </w:tcBorders>
            <w:shd w:fill="F7F9FC" w:color="auto" w:val="clear"/>
            <w:tcMar>
              <w:top w:type="dxa" w:w="60"/>
              <w:left w:type="dxa" w:w="90"/>
              <w:bottom w:type="dxa" w:w="60"/>
              <w:right w:type="dxa" w:w="90"/>
            </w:tcMar>
          </w:tcPr>
          <w:p>
            <w:pPr>
              <w:spacing w:after="0" w:line="252"/>
            </w:pPr>
            <w:r>
              <w:rPr>
                <w:rFonts w:ascii="Calibri" w:cs="Calibri" w:eastAsia="Calibri" w:hAnsi="Calibri"/>
                <w:sz w:val="17"/>
                <w:szCs w:val="17"/>
              </w:rPr>
              <w:t xml:space="preserve">Not an ablation</w:t>
            </w:r>
          </w:p>
        </w:tc>
      </w:tr>
      <w:tr>
        <w:trPr>
          <w:cantSplit/>
        </w:trPr>
        <w:tc>
          <w:tcPr>
            <w:tcW w:type="dxa" w:w="2300"/>
            <w:tcBorders>
              <w:top w:val="single" w:color="B7C2D0" w:sz="4"/>
              <w:left w:val="single" w:color="B7C2D0" w:sz="4"/>
              <w:bottom w:val="single" w:color="B7C2D0" w:sz="4"/>
              <w:right w:val="single" w:color="B7C2D0" w:sz="4"/>
            </w:tcBorders>
            <w:tcMar>
              <w:top w:type="dxa" w:w="60"/>
              <w:left w:type="dxa" w:w="90"/>
              <w:bottom w:type="dxa" w:w="60"/>
              <w:right w:type="dxa" w:w="90"/>
            </w:tcMar>
          </w:tcPr>
          <w:p>
            <w:pPr>
              <w:spacing w:after="0" w:line="252"/>
            </w:pPr>
            <w:r>
              <w:rPr>
                <w:rFonts w:ascii="Calibri" w:cs="Calibri" w:eastAsia="Calibri" w:hAnsi="Calibri"/>
                <w:b/>
                <w:bCs/>
                <w:sz w:val="17"/>
                <w:szCs w:val="17"/>
              </w:rPr>
              <w:t xml:space="preserve">Sensor to annotation alignment check by cross correlation</w:t>
            </w:r>
          </w:p>
        </w:tc>
        <w:tc>
          <w:tcPr>
            <w:tcW w:type="dxa" w:w="3224"/>
            <w:tcBorders>
              <w:top w:val="single" w:color="B7C2D0" w:sz="4"/>
              <w:left w:val="single" w:color="B7C2D0" w:sz="4"/>
              <w:bottom w:val="single" w:color="B7C2D0" w:sz="4"/>
              <w:right w:val="single" w:color="B7C2D0" w:sz="4"/>
            </w:tcBorders>
            <w:tcMar>
              <w:top w:type="dxa" w:w="60"/>
              <w:left w:type="dxa" w:w="90"/>
              <w:bottom w:type="dxa" w:w="60"/>
              <w:right w:type="dxa" w:w="90"/>
            </w:tcMar>
          </w:tcPr>
          <w:p>
            <w:pPr>
              <w:spacing w:after="0" w:line="252"/>
            </w:pPr>
            <w:r>
              <w:rPr>
                <w:rFonts w:ascii="Calibri" w:cs="Calibri" w:eastAsia="Calibri" w:hAnsi="Calibri"/>
                <w:sz w:val="17"/>
                <w:szCs w:val="17"/>
              </w:rPr>
              <w:t xml:space="preserve">None in the reviewed papers</w:t>
            </w:r>
          </w:p>
        </w:tc>
        <w:tc>
          <w:tcPr>
            <w:tcW w:type="dxa" w:w="2300"/>
            <w:tcBorders>
              <w:top w:val="single" w:color="B7C2D0" w:sz="4"/>
              <w:left w:val="single" w:color="B7C2D0" w:sz="4"/>
              <w:bottom w:val="single" w:color="B7C2D0" w:sz="4"/>
              <w:right w:val="single" w:color="B7C2D0" w:sz="4"/>
            </w:tcBorders>
            <w:tcMar>
              <w:top w:type="dxa" w:w="60"/>
              <w:left w:type="dxa" w:w="90"/>
              <w:bottom w:type="dxa" w:w="60"/>
              <w:right w:type="dxa" w:w="90"/>
            </w:tcMar>
          </w:tcPr>
          <w:p>
            <w:pPr>
              <w:spacing w:after="0" w:line="252"/>
            </w:pPr>
            <w:r>
              <w:rPr>
                <w:rFonts w:ascii="Calibri" w:cs="Calibri" w:eastAsia="Calibri" w:hAnsi="Calibri"/>
                <w:sz w:val="17"/>
                <w:szCs w:val="17"/>
              </w:rPr>
              <w:t xml:space="preserve">Verification step not reported elsewhere</w:t>
            </w:r>
          </w:p>
        </w:tc>
        <w:tc>
          <w:tcPr>
            <w:tcW w:type="dxa" w:w="2400"/>
            <w:tcBorders>
              <w:top w:val="single" w:color="B7C2D0" w:sz="4"/>
              <w:left w:val="single" w:color="B7C2D0" w:sz="4"/>
              <w:bottom w:val="single" w:color="B7C2D0" w:sz="4"/>
              <w:right w:val="single" w:color="B7C2D0" w:sz="4"/>
            </w:tcBorders>
            <w:tcMar>
              <w:top w:type="dxa" w:w="60"/>
              <w:left w:type="dxa" w:w="90"/>
              <w:bottom w:type="dxa" w:w="60"/>
              <w:right w:type="dxa" w:w="90"/>
            </w:tcMar>
          </w:tcPr>
          <w:p>
            <w:pPr>
              <w:spacing w:after="0" w:line="252"/>
            </w:pPr>
            <w:r>
              <w:rPr>
                <w:rFonts w:ascii="Calibri" w:cs="Calibri" w:eastAsia="Calibri" w:hAnsi="Calibri"/>
                <w:sz w:val="17"/>
                <w:szCs w:val="17"/>
              </w:rPr>
              <w:t xml:space="preserve">Median lag +0.10 s across 20 sessions. No correction applied</w:t>
            </w:r>
          </w:p>
        </w:tc>
      </w:tr>
      <w:tr>
        <w:trPr>
          <w:cantSplit/>
        </w:trPr>
        <w:tc>
          <w:tcPr>
            <w:tcW w:type="dxa" w:w="2300"/>
            <w:tcBorders>
              <w:top w:val="single" w:color="B7C2D0" w:sz="4"/>
              <w:left w:val="single" w:color="B7C2D0" w:sz="4"/>
              <w:bottom w:val="single" w:color="B7C2D0" w:sz="4"/>
              <w:right w:val="single" w:color="B7C2D0" w:sz="4"/>
            </w:tcBorders>
            <w:shd w:fill="F7F9FC" w:color="auto" w:val="clear"/>
            <w:tcMar>
              <w:top w:type="dxa" w:w="60"/>
              <w:left w:type="dxa" w:w="90"/>
              <w:bottom w:type="dxa" w:w="60"/>
              <w:right w:type="dxa" w:w="90"/>
            </w:tcMar>
          </w:tcPr>
          <w:p>
            <w:pPr>
              <w:spacing w:after="0" w:line="252"/>
            </w:pPr>
            <w:r>
              <w:rPr>
                <w:rFonts w:ascii="Calibri" w:cs="Calibri" w:eastAsia="Calibri" w:hAnsi="Calibri"/>
                <w:b/>
                <w:bCs/>
                <w:sz w:val="17"/>
                <w:szCs w:val="17"/>
              </w:rPr>
              <w:t xml:space="preserve">Median smoothing across windows</w:t>
            </w:r>
          </w:p>
        </w:tc>
        <w:tc>
          <w:tcPr>
            <w:tcW w:type="dxa" w:w="3224"/>
            <w:tcBorders>
              <w:top w:val="single" w:color="B7C2D0" w:sz="4"/>
              <w:left w:val="single" w:color="B7C2D0" w:sz="4"/>
              <w:bottom w:val="single" w:color="B7C2D0" w:sz="4"/>
              <w:right w:val="single" w:color="B7C2D0" w:sz="4"/>
            </w:tcBorders>
            <w:shd w:fill="F7F9FC" w:color="auto" w:val="clear"/>
            <w:tcMar>
              <w:top w:type="dxa" w:w="60"/>
              <w:left w:type="dxa" w:w="90"/>
              <w:bottom w:type="dxa" w:w="60"/>
              <w:right w:type="dxa" w:w="90"/>
            </w:tcMar>
          </w:tcPr>
          <w:p>
            <w:pPr>
              <w:spacing w:after="0" w:line="252"/>
            </w:pPr>
            <w:r>
              <w:rPr>
                <w:rFonts w:ascii="Calibri" w:cs="Calibri" w:eastAsia="Calibri" w:hAnsi="Calibri"/>
                <w:sz w:val="17"/>
                <w:szCs w:val="17"/>
              </w:rPr>
              <w:t xml:space="preserve">Episode formation with a 150 s Gaussian kernel in Doulah 2021. Previous window scores in Ghosh 2024</w:t>
            </w:r>
          </w:p>
        </w:tc>
        <w:tc>
          <w:tcPr>
            <w:tcW w:type="dxa" w:w="2300"/>
            <w:tcBorders>
              <w:top w:val="single" w:color="B7C2D0" w:sz="4"/>
              <w:left w:val="single" w:color="B7C2D0" w:sz="4"/>
              <w:bottom w:val="single" w:color="B7C2D0" w:sz="4"/>
              <w:right w:val="single" w:color="B7C2D0" w:sz="4"/>
            </w:tcBorders>
            <w:shd w:fill="F7F9FC" w:color="auto" w:val="clear"/>
            <w:tcMar>
              <w:top w:type="dxa" w:w="60"/>
              <w:left w:type="dxa" w:w="90"/>
              <w:bottom w:type="dxa" w:w="60"/>
              <w:right w:type="dxa" w:w="90"/>
            </w:tcMar>
          </w:tcPr>
          <w:p>
            <w:pPr>
              <w:spacing w:after="0" w:line="252"/>
            </w:pPr>
            <w:r>
              <w:rPr>
                <w:rFonts w:ascii="Calibri" w:cs="Calibri" w:eastAsia="Calibri" w:hAnsi="Calibri"/>
                <w:sz w:val="17"/>
                <w:szCs w:val="17"/>
              </w:rPr>
              <w:t xml:space="preserve">Contrasting result</w:t>
            </w:r>
          </w:p>
        </w:tc>
        <w:tc>
          <w:tcPr>
            <w:tcW w:type="dxa" w:w="2400"/>
            <w:tcBorders>
              <w:top w:val="single" w:color="B7C2D0" w:sz="4"/>
              <w:left w:val="single" w:color="B7C2D0" w:sz="4"/>
              <w:bottom w:val="single" w:color="B7C2D0" w:sz="4"/>
              <w:right w:val="single" w:color="B7C2D0" w:sz="4"/>
            </w:tcBorders>
            <w:shd w:fill="F7F9FC" w:color="auto" w:val="clear"/>
            <w:tcMar>
              <w:top w:type="dxa" w:w="60"/>
              <w:left w:type="dxa" w:w="90"/>
              <w:bottom w:type="dxa" w:w="60"/>
              <w:right w:type="dxa" w:w="90"/>
            </w:tcMar>
          </w:tcPr>
          <w:p>
            <w:pPr>
              <w:spacing w:after="0" w:line="252"/>
            </w:pPr>
            <w:r>
              <w:rPr>
                <w:rFonts w:ascii="Calibri" w:cs="Calibri" w:eastAsia="Calibri" w:hAnsi="Calibri"/>
                <w:sz w:val="17"/>
                <w:szCs w:val="17"/>
              </w:rPr>
              <w:t xml:space="preserve">F1 minus 0.079 at the epoch level</w:t>
            </w:r>
          </w:p>
        </w:tc>
      </w:tr>
      <w:tr>
        <w:trPr>
          <w:cantSplit/>
        </w:trPr>
        <w:tc>
          <w:tcPr>
            <w:tcW w:type="dxa" w:w="2300"/>
            <w:tcBorders>
              <w:top w:val="single" w:color="B7C2D0" w:sz="4"/>
              <w:left w:val="single" w:color="B7C2D0" w:sz="4"/>
              <w:bottom w:val="single" w:color="B7C2D0" w:sz="4"/>
              <w:right w:val="single" w:color="B7C2D0" w:sz="4"/>
            </w:tcBorders>
            <w:tcMar>
              <w:top w:type="dxa" w:w="60"/>
              <w:left w:type="dxa" w:w="90"/>
              <w:bottom w:type="dxa" w:w="60"/>
              <w:right w:type="dxa" w:w="90"/>
            </w:tcMar>
          </w:tcPr>
          <w:p>
            <w:pPr>
              <w:spacing w:after="0" w:line="252"/>
            </w:pPr>
            <w:r>
              <w:rPr>
                <w:rFonts w:ascii="Calibri" w:cs="Calibri" w:eastAsia="Calibri" w:hAnsi="Calibri"/>
                <w:b/>
                <w:bCs/>
                <w:sz w:val="17"/>
                <w:szCs w:val="17"/>
              </w:rPr>
              <w:t xml:space="preserve">Neighbouring context without a target marker</w:t>
            </w:r>
          </w:p>
        </w:tc>
        <w:tc>
          <w:tcPr>
            <w:tcW w:type="dxa" w:w="3224"/>
            <w:tcBorders>
              <w:top w:val="single" w:color="B7C2D0" w:sz="4"/>
              <w:left w:val="single" w:color="B7C2D0" w:sz="4"/>
              <w:bottom w:val="single" w:color="B7C2D0" w:sz="4"/>
              <w:right w:val="single" w:color="B7C2D0" w:sz="4"/>
            </w:tcBorders>
            <w:tcMar>
              <w:top w:type="dxa" w:w="60"/>
              <w:left w:type="dxa" w:w="90"/>
              <w:bottom w:type="dxa" w:w="60"/>
              <w:right w:type="dxa" w:w="90"/>
            </w:tcMar>
          </w:tcPr>
          <w:p>
            <w:pPr>
              <w:spacing w:after="0" w:line="252"/>
            </w:pPr>
            <w:r>
              <w:rPr>
                <w:rFonts w:ascii="Calibri" w:cs="Calibri" w:eastAsia="Calibri" w:hAnsi="Calibri"/>
                <w:sz w:val="17"/>
                <w:szCs w:val="17"/>
              </w:rPr>
              <w:t xml:space="preserve">Previous window scores in Ghosh 2024, which raised F1 under a random holdout</w:t>
            </w:r>
          </w:p>
        </w:tc>
        <w:tc>
          <w:tcPr>
            <w:tcW w:type="dxa" w:w="2300"/>
            <w:tcBorders>
              <w:top w:val="single" w:color="B7C2D0" w:sz="4"/>
              <w:left w:val="single" w:color="B7C2D0" w:sz="4"/>
              <w:bottom w:val="single" w:color="B7C2D0" w:sz="4"/>
              <w:right w:val="single" w:color="B7C2D0" w:sz="4"/>
            </w:tcBorders>
            <w:tcMar>
              <w:top w:type="dxa" w:w="60"/>
              <w:left w:type="dxa" w:w="90"/>
              <w:bottom w:type="dxa" w:w="60"/>
              <w:right w:type="dxa" w:w="90"/>
            </w:tcMar>
          </w:tcPr>
          <w:p>
            <w:pPr>
              <w:spacing w:after="0" w:line="252"/>
            </w:pPr>
            <w:r>
              <w:rPr>
                <w:rFonts w:ascii="Calibri" w:cs="Calibri" w:eastAsia="Calibri" w:hAnsi="Calibri"/>
                <w:sz w:val="17"/>
                <w:szCs w:val="17"/>
              </w:rPr>
              <w:t xml:space="preserve">Contrasting result</w:t>
            </w:r>
          </w:p>
        </w:tc>
        <w:tc>
          <w:tcPr>
            <w:tcW w:type="dxa" w:w="2400"/>
            <w:tcBorders>
              <w:top w:val="single" w:color="B7C2D0" w:sz="4"/>
              <w:left w:val="single" w:color="B7C2D0" w:sz="4"/>
              <w:bottom w:val="single" w:color="B7C2D0" w:sz="4"/>
              <w:right w:val="single" w:color="B7C2D0" w:sz="4"/>
            </w:tcBorders>
            <w:tcMar>
              <w:top w:type="dxa" w:w="60"/>
              <w:left w:type="dxa" w:w="90"/>
              <w:bottom w:type="dxa" w:w="60"/>
              <w:right w:type="dxa" w:w="90"/>
            </w:tcMar>
          </w:tcPr>
          <w:p>
            <w:pPr>
              <w:spacing w:after="0" w:line="252"/>
            </w:pPr>
            <w:r>
              <w:rPr>
                <w:rFonts w:ascii="Calibri" w:cs="Calibri" w:eastAsia="Calibri" w:hAnsi="Calibri"/>
                <w:sz w:val="17"/>
                <w:szCs w:val="17"/>
              </w:rPr>
              <w:t xml:space="preserve">F1 minus 0.080, with precision falling 0.193</w:t>
            </w:r>
          </w:p>
        </w:tc>
      </w:tr>
    </w:tbl>
    <w:p>
      <w:pPr>
        <w:spacing w:after="140" w:before="120" w:line="276"/>
        <w:jc w:val="left"/>
      </w:pPr>
      <w:r>
        <w:rPr>
          <w:rFonts w:ascii="Calibri" w:cs="Calibri" w:eastAsia="Calibri" w:hAnsi="Calibri"/>
          <w:sz w:val="22"/>
          <w:szCs w:val="22"/>
        </w:rPr>
        <w:t xml:space="preserve">Two of the negative results sit in tension with the literature and deserve care in how they are presented. Doulah et al. smoothed detections to form eating episodes, which is a different question from classifying each 8 s window, so the two findings are compatible. Ghosh et al. 2024 reported gains from adding previous window scores, but that experiment used a random holdout that the authors note may place the same participant in both training and testing. Neighbouring windows of the same meal are close to duplicates, so a subject independent test of the same idea may not show the gain.</w:t>
      </w:r>
    </w:p>
    <w:p>
      <w:pPr>
        <w:pStyle w:val="Heading1"/>
        <w:spacing w:after="120" w:before="300"/>
      </w:pPr>
      <w:r>
        <w:rPr>
          <w:rFonts w:ascii="Calibri" w:cs="Calibri" w:eastAsia="Calibri" w:hAnsi="Calibri"/>
        </w:rPr>
        <w:t xml:space="preserve">Evaluation and Comparability</w:t>
      </w:r>
    </w:p>
    <w:p>
      <w:pPr>
        <w:spacing w:after="140" w:before="120" w:line="276"/>
        <w:jc w:val="left"/>
      </w:pPr>
      <w:r>
        <w:rPr>
          <w:rFonts w:ascii="Calibri" w:cs="Calibri" w:eastAsia="Calibri" w:hAnsi="Calibri"/>
          <w:sz w:val="22"/>
          <w:szCs w:val="22"/>
        </w:rPr>
        <w:t xml:space="preserve">The reported numbers cannot be ranked against each other directly, and this matters most for the comparison with the lab's 2022 ResNet. Model B reaches F1 0.854, below the 0.906 reported by Ghosh and Sazonov. That study used 372 hours from 17 participants with image based annotation, while Model B trains on 7.8 hours from 20 video annotated sessions. The labels, the amount of data and the validation scheme all differ, so neither number shows which architecture is better. The fair test is to train the 2022 ResNet on the new database under my harness, with the same folds and threshold procedure.</w:t>
      </w:r>
    </w:p>
    <w:p>
      <w:pPr>
        <w:spacing w:after="140" w:before="120" w:line="276"/>
        <w:jc w:val="left"/>
      </w:pPr>
      <w:r>
        <w:rPr>
          <w:rFonts w:ascii="Calibri" w:cs="Calibri" w:eastAsia="Calibri" w:hAnsi="Calibri"/>
          <w:sz w:val="22"/>
          <w:szCs w:val="22"/>
        </w:rPr>
        <w:t xml:space="preserve">The two transformer papers need a different caution. Neither separates subjects between training and testing. Both train on tens of thousands of labelled examples, while this project evaluates on about 3,500 windows. Their architectures are useful as sources of ideas, but their headline accuracies are not evidence that a transformer would help at this scale.</w:t>
      </w:r>
    </w:p>
    <w:p>
      <w:pPr>
        <w:spacing w:after="140" w:before="120" w:line="276"/>
        <w:jc w:val="left"/>
      </w:pPr>
      <w:r>
        <w:rPr>
          <w:rFonts w:ascii="Calibri" w:cs="Calibri" w:eastAsia="Calibri" w:hAnsi="Calibri"/>
          <w:sz w:val="22"/>
          <w:szCs w:val="22"/>
        </w:rPr>
        <w:t xml:space="preserve">Diou et al. reinforce two points that apply here. Leave one subject out evaluation is the norm across groups, and F1 is the preferred headline metric because eating is a minority class in free living data.</w:t>
      </w:r>
    </w:p>
    <w:p>
      <w:pPr>
        <w:pStyle w:val="Heading1"/>
        <w:spacing w:after="120" w:before="300"/>
      </w:pPr>
      <w:r>
        <w:rPr>
          <w:rFonts w:ascii="Calibri" w:cs="Calibri" w:eastAsia="Calibri" w:hAnsi="Calibri"/>
        </w:rPr>
        <w:t xml:space="preserve">Opportunities to Build On</w:t>
      </w:r>
    </w:p>
    <w:p>
      <w:pPr>
        <w:keepNext/>
        <w:spacing w:after="80" w:before="160"/>
      </w:pPr>
      <w:r>
        <w:rPr>
          <w:rFonts w:ascii="Calibri" w:cs="Calibri" w:eastAsia="Calibri" w:hAnsi="Calibri"/>
          <w:b/>
          <w:bCs/>
          <w:color w:val="1F3864"/>
          <w:sz w:val="20"/>
          <w:szCs w:val="20"/>
        </w:rPr>
        <w:t xml:space="preserve">Table 5. Directions suggested by the reviewed work</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300"/>
        <w:gridCol w:w="2824"/>
        <w:gridCol w:w="2800"/>
        <w:gridCol w:w="2300"/>
      </w:tblGrid>
      <w:tr>
        <w:trPr>
          <w:tblHeader/>
        </w:trPr>
        <w:tc>
          <w:tcPr>
            <w:tcW w:type="dxa" w:w="2300"/>
            <w:tcBorders>
              <w:top w:val="single" w:color="B7C2D0" w:sz="4"/>
              <w:left w:val="single" w:color="B7C2D0" w:sz="4"/>
              <w:bottom w:val="single" w:color="B7C2D0" w:sz="4"/>
              <w:right w:val="single" w:color="B7C2D0" w:sz="4"/>
            </w:tcBorders>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7"/>
                <w:szCs w:val="17"/>
              </w:rPr>
              <w:t xml:space="preserve">Direction</w:t>
            </w:r>
          </w:p>
        </w:tc>
        <w:tc>
          <w:tcPr>
            <w:tcW w:type="dxa" w:w="2824"/>
            <w:tcBorders>
              <w:top w:val="single" w:color="B7C2D0" w:sz="4"/>
              <w:left w:val="single" w:color="B7C2D0" w:sz="4"/>
              <w:bottom w:val="single" w:color="B7C2D0" w:sz="4"/>
              <w:right w:val="single" w:color="B7C2D0" w:sz="4"/>
            </w:tcBorders>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7"/>
                <w:szCs w:val="17"/>
              </w:rPr>
              <w:t xml:space="preserve">Evidence</w:t>
            </w:r>
          </w:p>
        </w:tc>
        <w:tc>
          <w:tcPr>
            <w:tcW w:type="dxa" w:w="2800"/>
            <w:tcBorders>
              <w:top w:val="single" w:color="B7C2D0" w:sz="4"/>
              <w:left w:val="single" w:color="B7C2D0" w:sz="4"/>
              <w:bottom w:val="single" w:color="B7C2D0" w:sz="4"/>
              <w:right w:val="single" w:color="B7C2D0" w:sz="4"/>
            </w:tcBorders>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7"/>
                <w:szCs w:val="17"/>
              </w:rPr>
              <w:t xml:space="preserve">Application here</w:t>
            </w:r>
          </w:p>
        </w:tc>
        <w:tc>
          <w:tcPr>
            <w:tcW w:type="dxa" w:w="2300"/>
            <w:tcBorders>
              <w:top w:val="single" w:color="B7C2D0" w:sz="4"/>
              <w:left w:val="single" w:color="B7C2D0" w:sz="4"/>
              <w:bottom w:val="single" w:color="B7C2D0" w:sz="4"/>
              <w:right w:val="single" w:color="B7C2D0" w:sz="4"/>
            </w:tcBorders>
            <w:shd w:fill="1F3864" w:color="auto" w:val="clear"/>
            <w:tcMar>
              <w:top w:type="dxa" w:w="60"/>
              <w:left w:type="dxa" w:w="90"/>
              <w:bottom w:type="dxa" w:w="60"/>
              <w:right w:type="dxa" w:w="90"/>
            </w:tcMar>
          </w:tcPr>
          <w:p>
            <w:pPr>
              <w:spacing w:after="0" w:line="252"/>
            </w:pPr>
            <w:r>
              <w:rPr>
                <w:rFonts w:ascii="Calibri" w:cs="Calibri" w:eastAsia="Calibri" w:hAnsi="Calibri"/>
                <w:b/>
                <w:bCs/>
                <w:color w:val="FFFFFF"/>
                <w:sz w:val="17"/>
                <w:szCs w:val="17"/>
              </w:rPr>
              <w:t xml:space="preserve">Novelty on AIM data</w:t>
            </w:r>
          </w:p>
        </w:tc>
      </w:tr>
      <w:tr>
        <w:trPr>
          <w:cantSplit/>
        </w:trPr>
        <w:tc>
          <w:tcPr>
            <w:tcW w:type="dxa" w:w="2300"/>
            <w:tcBorders>
              <w:top w:val="single" w:color="B7C2D0" w:sz="4"/>
              <w:left w:val="single" w:color="B7C2D0" w:sz="4"/>
              <w:bottom w:val="single" w:color="B7C2D0" w:sz="4"/>
              <w:right w:val="single" w:color="B7C2D0" w:sz="4"/>
            </w:tcBorders>
            <w:tcMar>
              <w:top w:type="dxa" w:w="60"/>
              <w:left w:type="dxa" w:w="90"/>
              <w:bottom w:type="dxa" w:w="60"/>
              <w:right w:type="dxa" w:w="90"/>
            </w:tcMar>
          </w:tcPr>
          <w:p>
            <w:pPr>
              <w:spacing w:after="0" w:line="252"/>
            </w:pPr>
            <w:r>
              <w:rPr>
                <w:rFonts w:ascii="Calibri" w:cs="Calibri" w:eastAsia="Calibri" w:hAnsi="Calibri"/>
                <w:b/>
                <w:bCs/>
                <w:sz w:val="17"/>
                <w:szCs w:val="17"/>
              </w:rPr>
              <w:t xml:space="preserve">Reproduce the 2022 ResNet on the new database</w:t>
            </w:r>
          </w:p>
        </w:tc>
        <w:tc>
          <w:tcPr>
            <w:tcW w:type="dxa" w:w="2824"/>
            <w:tcBorders>
              <w:top w:val="single" w:color="B7C2D0" w:sz="4"/>
              <w:left w:val="single" w:color="B7C2D0" w:sz="4"/>
              <w:bottom w:val="single" w:color="B7C2D0" w:sz="4"/>
              <w:right w:val="single" w:color="B7C2D0" w:sz="4"/>
            </w:tcBorders>
            <w:tcMar>
              <w:top w:type="dxa" w:w="60"/>
              <w:left w:type="dxa" w:w="90"/>
              <w:bottom w:type="dxa" w:w="60"/>
              <w:right w:type="dxa" w:w="90"/>
            </w:tcMar>
          </w:tcPr>
          <w:p>
            <w:pPr>
              <w:spacing w:after="0" w:line="252"/>
            </w:pPr>
            <w:r>
              <w:rPr>
                <w:rFonts w:ascii="Calibri" w:cs="Calibri" w:eastAsia="Calibri" w:hAnsi="Calibri"/>
                <w:sz w:val="17"/>
                <w:szCs w:val="17"/>
              </w:rPr>
              <w:t xml:space="preserve">Ghosh and Sazonov 2022</w:t>
            </w:r>
          </w:p>
        </w:tc>
        <w:tc>
          <w:tcPr>
            <w:tcW w:type="dxa" w:w="2800"/>
            <w:tcBorders>
              <w:top w:val="single" w:color="B7C2D0" w:sz="4"/>
              <w:left w:val="single" w:color="B7C2D0" w:sz="4"/>
              <w:bottom w:val="single" w:color="B7C2D0" w:sz="4"/>
              <w:right w:val="single" w:color="B7C2D0" w:sz="4"/>
            </w:tcBorders>
            <w:tcMar>
              <w:top w:type="dxa" w:w="60"/>
              <w:left w:type="dxa" w:w="90"/>
              <w:bottom w:type="dxa" w:w="60"/>
              <w:right w:type="dxa" w:w="90"/>
            </w:tcMar>
          </w:tcPr>
          <w:p>
            <w:pPr>
              <w:spacing w:after="0" w:line="252"/>
            </w:pPr>
            <w:r>
              <w:rPr>
                <w:rFonts w:ascii="Calibri" w:cs="Calibri" w:eastAsia="Calibri" w:hAnsi="Calibri"/>
                <w:sz w:val="17"/>
                <w:szCs w:val="17"/>
              </w:rPr>
              <w:t xml:space="preserve">Same harness, folds and threshold procedure as Model B</w:t>
            </w:r>
          </w:p>
        </w:tc>
        <w:tc>
          <w:tcPr>
            <w:tcW w:type="dxa" w:w="2300"/>
            <w:tcBorders>
              <w:top w:val="single" w:color="B7C2D0" w:sz="4"/>
              <w:left w:val="single" w:color="B7C2D0" w:sz="4"/>
              <w:bottom w:val="single" w:color="B7C2D0" w:sz="4"/>
              <w:right w:val="single" w:color="B7C2D0" w:sz="4"/>
            </w:tcBorders>
            <w:tcMar>
              <w:top w:type="dxa" w:w="60"/>
              <w:left w:type="dxa" w:w="90"/>
              <w:bottom w:type="dxa" w:w="60"/>
              <w:right w:type="dxa" w:w="90"/>
            </w:tcMar>
          </w:tcPr>
          <w:p>
            <w:pPr>
              <w:spacing w:after="0" w:line="252"/>
            </w:pPr>
            <w:r>
              <w:rPr>
                <w:rFonts w:ascii="Calibri" w:cs="Calibri" w:eastAsia="Calibri" w:hAnsi="Calibri"/>
                <w:sz w:val="17"/>
                <w:szCs w:val="17"/>
              </w:rPr>
              <w:t xml:space="preserve">Replication. Needed before any claim against the lab's best result</w:t>
            </w:r>
          </w:p>
        </w:tc>
      </w:tr>
      <w:tr>
        <w:trPr>
          <w:cantSplit/>
        </w:trPr>
        <w:tc>
          <w:tcPr>
            <w:tcW w:type="dxa" w:w="2300"/>
            <w:tcBorders>
              <w:top w:val="single" w:color="B7C2D0" w:sz="4"/>
              <w:left w:val="single" w:color="B7C2D0" w:sz="4"/>
              <w:bottom w:val="single" w:color="B7C2D0" w:sz="4"/>
              <w:right w:val="single" w:color="B7C2D0" w:sz="4"/>
            </w:tcBorders>
            <w:shd w:fill="F7F9FC" w:color="auto" w:val="clear"/>
            <w:tcMar>
              <w:top w:type="dxa" w:w="60"/>
              <w:left w:type="dxa" w:w="90"/>
              <w:bottom w:type="dxa" w:w="60"/>
              <w:right w:type="dxa" w:w="90"/>
            </w:tcMar>
          </w:tcPr>
          <w:p>
            <w:pPr>
              <w:spacing w:after="0" w:line="252"/>
            </w:pPr>
            <w:r>
              <w:rPr>
                <w:rFonts w:ascii="Calibri" w:cs="Calibri" w:eastAsia="Calibri" w:hAnsi="Calibri"/>
                <w:b/>
                <w:bCs/>
                <w:sz w:val="17"/>
                <w:szCs w:val="17"/>
              </w:rPr>
              <w:t xml:space="preserve">Self supervised pretraining on unannotated sessions</w:t>
            </w:r>
          </w:p>
        </w:tc>
        <w:tc>
          <w:tcPr>
            <w:tcW w:type="dxa" w:w="2824"/>
            <w:tcBorders>
              <w:top w:val="single" w:color="B7C2D0" w:sz="4"/>
              <w:left w:val="single" w:color="B7C2D0" w:sz="4"/>
              <w:bottom w:val="single" w:color="B7C2D0" w:sz="4"/>
              <w:right w:val="single" w:color="B7C2D0" w:sz="4"/>
            </w:tcBorders>
            <w:shd w:fill="F7F9FC" w:color="auto" w:val="clear"/>
            <w:tcMar>
              <w:top w:type="dxa" w:w="60"/>
              <w:left w:type="dxa" w:w="90"/>
              <w:bottom w:type="dxa" w:w="60"/>
              <w:right w:type="dxa" w:w="90"/>
            </w:tcMar>
          </w:tcPr>
          <w:p>
            <w:pPr>
              <w:spacing w:after="0" w:line="252"/>
            </w:pPr>
            <w:r>
              <w:rPr>
                <w:rFonts w:ascii="Calibri" w:cs="Calibri" w:eastAsia="Calibri" w:hAnsi="Calibri"/>
                <w:sz w:val="17"/>
                <w:szCs w:val="17"/>
              </w:rPr>
              <w:t xml:space="preserve">Diou et al. 2022 reached F1 0.86 with precision 0.94 using self supervised audio features</w:t>
            </w:r>
          </w:p>
        </w:tc>
        <w:tc>
          <w:tcPr>
            <w:tcW w:type="dxa" w:w="2800"/>
            <w:tcBorders>
              <w:top w:val="single" w:color="B7C2D0" w:sz="4"/>
              <w:left w:val="single" w:color="B7C2D0" w:sz="4"/>
              <w:bottom w:val="single" w:color="B7C2D0" w:sz="4"/>
              <w:right w:val="single" w:color="B7C2D0" w:sz="4"/>
            </w:tcBorders>
            <w:shd w:fill="F7F9FC" w:color="auto" w:val="clear"/>
            <w:tcMar>
              <w:top w:type="dxa" w:w="60"/>
              <w:left w:type="dxa" w:w="90"/>
              <w:bottom w:type="dxa" w:w="60"/>
              <w:right w:type="dxa" w:w="90"/>
            </w:tcMar>
          </w:tcPr>
          <w:p>
            <w:pPr>
              <w:spacing w:after="0" w:line="252"/>
            </w:pPr>
            <w:r>
              <w:rPr>
                <w:rFonts w:ascii="Calibri" w:cs="Calibri" w:eastAsia="Calibri" w:hAnsi="Calibri"/>
                <w:sz w:val="17"/>
                <w:szCs w:val="17"/>
              </w:rPr>
              <w:t xml:space="preserve">61 sensor sessions exist and only 20 are annotated. Pretrain the trunk on all of them, then fine tune on the annotated set</w:t>
            </w:r>
          </w:p>
        </w:tc>
        <w:tc>
          <w:tcPr>
            <w:tcW w:type="dxa" w:w="2300"/>
            <w:tcBorders>
              <w:top w:val="single" w:color="B7C2D0" w:sz="4"/>
              <w:left w:val="single" w:color="B7C2D0" w:sz="4"/>
              <w:bottom w:val="single" w:color="B7C2D0" w:sz="4"/>
              <w:right w:val="single" w:color="B7C2D0" w:sz="4"/>
            </w:tcBorders>
            <w:shd w:fill="F7F9FC" w:color="auto" w:val="clear"/>
            <w:tcMar>
              <w:top w:type="dxa" w:w="60"/>
              <w:left w:type="dxa" w:w="90"/>
              <w:bottom w:type="dxa" w:w="60"/>
              <w:right w:type="dxa" w:w="90"/>
            </w:tcMar>
          </w:tcPr>
          <w:p>
            <w:pPr>
              <w:spacing w:after="0" w:line="252"/>
            </w:pPr>
            <w:r>
              <w:rPr>
                <w:rFonts w:ascii="Calibri" w:cs="Calibri" w:eastAsia="Calibri" w:hAnsi="Calibri"/>
                <w:sz w:val="17"/>
                <w:szCs w:val="17"/>
              </w:rPr>
              <w:t xml:space="preserve">Not found in the reviewed AIM papers. Targets the main constraint, which is labelled data</w:t>
            </w:r>
          </w:p>
        </w:tc>
      </w:tr>
      <w:tr>
        <w:trPr>
          <w:cantSplit/>
        </w:trPr>
        <w:tc>
          <w:tcPr>
            <w:tcW w:type="dxa" w:w="2300"/>
            <w:tcBorders>
              <w:top w:val="single" w:color="B7C2D0" w:sz="4"/>
              <w:left w:val="single" w:color="B7C2D0" w:sz="4"/>
              <w:bottom w:val="single" w:color="B7C2D0" w:sz="4"/>
              <w:right w:val="single" w:color="B7C2D0" w:sz="4"/>
            </w:tcBorders>
            <w:tcMar>
              <w:top w:type="dxa" w:w="60"/>
              <w:left w:type="dxa" w:w="90"/>
              <w:bottom w:type="dxa" w:w="60"/>
              <w:right w:type="dxa" w:w="90"/>
            </w:tcMar>
          </w:tcPr>
          <w:p>
            <w:pPr>
              <w:spacing w:after="0" w:line="252"/>
            </w:pPr>
            <w:r>
              <w:rPr>
                <w:rFonts w:ascii="Calibri" w:cs="Calibri" w:eastAsia="Calibri" w:hAnsi="Calibri"/>
                <w:b/>
                <w:bCs/>
                <w:sz w:val="17"/>
                <w:szCs w:val="17"/>
              </w:rPr>
              <w:t xml:space="preserve">Signal augmentation such as time masking, noise and amplitude scaling</w:t>
            </w:r>
          </w:p>
        </w:tc>
        <w:tc>
          <w:tcPr>
            <w:tcW w:type="dxa" w:w="2824"/>
            <w:tcBorders>
              <w:top w:val="single" w:color="B7C2D0" w:sz="4"/>
              <w:left w:val="single" w:color="B7C2D0" w:sz="4"/>
              <w:bottom w:val="single" w:color="B7C2D0" w:sz="4"/>
              <w:right w:val="single" w:color="B7C2D0" w:sz="4"/>
            </w:tcBorders>
            <w:tcMar>
              <w:top w:type="dxa" w:w="60"/>
              <w:left w:type="dxa" w:w="90"/>
              <w:bottom w:type="dxa" w:w="60"/>
              <w:right w:type="dxa" w:w="90"/>
            </w:tcMar>
          </w:tcPr>
          <w:p>
            <w:pPr>
              <w:spacing w:after="0" w:line="252"/>
            </w:pPr>
            <w:r>
              <w:rPr>
                <w:rFonts w:ascii="Calibri" w:cs="Calibri" w:eastAsia="Calibri" w:hAnsi="Calibri"/>
                <w:sz w:val="17"/>
                <w:szCs w:val="17"/>
              </w:rPr>
              <w:t xml:space="preserve">Augmentation raised accuracy from 0.922 to 0.950 in Yang et al. 2026. Orientation augmentation in Diou et al. 2022</w:t>
            </w:r>
          </w:p>
        </w:tc>
        <w:tc>
          <w:tcPr>
            <w:tcW w:type="dxa" w:w="2800"/>
            <w:tcBorders>
              <w:top w:val="single" w:color="B7C2D0" w:sz="4"/>
              <w:left w:val="single" w:color="B7C2D0" w:sz="4"/>
              <w:bottom w:val="single" w:color="B7C2D0" w:sz="4"/>
              <w:right w:val="single" w:color="B7C2D0" w:sz="4"/>
            </w:tcBorders>
            <w:tcMar>
              <w:top w:type="dxa" w:w="60"/>
              <w:left w:type="dxa" w:w="90"/>
              <w:bottom w:type="dxa" w:w="60"/>
              <w:right w:type="dxa" w:w="90"/>
            </w:tcMar>
          </w:tcPr>
          <w:p>
            <w:pPr>
              <w:spacing w:after="0" w:line="252"/>
            </w:pPr>
            <w:r>
              <w:rPr>
                <w:rFonts w:ascii="Calibri" w:cs="Calibri" w:eastAsia="Calibri" w:hAnsi="Calibri"/>
                <w:sz w:val="17"/>
                <w:szCs w:val="17"/>
              </w:rPr>
              <w:t xml:space="preserve">Training time only, with an ablation for each type</w:t>
            </w:r>
          </w:p>
        </w:tc>
        <w:tc>
          <w:tcPr>
            <w:tcW w:type="dxa" w:w="2300"/>
            <w:tcBorders>
              <w:top w:val="single" w:color="B7C2D0" w:sz="4"/>
              <w:left w:val="single" w:color="B7C2D0" w:sz="4"/>
              <w:bottom w:val="single" w:color="B7C2D0" w:sz="4"/>
              <w:right w:val="single" w:color="B7C2D0" w:sz="4"/>
            </w:tcBorders>
            <w:tcMar>
              <w:top w:type="dxa" w:w="60"/>
              <w:left w:type="dxa" w:w="90"/>
              <w:bottom w:type="dxa" w:w="60"/>
              <w:right w:type="dxa" w:w="90"/>
            </w:tcMar>
          </w:tcPr>
          <w:p>
            <w:pPr>
              <w:spacing w:after="0" w:line="252"/>
            </w:pPr>
            <w:r>
              <w:rPr>
                <w:rFonts w:ascii="Calibri" w:cs="Calibri" w:eastAsia="Calibri" w:hAnsi="Calibri"/>
                <w:sz w:val="17"/>
                <w:szCs w:val="17"/>
              </w:rPr>
              <w:t xml:space="preserve">Low novelty, likely gain</w:t>
            </w:r>
          </w:p>
        </w:tc>
      </w:tr>
      <w:tr>
        <w:trPr>
          <w:cantSplit/>
        </w:trPr>
        <w:tc>
          <w:tcPr>
            <w:tcW w:type="dxa" w:w="2300"/>
            <w:tcBorders>
              <w:top w:val="single" w:color="B7C2D0" w:sz="4"/>
              <w:left w:val="single" w:color="B7C2D0" w:sz="4"/>
              <w:bottom w:val="single" w:color="B7C2D0" w:sz="4"/>
              <w:right w:val="single" w:color="B7C2D0" w:sz="4"/>
            </w:tcBorders>
            <w:shd w:fill="F7F9FC" w:color="auto" w:val="clear"/>
            <w:tcMar>
              <w:top w:type="dxa" w:w="60"/>
              <w:left w:type="dxa" w:w="90"/>
              <w:bottom w:type="dxa" w:w="60"/>
              <w:right w:type="dxa" w:w="90"/>
            </w:tcMar>
          </w:tcPr>
          <w:p>
            <w:pPr>
              <w:spacing w:after="0" w:line="252"/>
            </w:pPr>
            <w:r>
              <w:rPr>
                <w:rFonts w:ascii="Calibri" w:cs="Calibri" w:eastAsia="Calibri" w:hAnsi="Calibri"/>
                <w:b/>
                <w:bCs/>
                <w:sz w:val="17"/>
                <w:szCs w:val="17"/>
              </w:rPr>
              <w:t xml:space="preserve">Leave one subject out evaluation</w:t>
            </w:r>
          </w:p>
        </w:tc>
        <w:tc>
          <w:tcPr>
            <w:tcW w:type="dxa" w:w="2824"/>
            <w:tcBorders>
              <w:top w:val="single" w:color="B7C2D0" w:sz="4"/>
              <w:left w:val="single" w:color="B7C2D0" w:sz="4"/>
              <w:bottom w:val="single" w:color="B7C2D0" w:sz="4"/>
              <w:right w:val="single" w:color="B7C2D0" w:sz="4"/>
            </w:tcBorders>
            <w:shd w:fill="F7F9FC" w:color="auto" w:val="clear"/>
            <w:tcMar>
              <w:top w:type="dxa" w:w="60"/>
              <w:left w:type="dxa" w:w="90"/>
              <w:bottom w:type="dxa" w:w="60"/>
              <w:right w:type="dxa" w:w="90"/>
            </w:tcMar>
          </w:tcPr>
          <w:p>
            <w:pPr>
              <w:spacing w:after="0" w:line="252"/>
            </w:pPr>
            <w:r>
              <w:rPr>
                <w:rFonts w:ascii="Calibri" w:cs="Calibri" w:eastAsia="Calibri" w:hAnsi="Calibri"/>
                <w:sz w:val="17"/>
                <w:szCs w:val="17"/>
              </w:rPr>
              <w:t xml:space="preserve">Standard in all three AIM papers</w:t>
            </w:r>
          </w:p>
        </w:tc>
        <w:tc>
          <w:tcPr>
            <w:tcW w:type="dxa" w:w="2800"/>
            <w:tcBorders>
              <w:top w:val="single" w:color="B7C2D0" w:sz="4"/>
              <w:left w:val="single" w:color="B7C2D0" w:sz="4"/>
              <w:bottom w:val="single" w:color="B7C2D0" w:sz="4"/>
              <w:right w:val="single" w:color="B7C2D0" w:sz="4"/>
            </w:tcBorders>
            <w:shd w:fill="F7F9FC" w:color="auto" w:val="clear"/>
            <w:tcMar>
              <w:top w:type="dxa" w:w="60"/>
              <w:left w:type="dxa" w:w="90"/>
              <w:bottom w:type="dxa" w:w="60"/>
              <w:right w:type="dxa" w:w="90"/>
            </w:tcMar>
          </w:tcPr>
          <w:p>
            <w:pPr>
              <w:spacing w:after="0" w:line="252"/>
            </w:pPr>
            <w:r>
              <w:rPr>
                <w:rFonts w:ascii="Calibri" w:cs="Calibri" w:eastAsia="Calibri" w:hAnsi="Calibri"/>
                <w:sz w:val="17"/>
                <w:szCs w:val="17"/>
              </w:rPr>
              <w:t xml:space="preserve">Replace the 4 fold scheme so results sit on the lab's usual footing</w:t>
            </w:r>
          </w:p>
        </w:tc>
        <w:tc>
          <w:tcPr>
            <w:tcW w:type="dxa" w:w="2300"/>
            <w:tcBorders>
              <w:top w:val="single" w:color="B7C2D0" w:sz="4"/>
              <w:left w:val="single" w:color="B7C2D0" w:sz="4"/>
              <w:bottom w:val="single" w:color="B7C2D0" w:sz="4"/>
              <w:right w:val="single" w:color="B7C2D0" w:sz="4"/>
            </w:tcBorders>
            <w:shd w:fill="F7F9FC" w:color="auto" w:val="clear"/>
            <w:tcMar>
              <w:top w:type="dxa" w:w="60"/>
              <w:left w:type="dxa" w:w="90"/>
              <w:bottom w:type="dxa" w:w="60"/>
              <w:right w:type="dxa" w:w="90"/>
            </w:tcMar>
          </w:tcPr>
          <w:p>
            <w:pPr>
              <w:spacing w:after="0" w:line="252"/>
            </w:pPr>
            <w:r>
              <w:rPr>
                <w:rFonts w:ascii="Calibri" w:cs="Calibri" w:eastAsia="Calibri" w:hAnsi="Calibri"/>
                <w:sz w:val="17"/>
                <w:szCs w:val="17"/>
              </w:rPr>
              <w:t xml:space="preserve">Aligns reporting with the lab</w:t>
            </w:r>
          </w:p>
        </w:tc>
      </w:tr>
      <w:tr>
        <w:trPr>
          <w:cantSplit/>
        </w:trPr>
        <w:tc>
          <w:tcPr>
            <w:tcW w:type="dxa" w:w="2300"/>
            <w:tcBorders>
              <w:top w:val="single" w:color="B7C2D0" w:sz="4"/>
              <w:left w:val="single" w:color="B7C2D0" w:sz="4"/>
              <w:bottom w:val="single" w:color="B7C2D0" w:sz="4"/>
              <w:right w:val="single" w:color="B7C2D0" w:sz="4"/>
            </w:tcBorders>
            <w:tcMar>
              <w:top w:type="dxa" w:w="60"/>
              <w:left w:type="dxa" w:w="90"/>
              <w:bottom w:type="dxa" w:w="60"/>
              <w:right w:type="dxa" w:w="90"/>
            </w:tcMar>
          </w:tcPr>
          <w:p>
            <w:pPr>
              <w:spacing w:after="0" w:line="252"/>
            </w:pPr>
            <w:r>
              <w:rPr>
                <w:rFonts w:ascii="Calibri" w:cs="Calibri" w:eastAsia="Calibri" w:hAnsi="Calibri"/>
                <w:b/>
                <w:bCs/>
                <w:sz w:val="17"/>
                <w:szCs w:val="17"/>
              </w:rPr>
              <w:t xml:space="preserve">Window length sweep that includes 5 s</w:t>
            </w:r>
          </w:p>
        </w:tc>
        <w:tc>
          <w:tcPr>
            <w:tcW w:type="dxa" w:w="2824"/>
            <w:tcBorders>
              <w:top w:val="single" w:color="B7C2D0" w:sz="4"/>
              <w:left w:val="single" w:color="B7C2D0" w:sz="4"/>
              <w:bottom w:val="single" w:color="B7C2D0" w:sz="4"/>
              <w:right w:val="single" w:color="B7C2D0" w:sz="4"/>
            </w:tcBorders>
            <w:tcMar>
              <w:top w:type="dxa" w:w="60"/>
              <w:left w:type="dxa" w:w="90"/>
              <w:bottom w:type="dxa" w:w="60"/>
              <w:right w:type="dxa" w:w="90"/>
            </w:tcMar>
          </w:tcPr>
          <w:p>
            <w:pPr>
              <w:spacing w:after="0" w:line="252"/>
            </w:pPr>
            <w:r>
              <w:rPr>
                <w:rFonts w:ascii="Calibri" w:cs="Calibri" w:eastAsia="Calibri" w:hAnsi="Calibri"/>
                <w:sz w:val="17"/>
                <w:szCs w:val="17"/>
              </w:rPr>
              <w:t xml:space="preserve">Diou et al. use 5 s so each window holds at least five chews at 1 Hz. The AIM papers used 8, 10 and 15 s</w:t>
            </w:r>
          </w:p>
        </w:tc>
        <w:tc>
          <w:tcPr>
            <w:tcW w:type="dxa" w:w="2800"/>
            <w:tcBorders>
              <w:top w:val="single" w:color="B7C2D0" w:sz="4"/>
              <w:left w:val="single" w:color="B7C2D0" w:sz="4"/>
              <w:bottom w:val="single" w:color="B7C2D0" w:sz="4"/>
              <w:right w:val="single" w:color="B7C2D0" w:sz="4"/>
            </w:tcBorders>
            <w:tcMar>
              <w:top w:type="dxa" w:w="60"/>
              <w:left w:type="dxa" w:w="90"/>
              <w:bottom w:type="dxa" w:w="60"/>
              <w:right w:type="dxa" w:w="90"/>
            </w:tcMar>
          </w:tcPr>
          <w:p>
            <w:pPr>
              <w:spacing w:after="0" w:line="252"/>
            </w:pPr>
            <w:r>
              <w:rPr>
                <w:rFonts w:ascii="Calibri" w:cs="Calibri" w:eastAsia="Calibri" w:hAnsi="Calibri"/>
                <w:sz w:val="17"/>
                <w:szCs w:val="17"/>
              </w:rPr>
              <w:t xml:space="preserve">Already planned as a 2, 4, 8 and 16 s sweep. Adding 5 s links it to prior choices</w:t>
            </w:r>
          </w:p>
        </w:tc>
        <w:tc>
          <w:tcPr>
            <w:tcW w:type="dxa" w:w="2300"/>
            <w:tcBorders>
              <w:top w:val="single" w:color="B7C2D0" w:sz="4"/>
              <w:left w:val="single" w:color="B7C2D0" w:sz="4"/>
              <w:bottom w:val="single" w:color="B7C2D0" w:sz="4"/>
              <w:right w:val="single" w:color="B7C2D0" w:sz="4"/>
            </w:tcBorders>
            <w:tcMar>
              <w:top w:type="dxa" w:w="60"/>
              <w:left w:type="dxa" w:w="90"/>
              <w:bottom w:type="dxa" w:w="60"/>
              <w:right w:type="dxa" w:w="90"/>
            </w:tcMar>
          </w:tcPr>
          <w:p>
            <w:pPr>
              <w:spacing w:after="0" w:line="252"/>
            </w:pPr>
            <w:r>
              <w:rPr>
                <w:rFonts w:ascii="Calibri" w:cs="Calibri" w:eastAsia="Calibri" w:hAnsi="Calibri"/>
                <w:sz w:val="17"/>
                <w:szCs w:val="17"/>
              </w:rPr>
              <w:t xml:space="preserve">Systematic comparison not reported for AIM</w:t>
            </w:r>
          </w:p>
        </w:tc>
      </w:tr>
      <w:tr>
        <w:trPr>
          <w:cantSplit/>
        </w:trPr>
        <w:tc>
          <w:tcPr>
            <w:tcW w:type="dxa" w:w="2300"/>
            <w:tcBorders>
              <w:top w:val="single" w:color="B7C2D0" w:sz="4"/>
              <w:left w:val="single" w:color="B7C2D0" w:sz="4"/>
              <w:bottom w:val="single" w:color="B7C2D0" w:sz="4"/>
              <w:right w:val="single" w:color="B7C2D0" w:sz="4"/>
            </w:tcBorders>
            <w:shd w:fill="F7F9FC" w:color="auto" w:val="clear"/>
            <w:tcMar>
              <w:top w:type="dxa" w:w="60"/>
              <w:left w:type="dxa" w:w="90"/>
              <w:bottom w:type="dxa" w:w="60"/>
              <w:right w:type="dxa" w:w="90"/>
            </w:tcMar>
          </w:tcPr>
          <w:p>
            <w:pPr>
              <w:spacing w:after="0" w:line="252"/>
            </w:pPr>
            <w:r>
              <w:rPr>
                <w:rFonts w:ascii="Calibri" w:cs="Calibri" w:eastAsia="Calibri" w:hAnsi="Calibri"/>
                <w:b/>
                <w:bCs/>
                <w:sz w:val="17"/>
                <w:szCs w:val="17"/>
              </w:rPr>
              <w:t xml:space="preserve">Multi task learning with bite and chew targets</w:t>
            </w:r>
          </w:p>
        </w:tc>
        <w:tc>
          <w:tcPr>
            <w:tcW w:type="dxa" w:w="2824"/>
            <w:tcBorders>
              <w:top w:val="single" w:color="B7C2D0" w:sz="4"/>
              <w:left w:val="single" w:color="B7C2D0" w:sz="4"/>
              <w:bottom w:val="single" w:color="B7C2D0" w:sz="4"/>
              <w:right w:val="single" w:color="B7C2D0" w:sz="4"/>
            </w:tcBorders>
            <w:shd w:fill="F7F9FC" w:color="auto" w:val="clear"/>
            <w:tcMar>
              <w:top w:type="dxa" w:w="60"/>
              <w:left w:type="dxa" w:w="90"/>
              <w:bottom w:type="dxa" w:w="60"/>
              <w:right w:type="dxa" w:w="90"/>
            </w:tcMar>
          </w:tcPr>
          <w:p>
            <w:pPr>
              <w:spacing w:after="0" w:line="252"/>
            </w:pPr>
            <w:r>
              <w:rPr>
                <w:rFonts w:ascii="Calibri" w:cs="Calibri" w:eastAsia="Calibri" w:hAnsi="Calibri"/>
                <w:sz w:val="17"/>
                <w:szCs w:val="17"/>
              </w:rPr>
              <w:t xml:space="preserve">Chew counting work by Farooq and Sazonov. Bite labels are in the database</w:t>
            </w:r>
          </w:p>
        </w:tc>
        <w:tc>
          <w:tcPr>
            <w:tcW w:type="dxa" w:w="2800"/>
            <w:tcBorders>
              <w:top w:val="single" w:color="B7C2D0" w:sz="4"/>
              <w:left w:val="single" w:color="B7C2D0" w:sz="4"/>
              <w:bottom w:val="single" w:color="B7C2D0" w:sz="4"/>
              <w:right w:val="single" w:color="B7C2D0" w:sz="4"/>
            </w:tcBorders>
            <w:shd w:fill="F7F9FC" w:color="auto" w:val="clear"/>
            <w:tcMar>
              <w:top w:type="dxa" w:w="60"/>
              <w:left w:type="dxa" w:w="90"/>
              <w:bottom w:type="dxa" w:w="60"/>
              <w:right w:type="dxa" w:w="90"/>
            </w:tcMar>
          </w:tcPr>
          <w:p>
            <w:pPr>
              <w:spacing w:after="0" w:line="252"/>
            </w:pPr>
            <w:r>
              <w:rPr>
                <w:rFonts w:ascii="Calibri" w:cs="Calibri" w:eastAsia="Calibri" w:hAnsi="Calibri"/>
                <w:sz w:val="17"/>
                <w:szCs w:val="17"/>
              </w:rPr>
              <w:t xml:space="preserve">Extend the auxiliary head to bite count alongside chew count</w:t>
            </w:r>
          </w:p>
        </w:tc>
        <w:tc>
          <w:tcPr>
            <w:tcW w:type="dxa" w:w="2300"/>
            <w:tcBorders>
              <w:top w:val="single" w:color="B7C2D0" w:sz="4"/>
              <w:left w:val="single" w:color="B7C2D0" w:sz="4"/>
              <w:bottom w:val="single" w:color="B7C2D0" w:sz="4"/>
              <w:right w:val="single" w:color="B7C2D0" w:sz="4"/>
            </w:tcBorders>
            <w:shd w:fill="F7F9FC" w:color="auto" w:val="clear"/>
            <w:tcMar>
              <w:top w:type="dxa" w:w="60"/>
              <w:left w:type="dxa" w:w="90"/>
              <w:bottom w:type="dxa" w:w="60"/>
              <w:right w:type="dxa" w:w="90"/>
            </w:tcMar>
          </w:tcPr>
          <w:p>
            <w:pPr>
              <w:spacing w:after="0" w:line="252"/>
            </w:pPr>
            <w:r>
              <w:rPr>
                <w:rFonts w:ascii="Calibri" w:cs="Calibri" w:eastAsia="Calibri" w:hAnsi="Calibri"/>
                <w:sz w:val="17"/>
                <w:szCs w:val="17"/>
              </w:rPr>
              <w:t xml:space="preserve">Not found in the reviewed papers</w:t>
            </w:r>
          </w:p>
        </w:tc>
      </w:tr>
      <w:tr>
        <w:trPr>
          <w:cantSplit/>
        </w:trPr>
        <w:tc>
          <w:tcPr>
            <w:tcW w:type="dxa" w:w="2300"/>
            <w:tcBorders>
              <w:top w:val="single" w:color="B7C2D0" w:sz="4"/>
              <w:left w:val="single" w:color="B7C2D0" w:sz="4"/>
              <w:bottom w:val="single" w:color="B7C2D0" w:sz="4"/>
              <w:right w:val="single" w:color="B7C2D0" w:sz="4"/>
            </w:tcBorders>
            <w:tcMar>
              <w:top w:type="dxa" w:w="60"/>
              <w:left w:type="dxa" w:w="90"/>
              <w:bottom w:type="dxa" w:w="60"/>
              <w:right w:type="dxa" w:w="90"/>
            </w:tcMar>
          </w:tcPr>
          <w:p>
            <w:pPr>
              <w:spacing w:after="0" w:line="252"/>
            </w:pPr>
            <w:r>
              <w:rPr>
                <w:rFonts w:ascii="Calibri" w:cs="Calibri" w:eastAsia="Calibri" w:hAnsi="Calibri"/>
                <w:b/>
                <w:bCs/>
                <w:sz w:val="17"/>
                <w:szCs w:val="17"/>
              </w:rPr>
              <w:t xml:space="preserve">Period aware spectral module</w:t>
            </w:r>
          </w:p>
        </w:tc>
        <w:tc>
          <w:tcPr>
            <w:tcW w:type="dxa" w:w="2824"/>
            <w:tcBorders>
              <w:top w:val="single" w:color="B7C2D0" w:sz="4"/>
              <w:left w:val="single" w:color="B7C2D0" w:sz="4"/>
              <w:bottom w:val="single" w:color="B7C2D0" w:sz="4"/>
              <w:right w:val="single" w:color="B7C2D0" w:sz="4"/>
            </w:tcBorders>
            <w:tcMar>
              <w:top w:type="dxa" w:w="60"/>
              <w:left w:type="dxa" w:w="90"/>
              <w:bottom w:type="dxa" w:w="60"/>
              <w:right w:type="dxa" w:w="90"/>
            </w:tcMar>
          </w:tcPr>
          <w:p>
            <w:pPr>
              <w:spacing w:after="0" w:line="252"/>
            </w:pPr>
            <w:r>
              <w:rPr>
                <w:rFonts w:ascii="Calibri" w:cs="Calibri" w:eastAsia="Calibri" w:hAnsi="Calibri"/>
                <w:sz w:val="17"/>
                <w:szCs w:val="17"/>
              </w:rPr>
              <w:t xml:space="preserve">The time frequency block in Yang et al. 2026 finds dominant periods by FFT</w:t>
            </w:r>
          </w:p>
        </w:tc>
        <w:tc>
          <w:tcPr>
            <w:tcW w:type="dxa" w:w="2800"/>
            <w:tcBorders>
              <w:top w:val="single" w:color="B7C2D0" w:sz="4"/>
              <w:left w:val="single" w:color="B7C2D0" w:sz="4"/>
              <w:bottom w:val="single" w:color="B7C2D0" w:sz="4"/>
              <w:right w:val="single" w:color="B7C2D0" w:sz="4"/>
            </w:tcBorders>
            <w:tcMar>
              <w:top w:type="dxa" w:w="60"/>
              <w:left w:type="dxa" w:w="90"/>
              <w:bottom w:type="dxa" w:w="60"/>
              <w:right w:type="dxa" w:w="90"/>
            </w:tcMar>
          </w:tcPr>
          <w:p>
            <w:pPr>
              <w:spacing w:after="0" w:line="252"/>
            </w:pPr>
            <w:r>
              <w:rPr>
                <w:rFonts w:ascii="Calibri" w:cs="Calibri" w:eastAsia="Calibri" w:hAnsi="Calibri"/>
                <w:sz w:val="17"/>
                <w:szCs w:val="17"/>
              </w:rPr>
              <w:t xml:space="preserve">Chewing is quasi periodic near 1 to 2.5 Hz. A period aware block could add spectral cues without discarding phase</w:t>
            </w:r>
          </w:p>
        </w:tc>
        <w:tc>
          <w:tcPr>
            <w:tcW w:type="dxa" w:w="2300"/>
            <w:tcBorders>
              <w:top w:val="single" w:color="B7C2D0" w:sz="4"/>
              <w:left w:val="single" w:color="B7C2D0" w:sz="4"/>
              <w:bottom w:val="single" w:color="B7C2D0" w:sz="4"/>
              <w:right w:val="single" w:color="B7C2D0" w:sz="4"/>
            </w:tcBorders>
            <w:tcMar>
              <w:top w:type="dxa" w:w="60"/>
              <w:left w:type="dxa" w:w="90"/>
              <w:bottom w:type="dxa" w:w="60"/>
              <w:right w:type="dxa" w:w="90"/>
            </w:tcMar>
          </w:tcPr>
          <w:p>
            <w:pPr>
              <w:spacing w:after="0" w:line="252"/>
            </w:pPr>
            <w:r>
              <w:rPr>
                <w:rFonts w:ascii="Calibri" w:cs="Calibri" w:eastAsia="Calibri" w:hAnsi="Calibri"/>
                <w:sz w:val="17"/>
                <w:szCs w:val="17"/>
              </w:rPr>
              <w:t xml:space="preserve">Exploratory</w:t>
            </w:r>
          </w:p>
        </w:tc>
      </w:tr>
      <w:tr>
        <w:trPr>
          <w:cantSplit/>
        </w:trPr>
        <w:tc>
          <w:tcPr>
            <w:tcW w:type="dxa" w:w="2300"/>
            <w:tcBorders>
              <w:top w:val="single" w:color="B7C2D0" w:sz="4"/>
              <w:left w:val="single" w:color="B7C2D0" w:sz="4"/>
              <w:bottom w:val="single" w:color="B7C2D0" w:sz="4"/>
              <w:right w:val="single" w:color="B7C2D0" w:sz="4"/>
            </w:tcBorders>
            <w:shd w:fill="F7F9FC" w:color="auto" w:val="clear"/>
            <w:tcMar>
              <w:top w:type="dxa" w:w="60"/>
              <w:left w:type="dxa" w:w="90"/>
              <w:bottom w:type="dxa" w:w="60"/>
              <w:right w:type="dxa" w:w="90"/>
            </w:tcMar>
          </w:tcPr>
          <w:p>
            <w:pPr>
              <w:spacing w:after="0" w:line="252"/>
            </w:pPr>
            <w:r>
              <w:rPr>
                <w:rFonts w:ascii="Calibri" w:cs="Calibri" w:eastAsia="Calibri" w:hAnsi="Calibri"/>
                <w:b/>
                <w:bCs/>
                <w:sz w:val="17"/>
                <w:szCs w:val="17"/>
              </w:rPr>
              <w:t xml:space="preserve">Episode level metrics</w:t>
            </w:r>
          </w:p>
        </w:tc>
        <w:tc>
          <w:tcPr>
            <w:tcW w:type="dxa" w:w="2824"/>
            <w:tcBorders>
              <w:top w:val="single" w:color="B7C2D0" w:sz="4"/>
              <w:left w:val="single" w:color="B7C2D0" w:sz="4"/>
              <w:bottom w:val="single" w:color="B7C2D0" w:sz="4"/>
              <w:right w:val="single" w:color="B7C2D0" w:sz="4"/>
            </w:tcBorders>
            <w:shd w:fill="F7F9FC" w:color="auto" w:val="clear"/>
            <w:tcMar>
              <w:top w:type="dxa" w:w="60"/>
              <w:left w:type="dxa" w:w="90"/>
              <w:bottom w:type="dxa" w:w="60"/>
              <w:right w:type="dxa" w:w="90"/>
            </w:tcMar>
          </w:tcPr>
          <w:p>
            <w:pPr>
              <w:spacing w:after="0" w:line="252"/>
            </w:pPr>
            <w:r>
              <w:rPr>
                <w:rFonts w:ascii="Calibri" w:cs="Calibri" w:eastAsia="Calibri" w:hAnsi="Calibri"/>
                <w:sz w:val="17"/>
                <w:szCs w:val="17"/>
              </w:rPr>
              <w:t xml:space="preserve">Reported in Doulah 2021, Ghosh 2024 and Diou 2022</w:t>
            </w:r>
          </w:p>
        </w:tc>
        <w:tc>
          <w:tcPr>
            <w:tcW w:type="dxa" w:w="2800"/>
            <w:tcBorders>
              <w:top w:val="single" w:color="B7C2D0" w:sz="4"/>
              <w:left w:val="single" w:color="B7C2D0" w:sz="4"/>
              <w:bottom w:val="single" w:color="B7C2D0" w:sz="4"/>
              <w:right w:val="single" w:color="B7C2D0" w:sz="4"/>
            </w:tcBorders>
            <w:shd w:fill="F7F9FC" w:color="auto" w:val="clear"/>
            <w:tcMar>
              <w:top w:type="dxa" w:w="60"/>
              <w:left w:type="dxa" w:w="90"/>
              <w:bottom w:type="dxa" w:w="60"/>
              <w:right w:type="dxa" w:w="90"/>
            </w:tcMar>
          </w:tcPr>
          <w:p>
            <w:pPr>
              <w:spacing w:after="0" w:line="252"/>
            </w:pPr>
            <w:r>
              <w:rPr>
                <w:rFonts w:ascii="Calibri" w:cs="Calibri" w:eastAsia="Calibri" w:hAnsi="Calibri"/>
                <w:sz w:val="17"/>
                <w:szCs w:val="17"/>
              </w:rPr>
              <w:t xml:space="preserve">Report episodes alongside window metrics</w:t>
            </w:r>
          </w:p>
        </w:tc>
        <w:tc>
          <w:tcPr>
            <w:tcW w:type="dxa" w:w="2300"/>
            <w:tcBorders>
              <w:top w:val="single" w:color="B7C2D0" w:sz="4"/>
              <w:left w:val="single" w:color="B7C2D0" w:sz="4"/>
              <w:bottom w:val="single" w:color="B7C2D0" w:sz="4"/>
              <w:right w:val="single" w:color="B7C2D0" w:sz="4"/>
            </w:tcBorders>
            <w:shd w:fill="F7F9FC" w:color="auto" w:val="clear"/>
            <w:tcMar>
              <w:top w:type="dxa" w:w="60"/>
              <w:left w:type="dxa" w:w="90"/>
              <w:bottom w:type="dxa" w:w="60"/>
              <w:right w:type="dxa" w:w="90"/>
            </w:tcMar>
          </w:tcPr>
          <w:p>
            <w:pPr>
              <w:spacing w:after="0" w:line="252"/>
            </w:pPr>
            <w:r>
              <w:rPr>
                <w:rFonts w:ascii="Calibri" w:cs="Calibri" w:eastAsia="Calibri" w:hAnsi="Calibri"/>
                <w:sz w:val="17"/>
                <w:szCs w:val="17"/>
              </w:rPr>
              <w:t xml:space="preserve">Aligns reporting with the lab</w:t>
            </w:r>
          </w:p>
        </w:tc>
      </w:tr>
    </w:tbl>
    <w:p>
      <w:pPr>
        <w:pStyle w:val="Heading1"/>
        <w:spacing w:after="120" w:before="300"/>
      </w:pPr>
      <w:r>
        <w:rPr>
          <w:rFonts w:ascii="Calibri" w:cs="Calibri" w:eastAsia="Calibri" w:hAnsi="Calibri"/>
        </w:rPr>
        <w:t xml:space="preserve">Recommendation</w:t>
      </w:r>
    </w:p>
    <w:p>
      <w:pPr>
        <w:spacing w:after="140" w:before="120" w:line="276"/>
        <w:jc w:val="left"/>
      </w:pPr>
      <w:r>
        <w:rPr>
          <w:rFonts w:ascii="Calibri" w:cs="Calibri" w:eastAsia="Calibri" w:hAnsi="Calibri"/>
          <w:sz w:val="22"/>
          <w:szCs w:val="22"/>
        </w:rPr>
        <w:t xml:space="preserve">I recommend continuing with a </w:t>
      </w:r>
      <w:r>
        <w:rPr>
          <w:rFonts w:ascii="Calibri" w:cs="Calibri" w:eastAsia="Calibri" w:hAnsi="Calibri"/>
          <w:b/>
          <w:bCs/>
          <w:sz w:val="22"/>
          <w:szCs w:val="22"/>
        </w:rPr>
        <w:t xml:space="preserve">compact one dimensional convolutional network on band passed four channel time series</w:t>
      </w:r>
      <w:r>
        <w:rPr>
          <w:rFonts w:ascii="Calibri" w:cs="Calibri" w:eastAsia="Calibri" w:hAnsi="Calibri"/>
          <w:sz w:val="22"/>
          <w:szCs w:val="22"/>
        </w:rPr>
        <w:t xml:space="preserve">, evaluated with subject independent validation. This agrees with the strongest result in the lab's own prior work and with the controlled ablation on the new database, where the representation accounted for nearly all of the improvement.</w:t>
      </w:r>
    </w:p>
    <w:p>
      <w:pPr>
        <w:spacing w:after="140" w:before="120" w:line="276"/>
        <w:jc w:val="left"/>
      </w:pPr>
      <w:r>
        <w:rPr>
          <w:rFonts w:ascii="Calibri" w:cs="Calibri" w:eastAsia="Calibri" w:hAnsi="Calibri"/>
          <w:sz w:val="22"/>
          <w:szCs w:val="22"/>
        </w:rPr>
        <w:t xml:space="preserve">I do not recommend moving to a transformer at this stage. The reviewed transformer results come from far larger datasets and from splits that do not separate subjects, and my own attention components did not separate from noise with 20 sessions.</w:t>
      </w:r>
    </w:p>
    <w:p>
      <w:pPr>
        <w:spacing w:after="140" w:before="120" w:line="276"/>
        <w:jc w:val="left"/>
      </w:pPr>
      <w:r>
        <w:rPr>
          <w:rFonts w:ascii="Calibri" w:cs="Calibri" w:eastAsia="Calibri" w:hAnsi="Calibri"/>
          <w:sz w:val="22"/>
          <w:szCs w:val="22"/>
        </w:rPr>
        <w:t xml:space="preserve">The places where this project can add something new are mostly outside the architecture. The first is a clean comparison against the 2022 ResNet on the new database. The second is using the unannotated sessions through self supervised pretraining, which addresses the limit on labelled data directly. The third is the set of controlled negative results on smoothing and context, which add a subject independent view to a question the lab has so far studied under different conditions.</w:t>
      </w:r>
    </w:p>
    <w:p>
      <w:pPr>
        <w:pStyle w:val="Heading1"/>
        <w:spacing w:after="120" w:before="300"/>
      </w:pPr>
      <w:r>
        <w:rPr>
          <w:rFonts w:ascii="Calibri" w:cs="Calibri" w:eastAsia="Calibri" w:hAnsi="Calibri"/>
        </w:rPr>
        <w:t xml:space="preserve">References</w:t>
      </w:r>
    </w:p>
    <w:p>
      <w:pPr>
        <w:spacing w:after="80"/>
        <w:ind w:left="440" w:hanging="440"/>
      </w:pPr>
      <w:r>
        <w:rPr>
          <w:rFonts w:ascii="Calibri" w:cs="Calibri" w:eastAsia="Calibri" w:hAnsi="Calibri"/>
          <w:b/>
          <w:bCs/>
          <w:sz w:val="18"/>
          <w:szCs w:val="18"/>
        </w:rPr>
        <w:t xml:space="preserve">[1]  </w:t>
      </w:r>
      <w:r>
        <w:rPr>
          <w:rFonts w:ascii="Calibri" w:cs="Calibri" w:eastAsia="Calibri" w:hAnsi="Calibri"/>
          <w:sz w:val="18"/>
          <w:szCs w:val="18"/>
        </w:rPr>
        <w:t xml:space="preserve">A. Doulah, T. Ghosh, D. Hossain, M. H. Imtiaz, and E. Sazonov, "Automatic Ingestion Monitor Version 2 - A Novel Wearable Device for Automatic Food Intake Detection and Passive Capture of Food Images," IEEE Journal of Biomedical and Health Informatics, vol. 25, no. 2, pp. 568-576, 2021. doi 10.1109/JBHI.2020.2995473</w:t>
      </w:r>
    </w:p>
    <w:p>
      <w:pPr>
        <w:spacing w:after="80"/>
        <w:ind w:left="440" w:hanging="440"/>
      </w:pPr>
      <w:r>
        <w:rPr>
          <w:rFonts w:ascii="Calibri" w:cs="Calibri" w:eastAsia="Calibri" w:hAnsi="Calibri"/>
          <w:b/>
          <w:bCs/>
          <w:sz w:val="18"/>
          <w:szCs w:val="18"/>
        </w:rPr>
        <w:t xml:space="preserve">[2]  </w:t>
      </w:r>
      <w:r>
        <w:rPr>
          <w:rFonts w:ascii="Calibri" w:cs="Calibri" w:eastAsia="Calibri" w:hAnsi="Calibri"/>
          <w:sz w:val="18"/>
          <w:szCs w:val="18"/>
        </w:rPr>
        <w:t xml:space="preserve">T. Ghosh and E. Sazonov, "A Comparative Study of Deep Learning Algorithms for Detecting Food Intake," in Proc. 44th Annual International Conference of the IEEE EMBC, Glasgow, 2022, pp. 2993-2996. doi 10.1109/EMBC48229.2022.9871278</w:t>
      </w:r>
    </w:p>
    <w:p>
      <w:pPr>
        <w:spacing w:after="80"/>
        <w:ind w:left="440" w:hanging="440"/>
      </w:pPr>
      <w:r>
        <w:rPr>
          <w:rFonts w:ascii="Calibri" w:cs="Calibri" w:eastAsia="Calibri" w:hAnsi="Calibri"/>
          <w:b/>
          <w:bCs/>
          <w:sz w:val="18"/>
          <w:szCs w:val="18"/>
        </w:rPr>
        <w:t xml:space="preserve">[3]  </w:t>
      </w:r>
      <w:r>
        <w:rPr>
          <w:rFonts w:ascii="Calibri" w:cs="Calibri" w:eastAsia="Calibri" w:hAnsi="Calibri"/>
          <w:sz w:val="18"/>
          <w:szCs w:val="18"/>
        </w:rPr>
        <w:t xml:space="preserve">T. Ghosh, Y. Han, V. Raju, D. Hossain, M. A. McCrory, J. Higgins, C. Boushey, E. J. Delp, and E. Sazonov, "Integrated image and sensor-based food intake detection in free-living," Scientific Reports, vol. 14, 1665, 2024. doi 10.1038/s41598-024-51687-3</w:t>
      </w:r>
    </w:p>
    <w:p>
      <w:pPr>
        <w:spacing w:after="80"/>
        <w:ind w:left="440" w:hanging="440"/>
      </w:pPr>
      <w:r>
        <w:rPr>
          <w:rFonts w:ascii="Calibri" w:cs="Calibri" w:eastAsia="Calibri" w:hAnsi="Calibri"/>
          <w:b/>
          <w:bCs/>
          <w:sz w:val="18"/>
          <w:szCs w:val="18"/>
        </w:rPr>
        <w:t xml:space="preserve">[4]  </w:t>
      </w:r>
      <w:r>
        <w:rPr>
          <w:rFonts w:ascii="Calibri" w:cs="Calibri" w:eastAsia="Calibri" w:hAnsi="Calibri"/>
          <w:sz w:val="18"/>
          <w:szCs w:val="18"/>
        </w:rPr>
        <w:t xml:space="preserve">C. Diou, K. Kyritsis, V. Papapanagiotou, and I. Sarafis, "Intake Monitoring in Free-Living Conditions. Overview and Lessons We Have Learned," Appetite, 2022. doi 10.1016/j.appet.2022.106096</w:t>
      </w:r>
    </w:p>
    <w:p>
      <w:pPr>
        <w:spacing w:after="80"/>
        <w:ind w:left="440" w:hanging="440"/>
      </w:pPr>
      <w:r>
        <w:rPr>
          <w:rFonts w:ascii="Calibri" w:cs="Calibri" w:eastAsia="Calibri" w:hAnsi="Calibri"/>
          <w:b/>
          <w:bCs/>
          <w:sz w:val="18"/>
          <w:szCs w:val="18"/>
        </w:rPr>
        <w:t xml:space="preserve">[5]  </w:t>
      </w:r>
      <w:r>
        <w:rPr>
          <w:rFonts w:ascii="Calibri" w:cs="Calibri" w:eastAsia="Calibri" w:hAnsi="Calibri"/>
          <w:sz w:val="18"/>
          <w:szCs w:val="18"/>
        </w:rPr>
        <w:t xml:space="preserve">M. Usman and H. Chen, "Recent Trends in Food Intake Monitoring using Wearable Sensors," arXiv 2101.01378, 2021.</w:t>
      </w:r>
    </w:p>
    <w:p>
      <w:pPr>
        <w:spacing w:after="80"/>
        <w:ind w:left="440" w:hanging="440"/>
      </w:pPr>
      <w:r>
        <w:rPr>
          <w:rFonts w:ascii="Calibri" w:cs="Calibri" w:eastAsia="Calibri" w:hAnsi="Calibri"/>
          <w:b/>
          <w:bCs/>
          <w:sz w:val="18"/>
          <w:szCs w:val="18"/>
        </w:rPr>
        <w:t xml:space="preserve">[6]  </w:t>
      </w:r>
      <w:r>
        <w:rPr>
          <w:rFonts w:ascii="Calibri" w:cs="Calibri" w:eastAsia="Calibri" w:hAnsi="Calibri"/>
          <w:sz w:val="18"/>
          <w:szCs w:val="18"/>
        </w:rPr>
        <w:t xml:space="preserve">J. Yang, Y. Wang, M. Yang, and H. Meng, "Signal classification based on multi-scale time-frequency transformer," Physical Communication, vol. 75, 103022, 2026. doi 10.1016/j.phycom.2026.103022</w:t>
      </w:r>
    </w:p>
    <w:p>
      <w:pPr>
        <w:spacing w:after="80"/>
        <w:ind w:left="440" w:hanging="440"/>
      </w:pPr>
      <w:r>
        <w:rPr>
          <w:rFonts w:ascii="Calibri" w:cs="Calibri" w:eastAsia="Calibri" w:hAnsi="Calibri"/>
          <w:b/>
          <w:bCs/>
          <w:sz w:val="18"/>
          <w:szCs w:val="18"/>
        </w:rPr>
        <w:t xml:space="preserve">[7]  </w:t>
      </w:r>
      <w:r>
        <w:rPr>
          <w:rFonts w:ascii="Calibri" w:cs="Calibri" w:eastAsia="Calibri" w:hAnsi="Calibri"/>
          <w:sz w:val="18"/>
          <w:szCs w:val="18"/>
        </w:rPr>
        <w:t xml:space="preserve">S. Ikram et al., "Transformer-based ECG classification for early detection of cardiac arrhythmias," Frontiers in Medicine, vol. 12, 1600855, 2025. doi 10.3389/fmed.2025.1600855</w:t>
      </w:r>
    </w:p>
    <w:p>
      <w:pPr>
        <w:spacing w:after="80"/>
        <w:ind w:left="440" w:hanging="440"/>
      </w:pPr>
      <w:r>
        <w:rPr>
          <w:rFonts w:ascii="Calibri" w:cs="Calibri" w:eastAsia="Calibri" w:hAnsi="Calibri"/>
          <w:b/>
          <w:bCs/>
          <w:sz w:val="18"/>
          <w:szCs w:val="18"/>
        </w:rPr>
        <w:t xml:space="preserve">[8]  </w:t>
      </w:r>
      <w:r>
        <w:rPr>
          <w:rFonts w:ascii="Calibri" w:cs="Calibri" w:eastAsia="Calibri" w:hAnsi="Calibri"/>
          <w:sz w:val="18"/>
          <w:szCs w:val="18"/>
        </w:rPr>
        <w:t xml:space="preserve">J. Hu, L. Shen, and G. Sun, "Squeeze-and-Excitation Networks," in Proc. IEEE CVPR, 2018.</w:t>
      </w:r>
    </w:p>
    <w:p>
      <w:pPr>
        <w:spacing w:after="80"/>
        <w:ind w:left="440" w:hanging="440"/>
      </w:pPr>
      <w:r>
        <w:rPr>
          <w:rFonts w:ascii="Calibri" w:cs="Calibri" w:eastAsia="Calibri" w:hAnsi="Calibri"/>
          <w:b/>
          <w:bCs/>
          <w:sz w:val="18"/>
          <w:szCs w:val="18"/>
        </w:rPr>
        <w:t xml:space="preserve">[9]  </w:t>
      </w:r>
      <w:r>
        <w:rPr>
          <w:rFonts w:ascii="Calibri" w:cs="Calibri" w:eastAsia="Calibri" w:hAnsi="Calibri"/>
          <w:sz w:val="18"/>
          <w:szCs w:val="18"/>
        </w:rPr>
        <w:t xml:space="preserve">M. Ilse, J. Tomczak, and M. Welling, "Attention-based Deep Multiple Instance Learning," in Proc. ICML, 2018.</w:t>
      </w:r>
    </w:p>
    <w:sectPr>
      <w:footerReference w:type="default" r:id="rId7"/>
      <w:pgSz w:w="12240" w:h="15840" w:orient="portrait"/>
      <w:pgMar w:top="1080" w:right="1008" w:bottom="1080"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88888"/>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00"/>
      <w:outlineLvl w:val="0"/>
    </w:pPr>
    <w:rPr>
      <w:rFonts w:ascii="Calibri" w:cs="Calibri" w:eastAsia="Calibri" w:hAnsi="Calibri"/>
      <w:b/>
      <w:bCs/>
      <w:color w:val="1F3864"/>
      <w:sz w:val="28"/>
      <w:szCs w:val="28"/>
    </w:rPr>
  </w:style>
  <w:style w:type="paragraph" w:styleId="Heading2">
    <w:name w:val="Heading 2"/>
    <w:basedOn w:val="Normal"/>
    <w:next w:val="Normal"/>
    <w:qFormat/>
    <w:pPr>
      <w:keepNext/>
      <w:spacing w:after="100" w:before="220"/>
      <w:outlineLvl w:val="1"/>
    </w:pPr>
    <w:rPr>
      <w:rFonts w:ascii="Calibri" w:cs="Calibri" w:eastAsia="Calibri" w:hAnsi="Calibri"/>
      <w:b/>
      <w:bCs/>
      <w:color w:val="2E559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Literature Review</dc:title>
  <dc:creator>Caelan Dunlea</dc:creator>
  <cp:lastModifiedBy>Un-named</cp:lastModifiedBy>
  <cp:revision>1</cp:revision>
  <dcterms:created xsi:type="dcterms:W3CDTF">2026-09-23T02:10:18.135Z</dcterms:created>
  <dcterms:modified xsi:type="dcterms:W3CDTF">2026-09-23T02:10:18.135Z</dcterms:modified>
</cp:coreProperties>
</file>

<file path=docProps/custom.xml><?xml version="1.0" encoding="utf-8"?>
<Properties xmlns="http://schemas.openxmlformats.org/officeDocument/2006/custom-properties" xmlns:vt="http://schemas.openxmlformats.org/officeDocument/2006/docPropsVTypes"/>
</file>