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82B7B" w14:textId="679788C6" w:rsidR="00BC1313" w:rsidRDefault="00D969FB" w:rsidP="00D969FB">
      <w:pPr>
        <w:jc w:val="both"/>
      </w:pPr>
      <w:r>
        <w:t>Introduction:</w:t>
      </w:r>
    </w:p>
    <w:p w14:paraId="7B14DE30" w14:textId="53368E05" w:rsidR="00D969FB" w:rsidRDefault="00D969FB" w:rsidP="00D969FB">
      <w:pPr>
        <w:jc w:val="both"/>
      </w:pPr>
      <w:r>
        <w:t>This study investigates the spatial distribution of crime across Leeds and its relationship with socioeconomic deprivation as understanding where crime is concentrated, alongside the factors associated with its incline or decline, is essential for informing effective police strategies and improving public safety. In particular, deprivation has been linked frequently to higher crime rates, making it an important variable for spatial analysis.</w:t>
      </w:r>
      <w:r w:rsidR="00BA63D3">
        <w:t xml:space="preserve"> By</w:t>
      </w:r>
      <w:r>
        <w:t xml:space="preserve"> </w:t>
      </w:r>
      <w:r w:rsidR="00BA63D3">
        <w:t xml:space="preserve">using </w:t>
      </w:r>
      <w:r w:rsidR="00353D81">
        <w:t>open-source</w:t>
      </w:r>
      <w:r w:rsidR="00BA63D3">
        <w:t xml:space="preserve"> data, including police record crime incidents and the index of multiple deprivation (IMD), this study applies spatial data science techniques on python to analyse crime and deprivation patterns by Lower Layer Super Output Area (LSOA) levels. By combining </w:t>
      </w:r>
      <w:r w:rsidR="00353D81">
        <w:t>point-based</w:t>
      </w:r>
      <w:r w:rsidR="00BA63D3">
        <w:t xml:space="preserve"> crime data with </w:t>
      </w:r>
      <w:r w:rsidR="00353D81">
        <w:t>area-based</w:t>
      </w:r>
      <w:r w:rsidR="00BA63D3">
        <w:t xml:space="preserve"> deprivation measures, the analysis aims to identify if more deprived areas experience </w:t>
      </w:r>
      <w:r w:rsidR="00353D81">
        <w:t xml:space="preserve">higher levels of crime. The findings of this study aim to provide insights that could support policy makers and local authorities in targeting police resources more effectively, contributing to safer and more equitable communities. </w:t>
      </w:r>
    </w:p>
    <w:p w14:paraId="01026285" w14:textId="1757B8A9" w:rsidR="00353D81" w:rsidRDefault="00772224" w:rsidP="00D969FB">
      <w:pPr>
        <w:jc w:val="both"/>
      </w:pPr>
      <w:r>
        <w:t>Data:</w:t>
      </w:r>
    </w:p>
    <w:p w14:paraId="3B0F87BA" w14:textId="06E93EDA" w:rsidR="009F2B14" w:rsidRDefault="00772224" w:rsidP="00D969FB">
      <w:pPr>
        <w:jc w:val="both"/>
      </w:pPr>
      <w:r>
        <w:t>This study utilises three open-source datasets to analyse the relationship between crime and deprivation in Leeds whereby crime data were obtained from the UK Police open data portal and consists of recorded crime incidents for April 2024. The dataset included geographic coordinates (Longitude and Latitude), crime types and other attributes that allowed for each incident to be spatially represented as a point</w:t>
      </w:r>
      <w:r w:rsidR="005E7586">
        <w:t xml:space="preserve">. Socioeconomic conditions were measured using the IMD dataset for 2025, which provides a composite score of deprivation for each LSOA in England. The IMD incorporates multiple dimensions including income, health, employment, education, and housing making it robust and reliable as an indicator of relative deprivation. </w:t>
      </w:r>
      <w:r w:rsidR="009F2B14">
        <w:t xml:space="preserve">Spatial boundaries were defined using the 2021 LSOA boundary dataset for England and Wales meaning the polygons represented small geographic areas designed for statistical analysis and enable reliable areas to be given to the point-based crime data. </w:t>
      </w:r>
    </w:p>
    <w:p w14:paraId="5F3CDC69" w14:textId="6A2D1457" w:rsidR="00E276DA" w:rsidRDefault="00E276DA" w:rsidP="00D969FB">
      <w:pPr>
        <w:jc w:val="both"/>
      </w:pPr>
      <w:r>
        <w:t xml:space="preserve">Before carrying out the main analysis an exploratory data analysis was conducted to understand the structure, completeness and initial patterns in the datasets with IMD and crime data being explored </w:t>
      </w:r>
      <w:proofErr w:type="gramStart"/>
      <w:r>
        <w:t>with .head</w:t>
      </w:r>
      <w:proofErr w:type="gramEnd"/>
      <w:r>
        <w:t xml:space="preserve"> and .info to confirm key variables such as coordinates alongside LSOA codes and make sure they were formatted correctly without missing any major values. The LSOA dataset was used </w:t>
      </w:r>
      <w:proofErr w:type="gramStart"/>
      <w:r>
        <w:t>alongside .explore</w:t>
      </w:r>
      <w:proofErr w:type="gramEnd"/>
      <w:r>
        <w:t xml:space="preserve"> to produce a visually interactive map which confirmed the range of the study area. Through initial mappi</w:t>
      </w:r>
      <w:r w:rsidR="002A7116">
        <w:t>n</w:t>
      </w:r>
      <w:r>
        <w:t xml:space="preserve">g and summary checks it was revealed that there was early evidence of spatial clustering around the centre of Leeds and that some LSOAs reported zero crimes which showed variation in the reporting data. </w:t>
      </w:r>
    </w:p>
    <w:p w14:paraId="0FF82753" w14:textId="52804854" w:rsidR="009F2B14" w:rsidRDefault="00AB1C14" w:rsidP="00D969FB">
      <w:pPr>
        <w:jc w:val="both"/>
      </w:pPr>
      <w:r>
        <w:t>Methods:</w:t>
      </w:r>
    </w:p>
    <w:p w14:paraId="700C1361" w14:textId="04B44FEA" w:rsidR="00AB1C14" w:rsidRDefault="00AB1C14" w:rsidP="00D969FB">
      <w:pPr>
        <w:jc w:val="both"/>
      </w:pPr>
      <w:r>
        <w:t>Initial preprocessing involved importing the required datasets and inspecting their structure using summary functions</w:t>
      </w:r>
      <w:r w:rsidR="00870C61">
        <w:t xml:space="preserve">, like .info </w:t>
      </w:r>
      <w:proofErr w:type="gramStart"/>
      <w:r w:rsidR="00870C61">
        <w:t>and .describe</w:t>
      </w:r>
      <w:proofErr w:type="gramEnd"/>
      <w:r w:rsidR="00870C61">
        <w:t>,</w:t>
      </w:r>
      <w:r>
        <w:t xml:space="preserve"> to identify relevant variables and potential data quality issues. The crime dataset was examined to ensure that latitude </w:t>
      </w:r>
      <w:r w:rsidR="00870C61">
        <w:t xml:space="preserve">and longitude </w:t>
      </w:r>
      <w:r>
        <w:t xml:space="preserve">fields were formatted correctly as numeric values, and any missing </w:t>
      </w:r>
      <w:r w:rsidR="00870C61">
        <w:t xml:space="preserve">or invalid entries were removed to retain analytical reliability. Alongside this, the IMD dataset was explored to identify the columns used within the dataset in order to find the corresponding LSOA codes that were required later for merging. </w:t>
      </w:r>
      <w:r w:rsidR="009320C0">
        <w:t xml:space="preserve">In order to </w:t>
      </w:r>
      <w:r w:rsidR="00CC5B9C">
        <w:t>de</w:t>
      </w:r>
      <w:r w:rsidR="009320C0">
        <w:t>fin</w:t>
      </w:r>
      <w:r w:rsidR="00CC5B9C">
        <w:t>e</w:t>
      </w:r>
      <w:r w:rsidR="009320C0">
        <w:t xml:space="preserve"> the study </w:t>
      </w:r>
      <w:proofErr w:type="gramStart"/>
      <w:r w:rsidR="009320C0">
        <w:t>area</w:t>
      </w:r>
      <w:proofErr w:type="gramEnd"/>
      <w:r w:rsidR="009320C0">
        <w:t xml:space="preserve"> </w:t>
      </w:r>
      <w:r w:rsidR="00CC5B9C">
        <w:t xml:space="preserve">the LSOA </w:t>
      </w:r>
      <w:proofErr w:type="spellStart"/>
      <w:r w:rsidR="00CC5B9C">
        <w:t>boundry</w:t>
      </w:r>
      <w:proofErr w:type="spellEnd"/>
      <w:r w:rsidR="00CC5B9C">
        <w:t xml:space="preserve"> dataset was examined and filtered based on the polygons containing the name ‘Leeds’ which produced a geospatial dataset representing the study area which was used in further analysis. </w:t>
      </w:r>
    </w:p>
    <w:p w14:paraId="75C2AB31" w14:textId="09532B77" w:rsidR="000A1072" w:rsidRDefault="00CC5B9C" w:rsidP="00D969FB">
      <w:pPr>
        <w:jc w:val="both"/>
      </w:pPr>
      <w:r>
        <w:lastRenderedPageBreak/>
        <w:t xml:space="preserve">With crime data being provided as point coordinates, they were converted into </w:t>
      </w:r>
      <w:r w:rsidR="00355299">
        <w:t xml:space="preserve">a </w:t>
      </w:r>
      <w:proofErr w:type="spellStart"/>
      <w:r w:rsidR="00355299">
        <w:t>Geodataframe</w:t>
      </w:r>
      <w:proofErr w:type="spellEnd"/>
      <w:r w:rsidR="00355299">
        <w:t xml:space="preserve"> to enable spatial analysis with the Coordinate reference system (CRS) being initially defined as EPSG:4326 which is the standard for longitude and latitude data</w:t>
      </w:r>
      <w:r w:rsidR="002A7116">
        <w:t xml:space="preserve"> (World Geodetic System, 1984)</w:t>
      </w:r>
      <w:r w:rsidR="00355299">
        <w:t xml:space="preserve"> and was then reprojected to </w:t>
      </w:r>
      <w:r w:rsidR="007B28A2">
        <w:t xml:space="preserve">CRS 27700 which matched the LSOA boundary and allowed for seamless spatial alterations. Following this a spatial join was performed to assign each crime event to an LSOA </w:t>
      </w:r>
      <w:r w:rsidR="007D0120">
        <w:t xml:space="preserve">based on geographic location which is a </w:t>
      </w:r>
      <w:r w:rsidR="004A1D4F">
        <w:t>crucial</w:t>
      </w:r>
      <w:r w:rsidR="007D0120">
        <w:t xml:space="preserve"> step to the analysis as it transforms point based data into </w:t>
      </w:r>
      <w:proofErr w:type="gramStart"/>
      <w:r w:rsidR="007D0120">
        <w:t>area based</w:t>
      </w:r>
      <w:proofErr w:type="gramEnd"/>
      <w:r w:rsidR="007D0120">
        <w:t xml:space="preserve"> data, allowing for comparison of crime rates between LSOAs which allows for </w:t>
      </w:r>
      <w:r w:rsidR="000A1072">
        <w:t xml:space="preserve">an assessment to be made as to which areas in Leeds have the highest crime rate. The use of the </w:t>
      </w:r>
      <w:r w:rsidR="004A1D4F">
        <w:t>predicate</w:t>
      </w:r>
      <w:r w:rsidR="000A1072">
        <w:t xml:space="preserve"> ‘within’ ensures that only crimes located within the LSOA </w:t>
      </w:r>
      <w:r w:rsidR="004A1D4F">
        <w:t>boundaries</w:t>
      </w:r>
      <w:r w:rsidR="000A1072">
        <w:t xml:space="preserve"> were included in the analysis. </w:t>
      </w:r>
    </w:p>
    <w:p w14:paraId="44F0D26A" w14:textId="4FA37E03" w:rsidR="004A1D4F" w:rsidRDefault="004A1D4F" w:rsidP="00D969FB">
      <w:pPr>
        <w:jc w:val="both"/>
      </w:pPr>
      <w:r>
        <w:t>Following the spatial join, crime incidents were managed using a group by function that calculated the total number of crimes within each area which produced a new variable called ‘crime count’, representing the frequency of crimes per LS</w:t>
      </w:r>
      <w:r w:rsidR="0055290C">
        <w:t>OA</w:t>
      </w:r>
      <w:r>
        <w:t xml:space="preserve">. </w:t>
      </w:r>
      <w:r w:rsidR="0055290C">
        <w:t xml:space="preserve">The grouped counts were then merged back into the LSOA </w:t>
      </w:r>
      <w:proofErr w:type="spellStart"/>
      <w:r w:rsidR="0055290C">
        <w:t>Geodataframe</w:t>
      </w:r>
      <w:proofErr w:type="spellEnd"/>
      <w:r w:rsidR="0055290C">
        <w:t xml:space="preserve"> ensuring all spatial units were retained including those with zero record crimes alongside any missing values being replaced with 0 </w:t>
      </w:r>
      <w:proofErr w:type="gramStart"/>
      <w:r w:rsidR="0055290C">
        <w:t>through .</w:t>
      </w:r>
      <w:proofErr w:type="spellStart"/>
      <w:r w:rsidR="0055290C">
        <w:t>fillna</w:t>
      </w:r>
      <w:proofErr w:type="spellEnd"/>
      <w:proofErr w:type="gramEnd"/>
      <w:r w:rsidR="0055290C">
        <w:t xml:space="preserve"> (0) which ensured data consistency was maintained. The IMD dataset was then merged to the spatial data through the same means as the crime events</w:t>
      </w:r>
      <w:r w:rsidR="00766DC6">
        <w:t xml:space="preserve"> which in turn enabled the interrogation of deprivation scores and crime data allowing for comparative analysis between socioeconomic conditions and crime levels. </w:t>
      </w:r>
    </w:p>
    <w:p w14:paraId="27B94EBA" w14:textId="07858C10" w:rsidR="00766DC6" w:rsidRDefault="00766DC6" w:rsidP="00D969FB">
      <w:pPr>
        <w:jc w:val="both"/>
      </w:pPr>
      <w:r>
        <w:t xml:space="preserve">To explore spatial patterns, a choropleth map was </w:t>
      </w:r>
      <w:r w:rsidR="00217234">
        <w:t xml:space="preserve">produced using the crime count data with the map styled in a sequential colour scheme that is colourblind friendly so that all people are able to visualise the variations in crime intensity across Leeds. </w:t>
      </w:r>
      <w:proofErr w:type="gramStart"/>
      <w:r w:rsidR="00217234">
        <w:t>Additionally</w:t>
      </w:r>
      <w:proofErr w:type="gramEnd"/>
      <w:r w:rsidR="00217234">
        <w:t xml:space="preserve"> a scatterplot was created to examine the relationship between crime counts and deprivation scores which is a reliable and efficient way to demonstrate any trends or correlations within the datasets. Together these methods provide a clear and reliable framework for analysing spatial relationships and generate useful insights into crime policy planning and urban development plans. </w:t>
      </w:r>
    </w:p>
    <w:p w14:paraId="2297BD03" w14:textId="732283EC" w:rsidR="00217234" w:rsidRDefault="00217234" w:rsidP="00D969FB">
      <w:pPr>
        <w:jc w:val="both"/>
      </w:pPr>
      <w:r>
        <w:t>Results:</w:t>
      </w:r>
    </w:p>
    <w:p w14:paraId="469189D8" w14:textId="789622AC" w:rsidR="00A37E37" w:rsidRDefault="00A37E37" w:rsidP="00D969FB">
      <w:pPr>
        <w:jc w:val="both"/>
      </w:pPr>
      <w:r>
        <w:t xml:space="preserve">The spatial distribution of crime across Leeds reveals a clear pattern of concentration within central urban areas with the choropleth output of the study showing that LSOAs located in and around Leeds city centre display the highest crime counts, while peripheral areas display significantly lower amounts. This indicates that a strong spatial clustering has occurred with intensity decreasing outward from the centre which is visually displayed through the darker shading of central LSOAs compared to the lighter tones shown in suburban and rural areas. </w:t>
      </w:r>
      <w:r w:rsidR="0091003B">
        <w:t xml:space="preserve">The scatterplot examining the </w:t>
      </w:r>
      <w:r w:rsidR="002A371F">
        <w:t>relationship</w:t>
      </w:r>
      <w:r w:rsidR="0091003B">
        <w:t xml:space="preserve"> between </w:t>
      </w:r>
      <w:r w:rsidR="002A371F">
        <w:t xml:space="preserve">crime count and deprivation score suggests a positive association between the two variables with areas with higher IMD scores generally tend to show higher crime counts, although the relationship is not perfectly linear. </w:t>
      </w:r>
      <w:r w:rsidR="009822E6">
        <w:t xml:space="preserve">There is noticeable variability with some less deprived areas also experiencing moderate levels of crime, and some highly deprived areas showing lower than expected crime counts. </w:t>
      </w:r>
      <w:proofErr w:type="gramStart"/>
      <w:r w:rsidR="009822E6">
        <w:t>Overall</w:t>
      </w:r>
      <w:proofErr w:type="gramEnd"/>
      <w:r w:rsidR="009822E6">
        <w:t xml:space="preserve"> the results indicate that both spatial location and socioeconomic conditions play a role in shaping crime patterns across Leeds, with centrality and deprivation emerging as key influential factors. </w:t>
      </w:r>
    </w:p>
    <w:p w14:paraId="761C7EBA" w14:textId="6125BDD9" w:rsidR="00E276DA" w:rsidRDefault="00E276DA" w:rsidP="00D969FB">
      <w:pPr>
        <w:jc w:val="both"/>
      </w:pPr>
      <w:r>
        <w:t>The choropleth map created through the analysis is intended for policymakers and local authorities who dictate where police resources should go</w:t>
      </w:r>
      <w:r w:rsidR="00466DD4">
        <w:t xml:space="preserve"> as it displays a clear and </w:t>
      </w:r>
      <w:proofErr w:type="spellStart"/>
      <w:r w:rsidR="00466DD4">
        <w:t>accessable</w:t>
      </w:r>
      <w:proofErr w:type="spellEnd"/>
      <w:r w:rsidR="00466DD4">
        <w:t xml:space="preserve"> overview of crime distribution in Leeds so they can easily see where resources should be prioritised. The scatterplot is intended for academic and data analyst audiences as it highlights </w:t>
      </w:r>
      <w:r w:rsidR="00466DD4">
        <w:lastRenderedPageBreak/>
        <w:t>statistical relationships over geographic outputs which allows for a</w:t>
      </w:r>
      <w:r w:rsidR="000A0D31">
        <w:t xml:space="preserve">n analysis into whether deprivation scores impact crime rates. </w:t>
      </w:r>
    </w:p>
    <w:p w14:paraId="1DEF026D" w14:textId="12ED9DFE" w:rsidR="009822E6" w:rsidRDefault="009822E6" w:rsidP="00D969FB">
      <w:pPr>
        <w:jc w:val="both"/>
      </w:pPr>
      <w:r>
        <w:t>Discussion:</w:t>
      </w:r>
    </w:p>
    <w:p w14:paraId="72534FED" w14:textId="2DF84BC3" w:rsidR="009822E6" w:rsidRDefault="0029236C" w:rsidP="00D969FB">
      <w:pPr>
        <w:jc w:val="both"/>
      </w:pPr>
      <w:r>
        <w:t>The results indicate a clear spatial connection between crime within central Leeds, alongside a general positive relationship between crime and deprivation. The clustering of high crime counts in the city centre is likely influenced by increased population density, economic activity and accessibility</w:t>
      </w:r>
      <w:r w:rsidR="00BB5632">
        <w:t xml:space="preserve"> (</w:t>
      </w:r>
      <w:proofErr w:type="spellStart"/>
      <w:r w:rsidR="00BB5632">
        <w:t>Chatwin</w:t>
      </w:r>
      <w:proofErr w:type="spellEnd"/>
      <w:r w:rsidR="00BB5632">
        <w:t>, 2011)</w:t>
      </w:r>
      <w:r>
        <w:t xml:space="preserve">. Urban centres typically contain higher concentrations of businesses, retail areas and transport hubs, all of which attract larger numbers of people and consequently provide more opportunities for crime to occur. This aligns with established urban theories where crime rates are associated with areas of high activity and movement. </w:t>
      </w:r>
      <w:r w:rsidR="009A3569">
        <w:t>The observed relationship between deprivation and crime further supports existing research which suggests that socioeconomic disadvantage can contribute to higher crime rates as areas with higher IMD scores, indicating greater deprivation, generally exhibited higher crime counts</w:t>
      </w:r>
      <w:r w:rsidR="00BB5632">
        <w:t xml:space="preserve"> (Sampson, et al. 1997)</w:t>
      </w:r>
      <w:r w:rsidR="009A3569">
        <w:t xml:space="preserve">. This may reflect underlying factors such as unemployment, reduced access to resources and social inequality, which can increase vulnerability to both committing and experiencing crime. </w:t>
      </w:r>
      <w:r w:rsidR="00BE6E31">
        <w:t>However,</w:t>
      </w:r>
      <w:r w:rsidR="009A3569">
        <w:t xml:space="preserve"> given the relationship in the scatterplot is not perfectly linear it cannot be confirmed that deprivation is entirely responsible for crime patterns.  </w:t>
      </w:r>
    </w:p>
    <w:p w14:paraId="5E98ED58" w14:textId="4CD564DD" w:rsidR="009A3569" w:rsidRDefault="009A3569" w:rsidP="00D969FB">
      <w:pPr>
        <w:jc w:val="both"/>
      </w:pPr>
      <w:r>
        <w:t>Some less deprived areas still displayed moderate crime levels particularly those located near the city centre which in turn highlights the importance of spatial context which suggests that proximity to high activity areas can heavily influence socioeconomic conditions. Conversely some highly deprived areas showed lower crime rates which could be due to underreporting or differences in community dynamics</w:t>
      </w:r>
      <w:r w:rsidR="00BB5632">
        <w:t xml:space="preserve"> (Meier, 1966)</w:t>
      </w:r>
      <w:r>
        <w:t xml:space="preserve">. </w:t>
      </w:r>
      <w:r w:rsidR="007271B8">
        <w:t>In terms of analytical limitations to the study the crime data only represents a single month of the year which means that long term crime trends may not be captured effectively in this analysis. Secondly the IMD dataset displays deprivation at a different point in time creating a timing inconsistency which could lead to some inaccurate results within the study. The same could be said for recorded crime data also as it could have been subject to features such as a reporting bias which would lead to either an overestimate or underestimate in crime results</w:t>
      </w:r>
      <w:r w:rsidR="00910B17">
        <w:t xml:space="preserve"> (White and hansel, 1996)</w:t>
      </w:r>
      <w:r w:rsidR="007271B8">
        <w:t xml:space="preserve">. </w:t>
      </w:r>
    </w:p>
    <w:p w14:paraId="47EFB6BE" w14:textId="0789E3DA" w:rsidR="007271B8" w:rsidRDefault="007271B8" w:rsidP="00D969FB">
      <w:pPr>
        <w:jc w:val="both"/>
      </w:pPr>
      <w:r>
        <w:t>Conclusion:</w:t>
      </w:r>
    </w:p>
    <w:p w14:paraId="49A925A4" w14:textId="77777777" w:rsidR="00910B17" w:rsidRDefault="00BE6E31" w:rsidP="00D969FB">
      <w:pPr>
        <w:jc w:val="both"/>
      </w:pPr>
      <w:r>
        <w:t xml:space="preserve">This study analysed the spatial distribution of crime in Leeds and its relationship with socioeconomic deprivation using spatial data science methods and the results demonstrated that crime is strongly concentrated within central urban areas, with significantly lower levels observed in surrounding areas. Additionally, a general positive relationship between deprivation and crime was identified suggesting that more deprived areas had higher crime rates. </w:t>
      </w:r>
      <w:r w:rsidR="004879A6">
        <w:t>However,</w:t>
      </w:r>
      <w:r>
        <w:t xml:space="preserve"> the findings also indicate that crime patterns are influenced by multiple factors such as spatial and urban, rather than just deprivation alone which emphasises the importance of both geographic and socioeconomic variables when analysing crime. </w:t>
      </w:r>
      <w:r w:rsidR="004879A6">
        <w:t xml:space="preserve">From a public policy perspective these insights could support more targeted policing strategies and resource allocation particularly in high-risk areas. </w:t>
      </w:r>
      <w:proofErr w:type="gramStart"/>
      <w:r w:rsidR="004879A6">
        <w:t>Overall</w:t>
      </w:r>
      <w:proofErr w:type="gramEnd"/>
      <w:r w:rsidR="004879A6">
        <w:t xml:space="preserve"> this study demonstrates the value of integrating spatial and statistical analysis to better understand complex urban issues and inform decision making.</w:t>
      </w:r>
    </w:p>
    <w:p w14:paraId="550E570B" w14:textId="77777777" w:rsidR="00910B17" w:rsidRDefault="00910B17" w:rsidP="00D969FB">
      <w:pPr>
        <w:jc w:val="both"/>
      </w:pPr>
    </w:p>
    <w:p w14:paraId="57837022" w14:textId="77777777" w:rsidR="00910B17" w:rsidRDefault="00910B17" w:rsidP="00D969FB">
      <w:pPr>
        <w:jc w:val="both"/>
      </w:pPr>
      <w:r>
        <w:t>References:</w:t>
      </w:r>
    </w:p>
    <w:p w14:paraId="2F339415" w14:textId="77777777" w:rsidR="00EC05DC" w:rsidRDefault="00EC05DC" w:rsidP="00D969FB">
      <w:pPr>
        <w:jc w:val="both"/>
      </w:pPr>
      <w:proofErr w:type="spellStart"/>
      <w:r>
        <w:lastRenderedPageBreak/>
        <w:t>Chatwin</w:t>
      </w:r>
      <w:proofErr w:type="spellEnd"/>
      <w:r>
        <w:t xml:space="preserve">, C. 2010. </w:t>
      </w:r>
      <w:r w:rsidRPr="009C14FD">
        <w:t>Weed, Need and Greed: A Study of Domestic Cannabis Cultivation. By Gary Potter (London: Free Association Books, 2010, 276pp. £17.95 pb)</w:t>
      </w:r>
      <w:r>
        <w:t xml:space="preserve">. </w:t>
      </w:r>
      <w:r w:rsidRPr="009C14FD">
        <w:rPr>
          <w:i/>
          <w:iCs/>
        </w:rPr>
        <w:t>The British Journal of Criminology</w:t>
      </w:r>
      <w:r>
        <w:t xml:space="preserve">. [Online]. 51(5), pp. 878-880. [Accessed 15/04/2026]. Available from </w:t>
      </w:r>
      <w:hyperlink r:id="rId4" w:history="1">
        <w:r w:rsidRPr="009C14FD">
          <w:rPr>
            <w:rStyle w:val="Hyperlink"/>
          </w:rPr>
          <w:t>https://doi.org/10.1093/bjc/azr046</w:t>
        </w:r>
      </w:hyperlink>
    </w:p>
    <w:p w14:paraId="68C4B874" w14:textId="77777777" w:rsidR="00EC05DC" w:rsidRDefault="00EC05DC" w:rsidP="00D969FB">
      <w:pPr>
        <w:jc w:val="both"/>
      </w:pPr>
      <w:r>
        <w:t xml:space="preserve">DMA technical report. 1991. </w:t>
      </w:r>
      <w:r w:rsidRPr="00EC05DC">
        <w:t>ITS DEFINITION AND RELATIONSHIPS WITH LOCAL GEODETtUC SYSTEMS</w:t>
      </w:r>
      <w:r>
        <w:t xml:space="preserve">. </w:t>
      </w:r>
      <w:r w:rsidRPr="00EC05DC">
        <w:rPr>
          <w:i/>
          <w:iCs/>
        </w:rPr>
        <w:t>DEPARTMENT OF DEFE</w:t>
      </w:r>
      <w:r w:rsidRPr="00EC05DC">
        <w:rPr>
          <w:i/>
          <w:iCs/>
        </w:rPr>
        <w:t>NCE</w:t>
      </w:r>
      <w:r w:rsidRPr="00EC05DC">
        <w:rPr>
          <w:i/>
          <w:iCs/>
        </w:rPr>
        <w:t xml:space="preserve"> WORLD GEODETIC SYSTEM</w:t>
      </w:r>
      <w:r>
        <w:t xml:space="preserve">. [Online].  pp. 2-3. [Accessed 15/04/2026]. Available from: </w:t>
      </w:r>
      <w:hyperlink r:id="rId5" w:history="1">
        <w:r w:rsidRPr="00900674">
          <w:rPr>
            <w:rStyle w:val="Hyperlink"/>
          </w:rPr>
          <w:t>https://apps.dtic.mil/sti/pdfs/ADA280358.pdf</w:t>
        </w:r>
      </w:hyperlink>
    </w:p>
    <w:p w14:paraId="5DE51746" w14:textId="77777777" w:rsidR="00EC05DC" w:rsidRDefault="00EC05DC" w:rsidP="00D969FB">
      <w:pPr>
        <w:jc w:val="both"/>
        <w:rPr>
          <w:u w:val="single"/>
        </w:rPr>
      </w:pPr>
      <w:r>
        <w:t xml:space="preserve">Meier, A. 1966. </w:t>
      </w:r>
      <w:r w:rsidRPr="0011613B">
        <w:t>Race Riot to Sit-In, 1919 and the 1960's: A Study in the Connections between Conflict and Violence</w:t>
      </w:r>
      <w:r>
        <w:t xml:space="preserve">. </w:t>
      </w:r>
      <w:r w:rsidRPr="0011613B">
        <w:rPr>
          <w:i/>
          <w:iCs/>
        </w:rPr>
        <w:t>American Sociological Review</w:t>
      </w:r>
      <w:r>
        <w:t xml:space="preserve">. [Online]. 31(4), pp. 1. [Accessed 15/04/2026]. Available from: </w:t>
      </w:r>
      <w:hyperlink r:id="rId6" w:history="1">
        <w:r w:rsidRPr="00900674">
          <w:rPr>
            <w:rStyle w:val="Hyperlink"/>
          </w:rPr>
          <w:t>https://doi.org/10.2307/2090785</w:t>
        </w:r>
      </w:hyperlink>
    </w:p>
    <w:p w14:paraId="38BAD02A" w14:textId="77777777" w:rsidR="00EC05DC" w:rsidRDefault="00EC05DC" w:rsidP="00D969FB">
      <w:pPr>
        <w:jc w:val="both"/>
      </w:pPr>
      <w:r w:rsidRPr="0011613B">
        <w:t>Sampson,</w:t>
      </w:r>
      <w:r>
        <w:t xml:space="preserve"> R, J., </w:t>
      </w:r>
      <w:proofErr w:type="spellStart"/>
      <w:r>
        <w:t>Raudenbush</w:t>
      </w:r>
      <w:proofErr w:type="spellEnd"/>
      <w:r>
        <w:t xml:space="preserve">, S, W., Earls, F. </w:t>
      </w:r>
      <w:proofErr w:type="spellStart"/>
      <w:r w:rsidRPr="009C14FD">
        <w:t>Neighborhoods</w:t>
      </w:r>
      <w:proofErr w:type="spellEnd"/>
      <w:r w:rsidRPr="009C14FD">
        <w:t xml:space="preserve"> and Violent Crime: A Multilevel Study of Collective Efficacy</w:t>
      </w:r>
      <w:r>
        <w:t xml:space="preserve">. </w:t>
      </w:r>
      <w:r>
        <w:rPr>
          <w:i/>
          <w:iCs/>
        </w:rPr>
        <w:t>Science</w:t>
      </w:r>
      <w:r>
        <w:t xml:space="preserve">. [Online]. 277 (5328), pp. 918-924. [Accessed 15/04/2026]. Available from: </w:t>
      </w:r>
      <w:hyperlink r:id="rId7" w:history="1">
        <w:r w:rsidRPr="009C14FD">
          <w:rPr>
            <w:rStyle w:val="Hyperlink"/>
          </w:rPr>
          <w:t>DOI: 10.1126/science.277.5328.918</w:t>
        </w:r>
      </w:hyperlink>
    </w:p>
    <w:p w14:paraId="71D0BF22" w14:textId="77777777" w:rsidR="00EC05DC" w:rsidRDefault="00EC05DC" w:rsidP="00D969FB">
      <w:pPr>
        <w:jc w:val="both"/>
      </w:pPr>
      <w:r>
        <w:t xml:space="preserve">White, H, R., Hansell, S. 1996.  </w:t>
      </w:r>
      <w:r w:rsidRPr="00910B17">
        <w:t>The Moderating Effects of Gender and Hostility on the Alcohol-Aggression Relationship</w:t>
      </w:r>
      <w:r>
        <w:t xml:space="preserve">. </w:t>
      </w:r>
      <w:r w:rsidRPr="00910B17">
        <w:rPr>
          <w:i/>
          <w:iCs/>
        </w:rPr>
        <w:t>Journal of Research in Crime and Delinquency</w:t>
      </w:r>
      <w:r>
        <w:t xml:space="preserve">. [Online]. 33 (4), pp.10. [Accessed 15/04/2026]. Available from: </w:t>
      </w:r>
      <w:hyperlink r:id="rId8" w:history="1">
        <w:r w:rsidRPr="0011613B">
          <w:rPr>
            <w:rStyle w:val="Hyperlink"/>
          </w:rPr>
          <w:t>https://doi.org/10.1177/0022427896033004004</w:t>
        </w:r>
      </w:hyperlink>
    </w:p>
    <w:p w14:paraId="2E994C53" w14:textId="77777777" w:rsidR="00EC05DC" w:rsidRPr="009C14FD" w:rsidRDefault="00EC05DC" w:rsidP="00D969FB">
      <w:pPr>
        <w:jc w:val="both"/>
      </w:pPr>
    </w:p>
    <w:p w14:paraId="5A17F8CE" w14:textId="77777777" w:rsidR="0011613B" w:rsidRPr="00910B17" w:rsidRDefault="0011613B" w:rsidP="00D969FB">
      <w:pPr>
        <w:jc w:val="both"/>
      </w:pPr>
    </w:p>
    <w:p w14:paraId="7FF53080" w14:textId="5DD6AEAE" w:rsidR="00772224" w:rsidRDefault="009F2B14" w:rsidP="00D969FB">
      <w:pPr>
        <w:jc w:val="both"/>
      </w:pPr>
      <w:r>
        <w:t xml:space="preserve">  </w:t>
      </w:r>
    </w:p>
    <w:sectPr w:rsidR="007722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FB"/>
    <w:rsid w:val="000A0D31"/>
    <w:rsid w:val="000A1072"/>
    <w:rsid w:val="0011613B"/>
    <w:rsid w:val="00217234"/>
    <w:rsid w:val="0029236C"/>
    <w:rsid w:val="002A371F"/>
    <w:rsid w:val="002A7116"/>
    <w:rsid w:val="00353D81"/>
    <w:rsid w:val="00355299"/>
    <w:rsid w:val="00383240"/>
    <w:rsid w:val="00466DD4"/>
    <w:rsid w:val="004879A6"/>
    <w:rsid w:val="004A1D4F"/>
    <w:rsid w:val="004A31BC"/>
    <w:rsid w:val="0055290C"/>
    <w:rsid w:val="005E7586"/>
    <w:rsid w:val="00686D13"/>
    <w:rsid w:val="006F075E"/>
    <w:rsid w:val="007271B8"/>
    <w:rsid w:val="00766DC6"/>
    <w:rsid w:val="00772224"/>
    <w:rsid w:val="007B28A2"/>
    <w:rsid w:val="007D0120"/>
    <w:rsid w:val="00854584"/>
    <w:rsid w:val="00870C61"/>
    <w:rsid w:val="00900FDB"/>
    <w:rsid w:val="0091003B"/>
    <w:rsid w:val="00910B17"/>
    <w:rsid w:val="009320C0"/>
    <w:rsid w:val="009822E6"/>
    <w:rsid w:val="009A3569"/>
    <w:rsid w:val="009C14FD"/>
    <w:rsid w:val="009F2B14"/>
    <w:rsid w:val="00A37E37"/>
    <w:rsid w:val="00AB1C14"/>
    <w:rsid w:val="00BA63D3"/>
    <w:rsid w:val="00BB5632"/>
    <w:rsid w:val="00BC1313"/>
    <w:rsid w:val="00BE6E31"/>
    <w:rsid w:val="00CC5B9C"/>
    <w:rsid w:val="00D11D98"/>
    <w:rsid w:val="00D969FB"/>
    <w:rsid w:val="00E276DA"/>
    <w:rsid w:val="00E80E19"/>
    <w:rsid w:val="00E9172B"/>
    <w:rsid w:val="00EC05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3EC5"/>
  <w15:chartTrackingRefBased/>
  <w15:docId w15:val="{DE8C84B3-C28E-44A5-B16C-1DD8F518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FB"/>
    <w:rPr>
      <w:rFonts w:eastAsiaTheme="majorEastAsia" w:cstheme="majorBidi"/>
      <w:color w:val="272727" w:themeColor="text1" w:themeTint="D8"/>
    </w:rPr>
  </w:style>
  <w:style w:type="paragraph" w:styleId="Title">
    <w:name w:val="Title"/>
    <w:basedOn w:val="Normal"/>
    <w:next w:val="Normal"/>
    <w:link w:val="TitleChar"/>
    <w:uiPriority w:val="10"/>
    <w:qFormat/>
    <w:rsid w:val="00D96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FB"/>
    <w:pPr>
      <w:spacing w:before="160"/>
      <w:jc w:val="center"/>
    </w:pPr>
    <w:rPr>
      <w:i/>
      <w:iCs/>
      <w:color w:val="404040" w:themeColor="text1" w:themeTint="BF"/>
    </w:rPr>
  </w:style>
  <w:style w:type="character" w:customStyle="1" w:styleId="QuoteChar">
    <w:name w:val="Quote Char"/>
    <w:basedOn w:val="DefaultParagraphFont"/>
    <w:link w:val="Quote"/>
    <w:uiPriority w:val="29"/>
    <w:rsid w:val="00D969FB"/>
    <w:rPr>
      <w:i/>
      <w:iCs/>
      <w:color w:val="404040" w:themeColor="text1" w:themeTint="BF"/>
    </w:rPr>
  </w:style>
  <w:style w:type="paragraph" w:styleId="ListParagraph">
    <w:name w:val="List Paragraph"/>
    <w:basedOn w:val="Normal"/>
    <w:uiPriority w:val="34"/>
    <w:qFormat/>
    <w:rsid w:val="00D969FB"/>
    <w:pPr>
      <w:ind w:left="720"/>
      <w:contextualSpacing/>
    </w:pPr>
  </w:style>
  <w:style w:type="character" w:styleId="IntenseEmphasis">
    <w:name w:val="Intense Emphasis"/>
    <w:basedOn w:val="DefaultParagraphFont"/>
    <w:uiPriority w:val="21"/>
    <w:qFormat/>
    <w:rsid w:val="00D969FB"/>
    <w:rPr>
      <w:i/>
      <w:iCs/>
      <w:color w:val="0F4761" w:themeColor="accent1" w:themeShade="BF"/>
    </w:rPr>
  </w:style>
  <w:style w:type="paragraph" w:styleId="IntenseQuote">
    <w:name w:val="Intense Quote"/>
    <w:basedOn w:val="Normal"/>
    <w:next w:val="Normal"/>
    <w:link w:val="IntenseQuoteChar"/>
    <w:uiPriority w:val="30"/>
    <w:qFormat/>
    <w:rsid w:val="00D96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9FB"/>
    <w:rPr>
      <w:i/>
      <w:iCs/>
      <w:color w:val="0F4761" w:themeColor="accent1" w:themeShade="BF"/>
    </w:rPr>
  </w:style>
  <w:style w:type="character" w:styleId="IntenseReference">
    <w:name w:val="Intense Reference"/>
    <w:basedOn w:val="DefaultParagraphFont"/>
    <w:uiPriority w:val="32"/>
    <w:qFormat/>
    <w:rsid w:val="00D969FB"/>
    <w:rPr>
      <w:b/>
      <w:bCs/>
      <w:smallCaps/>
      <w:color w:val="0F4761" w:themeColor="accent1" w:themeShade="BF"/>
      <w:spacing w:val="5"/>
    </w:rPr>
  </w:style>
  <w:style w:type="character" w:styleId="Hyperlink">
    <w:name w:val="Hyperlink"/>
    <w:basedOn w:val="DefaultParagraphFont"/>
    <w:uiPriority w:val="99"/>
    <w:unhideWhenUsed/>
    <w:rsid w:val="0011613B"/>
    <w:rPr>
      <w:color w:val="467886" w:themeColor="hyperlink"/>
      <w:u w:val="single"/>
    </w:rPr>
  </w:style>
  <w:style w:type="character" w:styleId="UnresolvedMention">
    <w:name w:val="Unresolved Mention"/>
    <w:basedOn w:val="DefaultParagraphFont"/>
    <w:uiPriority w:val="99"/>
    <w:semiHidden/>
    <w:unhideWhenUsed/>
    <w:rsid w:val="0011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22427896033004004" TargetMode="External"/><Relationship Id="rId3" Type="http://schemas.openxmlformats.org/officeDocument/2006/relationships/webSettings" Target="webSettings.xml"/><Relationship Id="rId7" Type="http://schemas.openxmlformats.org/officeDocument/2006/relationships/hyperlink" Target="https://doi.org/10.1126/science.277.5328.91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307/2090785" TargetMode="External"/><Relationship Id="rId5" Type="http://schemas.openxmlformats.org/officeDocument/2006/relationships/hyperlink" Target="https://apps.dtic.mil/sti/pdfs/ADA280358.pdf" TargetMode="External"/><Relationship Id="rId10" Type="http://schemas.openxmlformats.org/officeDocument/2006/relationships/theme" Target="theme/theme1.xml"/><Relationship Id="rId4" Type="http://schemas.openxmlformats.org/officeDocument/2006/relationships/hyperlink" Target="https://doi.org/10.1093/bjc/azr04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4</Pages>
  <Words>1880</Words>
  <Characters>10719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 Marshall</dc:creator>
  <cp:keywords/>
  <dc:description/>
  <cp:lastModifiedBy>Cael Marshall</cp:lastModifiedBy>
  <cp:revision>6</cp:revision>
  <dcterms:created xsi:type="dcterms:W3CDTF">2026-04-10T12:02:00Z</dcterms:created>
  <dcterms:modified xsi:type="dcterms:W3CDTF">2026-04-15T12:13:00Z</dcterms:modified>
</cp:coreProperties>
</file>