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7.0" w:type="dxa"/>
        <w:jc w:val="left"/>
        <w:tblInd w:w="0.0" w:type="dxa"/>
        <w:tblLayout w:type="fixed"/>
        <w:tblLook w:val="0400"/>
      </w:tblPr>
      <w:tblGrid>
        <w:gridCol w:w="597"/>
        <w:gridCol w:w="51"/>
        <w:gridCol w:w="2249"/>
        <w:gridCol w:w="2071"/>
        <w:gridCol w:w="1304"/>
        <w:gridCol w:w="1305"/>
        <w:gridCol w:w="1980"/>
        <w:tblGridChange w:id="0">
          <w:tblGrid>
            <w:gridCol w:w="597"/>
            <w:gridCol w:w="51"/>
            <w:gridCol w:w="2249"/>
            <w:gridCol w:w="2071"/>
            <w:gridCol w:w="1304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PW22KKV01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Algorithm &amp; Data Structure Visualizer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12-Aug-21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19-Aug-21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R.Shrenik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Niranjan Bhaskar K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Vidhisha Shankar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PES1201800690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PES1201801486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PES1201801817</w:t>
            </w:r>
          </w:p>
          <w:p w:rsidR="00000000" w:rsidDel="00000000" w:rsidP="00000000" w:rsidRDefault="00000000" w:rsidRPr="00000000" w14:paraId="0000002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Design layouts for Graph algorithms section.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Aug– 19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Aug– 19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Design layouts for Miscellaneous section..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Aug– 19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6F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0" w:before="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72">
      <w:pPr>
        <w:spacing w:after="200" w:before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color="000000" w:space="1" w:sz="4" w:val="single"/>
      </w:pBdr>
      <w:tabs>
        <w:tab w:val="center" w:pos="4680"/>
        <w:tab w:val="right" w:pos="9000"/>
        <w:tab w:val="right" w:pos="9360"/>
      </w:tabs>
      <w:spacing w:after="0" w:before="0" w:line="240" w:lineRule="auto"/>
      <w:rPr>
        <w:rFonts w:ascii="Cambria" w:cs="Cambria" w:eastAsia="Cambria" w:hAnsi="Cambria"/>
        <w:b w:val="1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/>
      <w:drawing>
        <wp:inline distB="0" distT="0" distL="0" distR="0">
          <wp:extent cx="739140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