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18-Oct-21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25-Oct-21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Queue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Queue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Setting up boilerplates for the implementation of Trees.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