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19-Sept-21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25-Sept-21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Write boilerplates for all of the upcoming components.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Sept– 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that everything in the proposed model is present.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Sept– 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and Review everything is present according to the proposed model.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 -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Linear data structure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Sept -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