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Kop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7F3DB35F" w:rsidR="006F1AB3" w:rsidRDefault="009F20C6">
      <w:pPr>
        <w:ind w:left="720"/>
      </w:pPr>
      <w:r>
        <w:t>Token trigrams:</w:t>
      </w:r>
      <w:r w:rsidR="00CB79D5">
        <w:t xml:space="preserve"> in response to, Republican 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xml:space="preserve">, </w:t>
      </w:r>
      <w:r w:rsidR="000110D3">
        <w:rPr>
          <w:rFonts w:ascii="Helvetica" w:hAnsi="Helvetica" w:cs="Helvetica"/>
          <w:b/>
          <w:bCs/>
          <w:color w:val="000000"/>
          <w:sz w:val="18"/>
          <w:szCs w:val="18"/>
        </w:rPr>
        <w:t>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jstalinea"/>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jstalinea"/>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jstalinea"/>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jstalinea"/>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lastRenderedPageBreak/>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lastRenderedPageBreak/>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lastRenderedPageBreak/>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4997" w14:textId="77777777" w:rsidR="00822C25" w:rsidRDefault="00822C25">
      <w:pPr>
        <w:spacing w:line="240" w:lineRule="auto"/>
      </w:pPr>
      <w:r>
        <w:separator/>
      </w:r>
    </w:p>
  </w:endnote>
  <w:endnote w:type="continuationSeparator" w:id="0">
    <w:p w14:paraId="69138B08" w14:textId="77777777" w:rsidR="00822C25" w:rsidRDefault="0082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E015" w14:textId="77777777" w:rsidR="00822C25" w:rsidRDefault="00822C25">
      <w:pPr>
        <w:spacing w:line="240" w:lineRule="auto"/>
      </w:pPr>
      <w:r>
        <w:separator/>
      </w:r>
    </w:p>
  </w:footnote>
  <w:footnote w:type="continuationSeparator" w:id="0">
    <w:p w14:paraId="221D1B72" w14:textId="77777777" w:rsidR="00822C25" w:rsidRDefault="00822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625902">
    <w:abstractNumId w:val="2"/>
  </w:num>
  <w:num w:numId="2" w16cid:durableId="1477601343">
    <w:abstractNumId w:val="1"/>
  </w:num>
  <w:num w:numId="3" w16cid:durableId="324943405">
    <w:abstractNumId w:val="0"/>
  </w:num>
  <w:num w:numId="4" w16cid:durableId="712269029">
    <w:abstractNumId w:val="3"/>
  </w:num>
  <w:num w:numId="5" w16cid:durableId="2127195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E357F"/>
    <w:rsid w:val="00136645"/>
    <w:rsid w:val="002E4B31"/>
    <w:rsid w:val="003063F9"/>
    <w:rsid w:val="00360454"/>
    <w:rsid w:val="0049332D"/>
    <w:rsid w:val="00541C82"/>
    <w:rsid w:val="005610FC"/>
    <w:rsid w:val="00577989"/>
    <w:rsid w:val="006258FE"/>
    <w:rsid w:val="006B40F5"/>
    <w:rsid w:val="006F1AB3"/>
    <w:rsid w:val="00760DBE"/>
    <w:rsid w:val="00822C25"/>
    <w:rsid w:val="00823341"/>
    <w:rsid w:val="00897BA3"/>
    <w:rsid w:val="009F20C6"/>
    <w:rsid w:val="00A11E42"/>
    <w:rsid w:val="00A37538"/>
    <w:rsid w:val="00A8781C"/>
    <w:rsid w:val="00A960E5"/>
    <w:rsid w:val="00AB2D4B"/>
    <w:rsid w:val="00C307B3"/>
    <w:rsid w:val="00CB79D5"/>
    <w:rsid w:val="00D16838"/>
    <w:rsid w:val="00D441A6"/>
    <w:rsid w:val="00E27788"/>
    <w:rsid w:val="00E920A9"/>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9</Pages>
  <Words>1690</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Marieke Rademaker</cp:lastModifiedBy>
  <cp:revision>14</cp:revision>
  <dcterms:created xsi:type="dcterms:W3CDTF">2022-03-04T15:00:00Z</dcterms:created>
  <dcterms:modified xsi:type="dcterms:W3CDTF">2022-04-07T17:25:00Z</dcterms:modified>
</cp:coreProperties>
</file>