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id: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3637CCEA" w:rsidR="006F1AB3" w:rsidRDefault="009F20C6">
      <w:pPr>
        <w:ind w:left="720"/>
      </w:pPr>
      <w:r>
        <w:t xml:space="preserve">Pearson correlation length and complexity: </w:t>
      </w:r>
      <w:r w:rsidR="000500D7">
        <w:t>0.282</w:t>
      </w:r>
    </w:p>
    <w:p w14:paraId="72090988" w14:textId="2B3D6A77" w:rsidR="00360454" w:rsidRDefault="009F20C6" w:rsidP="00360454">
      <w:pPr>
        <w:ind w:left="720"/>
      </w:pPr>
      <w:r>
        <w:t>Pearson correlation frequency and complexity:</w:t>
      </w:r>
      <w:r w:rsidR="000500D7">
        <w:t xml:space="preserve"> -0.298</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drawing>
          <wp:inline distT="0" distB="0" distL="0" distR="0" wp14:anchorId="50AF3B75" wp14:editId="46EAB59A">
            <wp:extent cx="3563265"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7270"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20AB6463">
            <wp:extent cx="3474720" cy="242584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382"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drawing>
          <wp:inline distT="0" distB="0" distL="0" distR="0" wp14:anchorId="450FA45E" wp14:editId="2423EE43">
            <wp:extent cx="2978178" cy="2146852"/>
            <wp:effectExtent l="0" t="0" r="0" b="635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897" cy="2149533"/>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242F1200" w:rsidR="006F1AB3" w:rsidRDefault="000500D7">
      <w:pPr>
        <w:ind w:left="720"/>
      </w:pPr>
      <w:r>
        <w:t>There is not a clear relationship between word length and probabilistic complexity the observations are evenly distributed over the space. There does appear to be a graphical relationship between word frequency and probabilistic complexity, words that have a lower frequency have a higher probabilistic complexity. Lastly, verbs, nouns, pronpn</w:t>
      </w:r>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lastRenderedPageBreak/>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lastRenderedPageBreak/>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lastRenderedPageBreak/>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lastRenderedPageBreak/>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r w:rsidR="000E4ED1" w:rsidRPr="000500D7">
        <w:rPr>
          <w:lang w:val="nl-NL"/>
        </w:rPr>
        <w:t>lstm_hidden_dim</w:t>
      </w:r>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31A9665B">
            <wp:extent cx="5052060" cy="3528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509A" w14:textId="77777777" w:rsidR="002D7EA3" w:rsidRDefault="002D7EA3">
      <w:pPr>
        <w:spacing w:line="240" w:lineRule="auto"/>
      </w:pPr>
      <w:r>
        <w:separator/>
      </w:r>
    </w:p>
  </w:endnote>
  <w:endnote w:type="continuationSeparator" w:id="0">
    <w:p w14:paraId="43941E25" w14:textId="77777777" w:rsidR="002D7EA3" w:rsidRDefault="002D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1764" w14:textId="77777777" w:rsidR="002D7EA3" w:rsidRDefault="002D7EA3">
      <w:pPr>
        <w:spacing w:line="240" w:lineRule="auto"/>
      </w:pPr>
      <w:r>
        <w:separator/>
      </w:r>
    </w:p>
  </w:footnote>
  <w:footnote w:type="continuationSeparator" w:id="0">
    <w:p w14:paraId="08A954E2" w14:textId="77777777" w:rsidR="002D7EA3" w:rsidRDefault="002D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500D7"/>
    <w:rsid w:val="0006265F"/>
    <w:rsid w:val="000C1E2D"/>
    <w:rsid w:val="000E0A33"/>
    <w:rsid w:val="000E357F"/>
    <w:rsid w:val="000E4ED1"/>
    <w:rsid w:val="00136645"/>
    <w:rsid w:val="00144B9B"/>
    <w:rsid w:val="001A0724"/>
    <w:rsid w:val="00220DA6"/>
    <w:rsid w:val="002D7EA3"/>
    <w:rsid w:val="002E4B31"/>
    <w:rsid w:val="003063F9"/>
    <w:rsid w:val="00360454"/>
    <w:rsid w:val="003F59DC"/>
    <w:rsid w:val="003F75A7"/>
    <w:rsid w:val="00476B9E"/>
    <w:rsid w:val="0049332D"/>
    <w:rsid w:val="004C3FBD"/>
    <w:rsid w:val="004F6415"/>
    <w:rsid w:val="0051029C"/>
    <w:rsid w:val="00541C82"/>
    <w:rsid w:val="005610FC"/>
    <w:rsid w:val="00577989"/>
    <w:rsid w:val="00594BAA"/>
    <w:rsid w:val="005B1604"/>
    <w:rsid w:val="006258FE"/>
    <w:rsid w:val="00661C2C"/>
    <w:rsid w:val="006B40F5"/>
    <w:rsid w:val="006E2D3D"/>
    <w:rsid w:val="006F1AB3"/>
    <w:rsid w:val="00760DBE"/>
    <w:rsid w:val="00822C25"/>
    <w:rsid w:val="00823341"/>
    <w:rsid w:val="00897BA3"/>
    <w:rsid w:val="00915DCE"/>
    <w:rsid w:val="009F20C6"/>
    <w:rsid w:val="00A11E42"/>
    <w:rsid w:val="00A21DAD"/>
    <w:rsid w:val="00A37538"/>
    <w:rsid w:val="00A51022"/>
    <w:rsid w:val="00A56F59"/>
    <w:rsid w:val="00A7546E"/>
    <w:rsid w:val="00A8781C"/>
    <w:rsid w:val="00A960E5"/>
    <w:rsid w:val="00AB2D4B"/>
    <w:rsid w:val="00B045DA"/>
    <w:rsid w:val="00B16547"/>
    <w:rsid w:val="00BB1794"/>
    <w:rsid w:val="00BB26D4"/>
    <w:rsid w:val="00BF48D8"/>
    <w:rsid w:val="00C307B3"/>
    <w:rsid w:val="00CB79D5"/>
    <w:rsid w:val="00D16838"/>
    <w:rsid w:val="00D27FD1"/>
    <w:rsid w:val="00D441A6"/>
    <w:rsid w:val="00D506DC"/>
    <w:rsid w:val="00D5377E"/>
    <w:rsid w:val="00D86350"/>
    <w:rsid w:val="00E27788"/>
    <w:rsid w:val="00E45C6B"/>
    <w:rsid w:val="00E920A9"/>
    <w:rsid w:val="00F23E54"/>
    <w:rsid w:val="00F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33</cp:revision>
  <dcterms:created xsi:type="dcterms:W3CDTF">2022-03-04T15:00:00Z</dcterms:created>
  <dcterms:modified xsi:type="dcterms:W3CDTF">2022-04-20T13:19:00Z</dcterms:modified>
</cp:coreProperties>
</file>