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43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7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密级状态</w:t>
            </w:r>
            <w:r>
              <w:rPr>
                <w:rFonts w:ascii="宋体" w:hAnsi="宋体"/>
                <w:b/>
                <w:bCs/>
                <w:sz w:val="24"/>
              </w:rPr>
              <w:t>：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>绝密</w:t>
            </w:r>
            <w:r>
              <w:rPr>
                <w:rFonts w:hint="eastAsia" w:ascii="宋体" w:hAnsi="宋体"/>
                <w:bCs/>
                <w:sz w:val="24"/>
              </w:rPr>
              <w:t xml:space="preserve">( 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</w:rPr>
              <w:t xml:space="preserve">  )   秘密( 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</w:rPr>
              <w:t xml:space="preserve">  )   内</w:t>
            </w:r>
            <w:r>
              <w:rPr>
                <w:rFonts w:ascii="宋体" w:hAnsi="宋体"/>
                <w:bCs/>
                <w:sz w:val="24"/>
              </w:rPr>
              <w:t>部资料</w:t>
            </w:r>
            <w:r>
              <w:rPr>
                <w:rFonts w:hint="eastAsia" w:ascii="宋体" w:hAnsi="宋体"/>
                <w:bCs/>
                <w:sz w:val="24"/>
              </w:rPr>
              <w:t xml:space="preserve">( 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</w:rPr>
              <w:t xml:space="preserve">  )   公</w:t>
            </w:r>
            <w:r>
              <w:rPr>
                <w:rFonts w:ascii="宋体" w:hAnsi="宋体"/>
                <w:bCs/>
                <w:sz w:val="24"/>
              </w:rPr>
              <w:t>开</w:t>
            </w:r>
            <w:r>
              <w:rPr>
                <w:rFonts w:hint="eastAsia" w:ascii="宋体" w:hAnsi="宋体"/>
                <w:bCs/>
                <w:sz w:val="24"/>
              </w:rPr>
              <w:t>(  √ 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1" w:hRule="atLeast"/>
        </w:trPr>
        <w:tc>
          <w:tcPr>
            <w:tcW w:w="4388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389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8777" w:type="dxa"/>
            <w:gridSpan w:val="2"/>
            <w:shd w:val="clear" w:color="auto" w:fill="auto"/>
            <w:vAlign w:val="center"/>
          </w:tcPr>
          <w:p>
            <w:pPr>
              <w:pStyle w:val="28"/>
              <w:rPr>
                <w:rFonts w:hint="default"/>
                <w:lang w:val="en-US" w:eastAsia="zh-CN"/>
              </w:rPr>
            </w:pPr>
            <w:bookmarkStart w:id="0" w:name="_Toc19089"/>
            <w:r>
              <w:rPr>
                <w:rFonts w:hint="eastAsia"/>
                <w:lang w:val="en-US" w:eastAsia="zh-CN"/>
              </w:rPr>
              <w:t>ISP IPC模块框架说明及</w:t>
            </w:r>
            <w:bookmarkEnd w:id="0"/>
            <w:bookmarkStart w:id="1" w:name="_Toc8009"/>
            <w:r>
              <w:rPr>
                <w:rFonts w:hint="eastAsia"/>
                <w:sz w:val="44"/>
                <w:szCs w:val="44"/>
                <w:lang w:val="en-US" w:eastAsia="zh-CN"/>
              </w:rPr>
              <w:t>接口规范</w:t>
            </w:r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777" w:type="dxa"/>
            <w:gridSpan w:val="2"/>
            <w:shd w:val="clear" w:color="auto" w:fill="auto"/>
          </w:tcPr>
          <w:tbl>
            <w:tblPr>
              <w:tblStyle w:val="29"/>
              <w:tblpPr w:leftFromText="180" w:rightFromText="180" w:horzAnchor="margin" w:tblpY="102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35"/>
              <w:gridCol w:w="1325"/>
              <w:gridCol w:w="45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restart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>
                  <w:pPr>
                    <w:ind w:firstLine="210" w:firstLineChars="100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[√] 草稿</w:t>
                  </w:r>
                </w:p>
                <w:p>
                  <w:pPr>
                    <w:ind w:firstLine="210" w:firstLineChars="100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[  ]</w:t>
                  </w:r>
                  <w:r>
                    <w:rPr>
                      <w:rFonts w:ascii="宋体" w:hAnsi="宋体"/>
                      <w:bCs/>
                    </w:rPr>
                    <w:t xml:space="preserve"> </w:t>
                  </w:r>
                  <w:r>
                    <w:rPr>
                      <w:rFonts w:hint="eastAsia" w:ascii="宋体" w:hAnsi="宋体"/>
                      <w:bCs/>
                    </w:rPr>
                    <w:t>正在修改</w:t>
                  </w:r>
                </w:p>
                <w:p>
                  <w:pPr>
                    <w:ind w:firstLine="210" w:firstLineChars="100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[  ] 正式发布</w:t>
                  </w: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文件标识：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RK-</w:t>
                  </w:r>
                  <w:r>
                    <w:rPr>
                      <w:rFonts w:ascii="宋体" w:hAnsi="宋体"/>
                      <w:bCs/>
                    </w:rPr>
                    <w:t>XX</w:t>
                  </w:r>
                  <w:r>
                    <w:rPr>
                      <w:rFonts w:hint="eastAsia" w:ascii="宋体" w:hAnsi="宋体"/>
                      <w:bCs/>
                    </w:rPr>
                    <w:t>-</w:t>
                  </w:r>
                  <w:r>
                    <w:rPr>
                      <w:rFonts w:ascii="宋体" w:hAnsi="宋体"/>
                      <w:bCs/>
                    </w:rPr>
                    <w:t>XX-XXX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当前版本：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X.Y</w:t>
                  </w:r>
                  <w:r>
                    <w:rPr>
                      <w:rFonts w:ascii="宋体" w:hAnsi="宋体"/>
                      <w:bCs/>
                    </w:rPr>
                    <w:t>.Z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作    者：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ascii="宋体" w:hAnsi="宋体"/>
                      <w:bCs/>
                    </w:rPr>
                    <w:t>Author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完成日期：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ascii="宋体" w:hAnsi="宋体"/>
                      <w:bCs/>
                    </w:rPr>
                    <w:t>2019-01-01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审    核</w:t>
                  </w:r>
                  <w:r>
                    <w:rPr>
                      <w:rFonts w:ascii="宋体" w:hAnsi="宋体"/>
                      <w:b/>
                      <w:bCs/>
                    </w:rPr>
                    <w:t>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ascii="宋体" w:hAnsi="宋体"/>
                      <w:bCs/>
                    </w:rPr>
                    <w:t>Reviewer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9" w:hRule="atLeast"/>
              </w:trPr>
              <w:tc>
                <w:tcPr>
                  <w:tcW w:w="2635" w:type="dxa"/>
                  <w:vMerge w:val="continue"/>
                  <w:vAlign w:val="center"/>
                </w:tcPr>
                <w:p>
                  <w:pPr>
                    <w:ind w:firstLine="420" w:firstLineChars="200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1325" w:type="dxa"/>
                  <w:shd w:val="clear" w:color="auto" w:fill="D9D9D9"/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审</w:t>
                  </w:r>
                  <w:r>
                    <w:rPr>
                      <w:rFonts w:ascii="宋体" w:hAnsi="宋体"/>
                      <w:b/>
                      <w:bCs/>
                    </w:rPr>
                    <w:t>核日期：</w:t>
                  </w:r>
                </w:p>
              </w:tc>
              <w:tc>
                <w:tcPr>
                  <w:tcW w:w="4591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201</w:t>
                  </w:r>
                  <w:r>
                    <w:rPr>
                      <w:rFonts w:ascii="宋体" w:hAnsi="宋体"/>
                      <w:bCs/>
                    </w:rPr>
                    <w:t>X-XX-XX</w:t>
                  </w:r>
                </w:p>
              </w:tc>
            </w:tr>
          </w:tbl>
          <w:p>
            <w:pPr>
              <w:widowControl/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sz w:val="30"/>
                <w:szCs w:val="30"/>
              </w:rPr>
              <w:t>（部</w:t>
            </w:r>
            <w:r>
              <w:rPr>
                <w:rFonts w:ascii="宋体" w:hAnsi="宋体"/>
                <w:bCs/>
                <w:sz w:val="30"/>
                <w:szCs w:val="30"/>
              </w:rPr>
              <w:t>门名称</w:t>
            </w:r>
            <w:r>
              <w:rPr>
                <w:rFonts w:hint="eastAsia" w:ascii="宋体" w:hAnsi="宋体"/>
                <w:bCs/>
                <w:sz w:val="30"/>
                <w:szCs w:val="30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2" w:hRule="atLeast"/>
        </w:trPr>
        <w:tc>
          <w:tcPr>
            <w:tcW w:w="4388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389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4388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福</w:t>
            </w:r>
            <w:r>
              <w:rPr>
                <w:rFonts w:ascii="仿宋" w:hAnsi="仿宋" w:eastAsia="仿宋"/>
                <w:bCs/>
                <w:sz w:val="24"/>
              </w:rPr>
              <w:t>州瑞芯</w:t>
            </w:r>
            <w:r>
              <w:rPr>
                <w:rFonts w:hint="eastAsia" w:ascii="仿宋" w:hAnsi="仿宋" w:eastAsia="仿宋"/>
                <w:bCs/>
                <w:sz w:val="24"/>
              </w:rPr>
              <w:t>微</w:t>
            </w:r>
            <w:r>
              <w:rPr>
                <w:rFonts w:ascii="仿宋" w:hAnsi="仿宋" w:eastAsia="仿宋"/>
                <w:bCs/>
                <w:sz w:val="24"/>
              </w:rPr>
              <w:t>电子股份有限公</w:t>
            </w:r>
            <w:r>
              <w:rPr>
                <w:rFonts w:hint="eastAsia" w:ascii="仿宋" w:hAnsi="仿宋" w:eastAsia="仿宋"/>
                <w:bCs/>
                <w:sz w:val="24"/>
              </w:rPr>
              <w:t>司</w:t>
            </w:r>
          </w:p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Fuzhou Rockchip Electronics Co.,Ltd.</w:t>
            </w:r>
          </w:p>
        </w:tc>
        <w:tc>
          <w:tcPr>
            <w:tcW w:w="4389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Verdana" w:hAnsi="Verdana"/>
                <w:bCs/>
                <w:sz w:val="3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64135</wp:posOffset>
                  </wp:positionV>
                  <wp:extent cx="1676400" cy="533400"/>
                  <wp:effectExtent l="0" t="0" r="0" b="0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dt>
      <w:sdtPr>
        <w:rPr>
          <w:rFonts w:ascii="宋体" w:hAnsi="宋体" w:eastAsia="宋体" w:cs="Times New Roman"/>
          <w:b/>
          <w:bCs/>
          <w:kern w:val="2"/>
          <w:sz w:val="28"/>
          <w:szCs w:val="28"/>
          <w:lang w:val="en-US" w:eastAsia="zh-CN" w:bidi="ar-SA"/>
        </w:rPr>
        <w:id w:val="1474746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71"/>
            <w:tabs>
              <w:tab w:val="right" w:leader="dot" w:pos="8900"/>
            </w:tabs>
            <w:rPr>
              <w:b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"1-2" \h \u </w:instrText>
          </w:r>
          <w:r>
            <w:rPr>
              <w:sz w:val="28"/>
            </w:rPr>
            <w:fldChar w:fldCharType="separate"/>
          </w:r>
        </w:p>
        <w:p>
          <w:pPr>
            <w:pStyle w:val="71"/>
            <w:tabs>
              <w:tab w:val="right" w:leader="dot" w:pos="890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_Toc29422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/>
            </w:rPr>
            <w:t xml:space="preserve">1 </w:t>
          </w:r>
          <w:r>
            <w:rPr>
              <w:rFonts w:hint="eastAsia"/>
              <w:b/>
              <w:lang w:val="en-US" w:eastAsia="zh-CN"/>
            </w:rPr>
            <w:t>框架概述：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_Toc29422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2"/>
            <w:tabs>
              <w:tab w:val="right" w:leader="dot" w:pos="8900"/>
            </w:tabs>
          </w:pPr>
          <w:r>
            <w:fldChar w:fldCharType="begin"/>
          </w:r>
          <w:r>
            <w:instrText xml:space="preserve"> HYPERLINK \l _Toc15127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  <w:lang w:val="en-US" w:eastAsia="zh-CN"/>
            </w:rPr>
            <w:t>框架图：</w:t>
          </w:r>
          <w:r>
            <w:tab/>
          </w:r>
          <w:r>
            <w:fldChar w:fldCharType="begin"/>
          </w:r>
          <w:r>
            <w:instrText xml:space="preserve"> PAGEREF _Toc15127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</w:pPr>
          <w:r>
            <w:fldChar w:fldCharType="begin"/>
          </w:r>
          <w:r>
            <w:instrText xml:space="preserve"> HYPERLINK \l _Toc22785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框架说明：</w:t>
          </w:r>
          <w:r>
            <w:tab/>
          </w:r>
          <w:r>
            <w:fldChar w:fldCharType="begin"/>
          </w:r>
          <w:r>
            <w:instrText xml:space="preserve"> PAGEREF _Toc22785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1"/>
            <w:tabs>
              <w:tab w:val="right" w:leader="dot" w:pos="890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_Toc27334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2 </w:t>
          </w:r>
          <w:r>
            <w:rPr>
              <w:rFonts w:hint="eastAsia"/>
              <w:b/>
              <w:lang w:val="en-US" w:eastAsia="zh-CN"/>
            </w:rPr>
            <w:t>接口规范：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_Toc27334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2"/>
            <w:tabs>
              <w:tab w:val="right" w:leader="dot" w:pos="8900"/>
            </w:tabs>
          </w:pPr>
          <w:r>
            <w:fldChar w:fldCharType="begin"/>
          </w:r>
          <w:r>
            <w:instrText xml:space="preserve"> HYPERLINK \l _Toc18137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应用层接口实现规范：</w:t>
          </w:r>
          <w:r>
            <w:tab/>
          </w:r>
          <w:r>
            <w:fldChar w:fldCharType="begin"/>
          </w:r>
          <w:r>
            <w:instrText xml:space="preserve"> PAGEREF _Toc18137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</w:pPr>
          <w:r>
            <w:fldChar w:fldCharType="begin"/>
          </w:r>
          <w:r>
            <w:instrText xml:space="preserve"> HYPERLINK \l _Toc17063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接口层规范：</w:t>
          </w:r>
          <w:r>
            <w:tab/>
          </w:r>
          <w:r>
            <w:fldChar w:fldCharType="begin"/>
          </w:r>
          <w:r>
            <w:instrText xml:space="preserve"> PAGEREF _Toc17063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</w:pPr>
          <w:r>
            <w:fldChar w:fldCharType="begin"/>
          </w:r>
          <w:r>
            <w:instrText xml:space="preserve"> HYPERLINK \l _Toc4763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协议层的规范：</w:t>
          </w:r>
          <w:r>
            <w:tab/>
          </w:r>
          <w:r>
            <w:fldChar w:fldCharType="begin"/>
          </w:r>
          <w:r>
            <w:instrText xml:space="preserve"> PAGEREF _Toc4763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</w:pPr>
          <w:r>
            <w:fldChar w:fldCharType="begin"/>
          </w:r>
          <w:r>
            <w:instrText xml:space="preserve"> HYPERLINK \l _Toc15959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 uAPI层的规范：</w:t>
          </w:r>
          <w:r>
            <w:tab/>
          </w:r>
          <w:r>
            <w:fldChar w:fldCharType="begin"/>
          </w:r>
          <w:r>
            <w:instrText xml:space="preserve"> PAGEREF _Toc15959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1"/>
            <w:tabs>
              <w:tab w:val="right" w:leader="dot" w:pos="890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_Toc30542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3 </w:t>
          </w:r>
          <w:r>
            <w:rPr>
              <w:rFonts w:hint="eastAsia"/>
              <w:b/>
              <w:lang w:val="en-US" w:eastAsia="zh-CN"/>
            </w:rPr>
            <w:t>源码说明：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_Toc30542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2"/>
            <w:tabs>
              <w:tab w:val="right" w:leader="dot" w:pos="8900"/>
            </w:tabs>
          </w:pPr>
          <w:r>
            <w:fldChar w:fldCharType="begin"/>
          </w:r>
          <w:r>
            <w:instrText xml:space="preserve"> HYPERLINK \l _Toc11032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 Isp2-ipc源码结构说明：</w:t>
          </w:r>
          <w:r>
            <w:tab/>
          </w:r>
          <w:r>
            <w:fldChar w:fldCharType="begin"/>
          </w:r>
          <w:r>
            <w:instrText xml:space="preserve"> PAGEREF _Toc11032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2"/>
            <w:tabs>
              <w:tab w:val="right" w:leader="dot" w:pos="8900"/>
            </w:tabs>
          </w:pPr>
          <w:r>
            <w:fldChar w:fldCharType="begin"/>
          </w:r>
          <w:r>
            <w:instrText xml:space="preserve"> HYPERLINK \l _Toc31260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 CallFunIpc源码结构体说明：</w:t>
          </w:r>
          <w:r>
            <w:tab/>
          </w:r>
          <w:r>
            <w:fldChar w:fldCharType="begin"/>
          </w:r>
          <w:r>
            <w:instrText xml:space="preserve"> PAGEREF _Toc31260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ageBreakBefore/>
            <w:jc w:val="center"/>
            <w:rPr>
              <w:sz w:val="28"/>
            </w:rPr>
            <w:sectPr>
              <w:headerReference r:id="rId3" w:type="default"/>
              <w:footerReference r:id="rId4" w:type="default"/>
              <w:type w:val="continuous"/>
              <w:pgSz w:w="11906" w:h="16838"/>
              <w:pgMar w:top="1418" w:right="1418" w:bottom="1418" w:left="1588" w:header="851" w:footer="851" w:gutter="0"/>
              <w:cols w:space="720" w:num="1"/>
              <w:titlePg/>
              <w:docGrid w:type="lines" w:linePitch="350" w:charSpace="2824"/>
            </w:sectPr>
          </w:pPr>
          <w:r>
            <w:rPr>
              <w:b/>
            </w:rPr>
            <w:fldChar w:fldCharType="end"/>
          </w:r>
        </w:p>
      </w:sdtContent>
    </w:sdt>
    <w:p>
      <w:pPr>
        <w:jc w:val="left"/>
        <w:outlineLvl w:val="0"/>
        <w:rPr>
          <w:rFonts w:eastAsia="Times New Roman"/>
          <w:sz w:val="28"/>
          <w:szCs w:val="28"/>
        </w:rPr>
      </w:pPr>
      <w:bookmarkStart w:id="2" w:name="_Toc12599"/>
      <w:r>
        <w:rPr>
          <w:rFonts w:hint="eastAsia"/>
          <w:b/>
          <w:bCs/>
          <w:sz w:val="28"/>
          <w:szCs w:val="28"/>
        </w:rPr>
        <w:t>免责声明</w:t>
      </w:r>
      <w:bookmarkEnd w:id="2"/>
    </w:p>
    <w:p>
      <w:pPr>
        <w:tabs>
          <w:tab w:val="left" w:pos="426"/>
        </w:tabs>
        <w:spacing w:line="0" w:lineRule="atLeast"/>
        <w:ind w:right="210"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本文档</w:t>
      </w:r>
      <w:r>
        <w:rPr>
          <w:rFonts w:ascii="宋体" w:hAnsi="宋体"/>
        </w:rPr>
        <w:t>按</w:t>
      </w:r>
      <w:r>
        <w:rPr>
          <w:rFonts w:hint="eastAsia" w:ascii="宋体" w:hAnsi="宋体"/>
        </w:rPr>
        <w:t>“</w:t>
      </w:r>
      <w:r>
        <w:rPr>
          <w:rFonts w:ascii="宋体" w:hAnsi="宋体"/>
        </w:rPr>
        <w:t>现状</w:t>
      </w:r>
      <w:r>
        <w:rPr>
          <w:rFonts w:hint="eastAsia" w:ascii="宋体" w:hAnsi="宋体"/>
        </w:rPr>
        <w:t>”</w:t>
      </w:r>
      <w:r>
        <w:rPr>
          <w:rFonts w:ascii="宋体" w:hAnsi="宋体"/>
        </w:rPr>
        <w:t>提供，</w:t>
      </w:r>
      <w:r>
        <w:rPr>
          <w:rFonts w:hint="eastAsia" w:ascii="宋体" w:hAnsi="宋体"/>
        </w:rPr>
        <w:t>福州瑞芯微</w:t>
      </w:r>
      <w:r>
        <w:rPr>
          <w:rFonts w:ascii="宋体" w:hAnsi="宋体"/>
        </w:rPr>
        <w:t>电子股份有限公司（</w:t>
      </w:r>
      <w:r>
        <w:rPr>
          <w:rFonts w:hint="eastAsia" w:ascii="宋体" w:hAnsi="宋体"/>
        </w:rPr>
        <w:t>“本</w:t>
      </w:r>
      <w:r>
        <w:rPr>
          <w:rFonts w:ascii="宋体" w:hAnsi="宋体"/>
        </w:rPr>
        <w:t>公司</w:t>
      </w:r>
      <w:r>
        <w:rPr>
          <w:rFonts w:hint="eastAsia" w:ascii="宋体" w:hAnsi="宋体"/>
        </w:rPr>
        <w:t>”，</w:t>
      </w:r>
      <w:r>
        <w:rPr>
          <w:rFonts w:ascii="宋体" w:hAnsi="宋体"/>
        </w:rPr>
        <w:t>下同）不对</w:t>
      </w:r>
      <w:r>
        <w:rPr>
          <w:rFonts w:hint="eastAsia" w:ascii="宋体" w:hAnsi="宋体"/>
        </w:rPr>
        <w:t>本文档的任何陈述、信息和内容</w: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准确性、可靠性、完整性、适销性、特定目的性和非侵权性提供任何明示或暗示的声明</w:t>
      </w:r>
      <w:r>
        <w:rPr>
          <w:rFonts w:ascii="宋体" w:hAnsi="宋体"/>
        </w:rPr>
        <w:t>或保证</w:t>
      </w:r>
      <w:r>
        <w:rPr>
          <w:rFonts w:hint="eastAsia" w:ascii="宋体" w:hAnsi="宋体"/>
        </w:rPr>
        <w:t>。本文档仅作为使用指导的参考。</w:t>
      </w:r>
    </w:p>
    <w:p>
      <w:pPr>
        <w:tabs>
          <w:tab w:val="left" w:pos="426"/>
        </w:tabs>
        <w:spacing w:line="0" w:lineRule="atLeast"/>
        <w:ind w:right="210"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由于产品版本升级或其他原因，本文档将可能</w:t>
      </w:r>
      <w:r>
        <w:rPr>
          <w:rFonts w:ascii="宋体" w:hAnsi="宋体"/>
        </w:rPr>
        <w:t>在未经任何通知的情况下，</w:t>
      </w:r>
      <w:r>
        <w:rPr>
          <w:rFonts w:hint="eastAsia" w:ascii="宋体" w:hAnsi="宋体"/>
        </w:rPr>
        <w:t>不定期进行更新或</w:t>
      </w:r>
      <w:r>
        <w:rPr>
          <w:rFonts w:ascii="宋体" w:hAnsi="宋体"/>
        </w:rPr>
        <w:t>修改</w:t>
      </w:r>
      <w:r>
        <w:rPr>
          <w:rFonts w:hint="eastAsia" w:ascii="宋体" w:hAnsi="宋体"/>
        </w:rPr>
        <w:t>。</w:t>
      </w:r>
    </w:p>
    <w:p>
      <w:pPr>
        <w:tabs>
          <w:tab w:val="left" w:pos="426"/>
        </w:tabs>
        <w:spacing w:line="0" w:lineRule="atLeast"/>
        <w:ind w:right="210"/>
        <w:jc w:val="left"/>
        <w:rPr>
          <w:sz w:val="15"/>
          <w:szCs w:val="15"/>
        </w:rPr>
      </w:pPr>
    </w:p>
    <w:p>
      <w:pPr>
        <w:jc w:val="left"/>
        <w:outlineLvl w:val="0"/>
        <w:rPr>
          <w:b/>
          <w:bCs/>
          <w:sz w:val="28"/>
          <w:szCs w:val="28"/>
        </w:rPr>
      </w:pPr>
      <w:bookmarkStart w:id="3" w:name="_Toc343"/>
      <w:r>
        <w:rPr>
          <w:rFonts w:hint="eastAsia"/>
          <w:b/>
          <w:bCs/>
          <w:sz w:val="28"/>
          <w:szCs w:val="28"/>
        </w:rPr>
        <w:t>商标声明</w:t>
      </w:r>
      <w:bookmarkEnd w:id="3"/>
    </w:p>
    <w:p>
      <w:pPr>
        <w:tabs>
          <w:tab w:val="left" w:pos="426"/>
        </w:tabs>
        <w:spacing w:line="0" w:lineRule="atLeast"/>
        <w:ind w:right="210" w:firstLine="315" w:firstLineChars="150"/>
        <w:jc w:val="left"/>
        <w:rPr>
          <w:rFonts w:ascii="宋体" w:hAnsi="宋体"/>
        </w:rPr>
      </w:pPr>
      <w:r>
        <w:rPr>
          <w:rFonts w:hint="eastAsia" w:ascii="宋体" w:hAnsi="宋体"/>
        </w:rPr>
        <w:t>“Rockchip”、“瑞芯微”、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瑞芯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均为本公司的注册商标，归本公司所有。</w:t>
      </w:r>
    </w:p>
    <w:p>
      <w:pPr>
        <w:tabs>
          <w:tab w:val="left" w:pos="426"/>
        </w:tabs>
        <w:spacing w:line="0" w:lineRule="atLeast"/>
        <w:ind w:right="210"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本文档可能提及的其他所有注册商标或商标，由其各自拥有者所有。 </w:t>
      </w:r>
    </w:p>
    <w:p>
      <w:pPr>
        <w:tabs>
          <w:tab w:val="left" w:pos="426"/>
        </w:tabs>
        <w:spacing w:line="0" w:lineRule="atLeast"/>
        <w:ind w:right="210"/>
        <w:jc w:val="left"/>
        <w:rPr>
          <w:sz w:val="15"/>
          <w:szCs w:val="15"/>
        </w:rPr>
      </w:pPr>
    </w:p>
    <w:p>
      <w:pPr>
        <w:jc w:val="left"/>
        <w:outlineLvl w:val="0"/>
        <w:rPr>
          <w:b/>
          <w:bCs/>
          <w:sz w:val="28"/>
          <w:szCs w:val="28"/>
        </w:rPr>
      </w:pPr>
      <w:bookmarkStart w:id="4" w:name="_Toc7343"/>
      <w:r>
        <w:rPr>
          <w:rFonts w:hint="eastAsia"/>
          <w:b/>
          <w:bCs/>
          <w:sz w:val="28"/>
          <w:szCs w:val="28"/>
        </w:rPr>
        <w:t>版权所有 © 2019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福州瑞芯微电子股份有限公司</w:t>
      </w:r>
      <w:bookmarkEnd w:id="4"/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tabs>
          <w:tab w:val="left" w:pos="426"/>
        </w:tabs>
        <w:spacing w:line="0" w:lineRule="atLeast"/>
        <w:ind w:right="210"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超越合理使用范畴，非经本公司书面许可，任何单位和个人不得擅自摘抄、复制本文档内容的部分或全部，并不得以任何形式传播。 </w:t>
      </w:r>
    </w:p>
    <w:p>
      <w:pPr>
        <w:jc w:val="left"/>
      </w:pP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福州瑞芯微电子股份有限公司</w:t>
      </w:r>
    </w:p>
    <w:p>
      <w:pPr>
        <w:spacing w:line="0" w:lineRule="atLeast"/>
        <w:jc w:val="left"/>
      </w:pPr>
      <w:r>
        <w:t>Fuzhou Rockchip Electronics Co., Ltd.</w:t>
      </w: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地址：         福建省福州市铜盘路软件园A区18号</w:t>
      </w: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网址：         </w:t>
      </w:r>
      <w:r>
        <w:fldChar w:fldCharType="begin"/>
      </w:r>
      <w:r>
        <w:instrText xml:space="preserve"> HYPERLINK "http://www.rock-chips.com" </w:instrText>
      </w:r>
      <w:r>
        <w:fldChar w:fldCharType="separate"/>
      </w:r>
      <w:r>
        <w:t>www.rock-chips.com</w:t>
      </w:r>
      <w:r>
        <w:fldChar w:fldCharType="end"/>
      </w: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客户服务电话：</w:t>
      </w:r>
      <w:r>
        <w:rPr>
          <w:rFonts w:ascii="宋体" w:hAnsi="宋体"/>
        </w:rPr>
        <w:t xml:space="preserve"> +86-4007-700-590                   </w:t>
      </w:r>
    </w:p>
    <w:p>
      <w:pPr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客户服务传真： </w:t>
      </w:r>
      <w:r>
        <w:rPr>
          <w:rFonts w:ascii="宋体" w:hAnsi="宋体"/>
        </w:rPr>
        <w:t>+86-591-83951833</w:t>
      </w:r>
    </w:p>
    <w:p>
      <w:pPr>
        <w:spacing w:line="0" w:lineRule="atLeast"/>
        <w:jc w:val="left"/>
      </w:pPr>
      <w:r>
        <w:rPr>
          <w:rFonts w:hint="eastAsia" w:ascii="宋体" w:hAnsi="宋体"/>
        </w:rPr>
        <w:t xml:space="preserve">客户服务邮箱： </w:t>
      </w:r>
      <w:r>
        <w:t>fae@rock-chips.com</w:t>
      </w:r>
    </w:p>
    <w:p>
      <w:pPr>
        <w:pageBreakBefore/>
        <w:jc w:val="center"/>
        <w:rPr>
          <w:sz w:val="28"/>
        </w:rPr>
        <w:sectPr>
          <w:pgSz w:w="11906" w:h="16838"/>
          <w:pgMar w:top="1418" w:right="1418" w:bottom="1418" w:left="1588" w:header="907" w:footer="851" w:gutter="0"/>
          <w:cols w:space="720" w:num="1"/>
          <w:titlePg/>
          <w:docGrid w:type="lines" w:linePitch="350" w:charSpace="2824"/>
        </w:sectPr>
      </w:pPr>
    </w:p>
    <w:p>
      <w:pPr>
        <w:pageBreakBefore/>
        <w:jc w:val="center"/>
        <w:outlineLvl w:val="0"/>
        <w:rPr>
          <w:b/>
          <w:sz w:val="32"/>
          <w:szCs w:val="32"/>
        </w:rPr>
      </w:pPr>
      <w:bookmarkStart w:id="5" w:name="_Toc3891"/>
      <w:r>
        <w:rPr>
          <w:rFonts w:hint="eastAsia"/>
          <w:b/>
          <w:sz w:val="32"/>
          <w:szCs w:val="32"/>
        </w:rPr>
        <w:t>修改</w:t>
      </w:r>
      <w:r>
        <w:rPr>
          <w:b/>
          <w:sz w:val="32"/>
          <w:szCs w:val="32"/>
        </w:rPr>
        <w:t>记录</w:t>
      </w:r>
      <w:bookmarkEnd w:id="5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6"/>
        <w:gridCol w:w="1433"/>
        <w:gridCol w:w="352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6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352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142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/>
        </w:tc>
        <w:tc>
          <w:tcPr>
            <w:tcW w:w="1366" w:type="dxa"/>
          </w:tcPr>
          <w:p/>
        </w:tc>
        <w:tc>
          <w:tcPr>
            <w:tcW w:w="1433" w:type="dxa"/>
          </w:tcPr>
          <w:p/>
        </w:tc>
        <w:tc>
          <w:tcPr>
            <w:tcW w:w="3526" w:type="dxa"/>
          </w:tcPr>
          <w:p/>
        </w:tc>
        <w:tc>
          <w:tcPr>
            <w:tcW w:w="1428" w:type="dxa"/>
          </w:tcPr>
          <w:p/>
        </w:tc>
      </w:tr>
    </w:tbl>
    <w:p/>
    <w:p>
      <w:pPr>
        <w:pageBreakBefore/>
        <w:jc w:val="center"/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>
          <w:footerReference r:id="rId6" w:type="first"/>
          <w:footerReference r:id="rId5" w:type="default"/>
          <w:type w:val="continuous"/>
          <w:pgSz w:w="11906" w:h="16838"/>
          <w:pgMar w:top="1418" w:right="1418" w:bottom="1418" w:left="1588" w:header="907" w:footer="851" w:gutter="0"/>
          <w:pgNumType w:start="1"/>
          <w:cols w:space="720" w:num="1"/>
          <w:docGrid w:type="lines" w:linePitch="350" w:charSpace="2824"/>
        </w:sectPr>
      </w:pPr>
    </w:p>
    <w:p>
      <w:pPr>
        <w:rPr>
          <w:rFonts w:ascii="Times" w:hAnsi="Times"/>
          <w:sz w:val="32"/>
          <w:szCs w:val="20"/>
        </w:rPr>
      </w:pPr>
    </w:p>
    <w:p>
      <w:pPr>
        <w:rPr>
          <w:rFonts w:ascii="Times" w:hAnsi="Times"/>
          <w:sz w:val="32"/>
          <w:szCs w:val="20"/>
        </w:rPr>
      </w:pPr>
    </w:p>
    <w:p>
      <w:pPr>
        <w:rPr>
          <w:rFonts w:ascii="Times" w:hAnsi="Times"/>
          <w:sz w:val="32"/>
        </w:rPr>
      </w:pPr>
    </w:p>
    <w:p>
      <w:bookmarkStart w:id="6" w:name="_Toc83735253"/>
    </w:p>
    <w:p/>
    <w:p>
      <w:pPr>
        <w:sectPr>
          <w:type w:val="continuous"/>
          <w:pgSz w:w="11906" w:h="16838"/>
          <w:pgMar w:top="1418" w:right="1418" w:bottom="1418" w:left="1588" w:header="907" w:footer="851" w:gutter="0"/>
          <w:cols w:space="720" w:num="1"/>
          <w:docGrid w:type="lines" w:linePitch="350" w:charSpace="2824"/>
        </w:sectPr>
      </w:pPr>
    </w:p>
    <w:bookmarkEnd w:id="6"/>
    <w:p>
      <w:pPr>
        <w:pStyle w:val="2"/>
        <w:widowControl/>
        <w:numPr>
          <w:ilvl w:val="0"/>
          <w:numId w:val="2"/>
        </w:numPr>
        <w:rPr>
          <w:rFonts w:hint="default"/>
          <w:lang w:val="en-US"/>
        </w:rPr>
      </w:pPr>
      <w:bookmarkStart w:id="7" w:name="_Toc29422"/>
      <w:r>
        <w:rPr>
          <w:rFonts w:hint="eastAsia"/>
          <w:lang w:val="en-US" w:eastAsia="zh-CN"/>
        </w:rPr>
        <w:t>框架概述：</w:t>
      </w:r>
      <w:bookmarkEnd w:id="7"/>
    </w:p>
    <w:p>
      <w:pPr>
        <w:pStyle w:val="3"/>
        <w:widowControl/>
        <w:numPr>
          <w:ilvl w:val="1"/>
          <w:numId w:val="3"/>
        </w:numPr>
        <w:tabs>
          <w:tab w:val="left" w:pos="0"/>
          <w:tab w:val="left" w:pos="432"/>
        </w:tabs>
      </w:pPr>
      <w:bookmarkStart w:id="8" w:name="_Toc15127"/>
      <w:r>
        <w:rPr>
          <w:rFonts w:hint="eastAsia"/>
          <w:lang w:val="en-US" w:eastAsia="zh-CN"/>
        </w:rPr>
        <w:t>框架图：</w:t>
      </w:r>
      <w:bookmarkEnd w:id="8"/>
    </w:p>
    <w:p>
      <w:r>
        <w:drawing>
          <wp:inline distT="0" distB="0" distL="114300" distR="114300">
            <wp:extent cx="5502910" cy="5494655"/>
            <wp:effectExtent l="0" t="0" r="254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" w:name="_Toc22785"/>
      <w:r>
        <w:rPr>
          <w:rFonts w:hint="eastAsia"/>
          <w:lang w:val="en-US" w:eastAsia="zh-CN"/>
        </w:rPr>
        <w:t>1.2 框架说明：</w:t>
      </w:r>
      <w:bookmarkEnd w:id="9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</w:t>
      </w:r>
    </w:p>
    <w:p>
      <w:pPr>
        <w:numPr>
          <w:ilvl w:val="0"/>
          <w:numId w:val="0"/>
        </w:numPr>
        <w:ind w:left="1680" w:leftChars="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服务端：</w:t>
      </w:r>
    </w:p>
    <w:p>
      <w:pPr>
        <w:numPr>
          <w:ilvl w:val="0"/>
          <w:numId w:val="0"/>
        </w:numPr>
        <w:ind w:left="1680" w:leftChars="8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实现服务端的接口定义，主要基于uAPI接口定义的，在每个接口的末尾添加_ipc</w:t>
      </w:r>
    </w:p>
    <w:p>
      <w:pPr>
        <w:numPr>
          <w:ilvl w:val="0"/>
          <w:numId w:val="0"/>
        </w:numPr>
        <w:ind w:left="1680" w:leftChars="8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接口直接调用librkaiq.so的相关接口. 由于服务端的接口直接调用librkaiq.so</w:t>
      </w:r>
    </w:p>
    <w:p>
      <w:pPr>
        <w:numPr>
          <w:ilvl w:val="0"/>
          <w:numId w:val="0"/>
        </w:numPr>
        <w:ind w:left="1680" w:leftChars="8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所以接口的名字不能跟uAPI接口一样。要不然编译会有问题。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客户端：</w:t>
      </w:r>
    </w:p>
    <w:p>
      <w:pPr>
        <w:numPr>
          <w:ilvl w:val="0"/>
          <w:numId w:val="0"/>
        </w:numPr>
        <w:ind w:leftChars="0"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uAPI接口的客户端实现，如果客户原来不是用IPC模式，如果要切回IPC模式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只要依赖库改成libispclient.so. 调用的函数接口可以不要改动。实现无缝切换。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服务端：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基于uAPI接口重新定义了一套接口。在原来的uAPI的接口的基础上，添加“_ipc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客户端：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直接采用uAPI接口定义。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基于uAPI接口参数，定义的结构体。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 uAPI层：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Librkaiq.so对外开放的接口。</w:t>
      </w:r>
    </w:p>
    <w:p>
      <w:pPr>
        <w:pStyle w:val="2"/>
        <w:widowControl/>
        <w:numPr>
          <w:ilvl w:val="0"/>
          <w:numId w:val="2"/>
        </w:numPr>
      </w:pPr>
      <w:bookmarkStart w:id="10" w:name="_Toc27334"/>
      <w:r>
        <w:rPr>
          <w:rFonts w:hint="eastAsia"/>
          <w:lang w:val="en-US" w:eastAsia="zh-CN"/>
        </w:rPr>
        <w:t>接口规范：</w:t>
      </w:r>
      <w:bookmarkEnd w:id="10"/>
    </w:p>
    <w:p>
      <w:pPr>
        <w:pStyle w:val="3"/>
        <w:numPr>
          <w:ilvl w:val="1"/>
          <w:numId w:val="0"/>
        </w:numPr>
        <w:bidi w:val="0"/>
        <w:ind w:leftChars="0" w:firstLine="281" w:firstLineChars="100"/>
        <w:rPr>
          <w:rFonts w:hint="eastAsia"/>
          <w:lang w:val="en-US" w:eastAsia="zh-CN"/>
        </w:rPr>
      </w:pPr>
      <w:bookmarkStart w:id="11" w:name="_Toc18137"/>
      <w:r>
        <w:rPr>
          <w:rFonts w:hint="eastAsia"/>
          <w:lang w:val="en-US" w:eastAsia="zh-CN"/>
        </w:rPr>
        <w:t>2.1 应用层接口实现规范：</w:t>
      </w:r>
      <w:bookmarkEnd w:id="11"/>
    </w:p>
    <w:p>
      <w:p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服务端：服务端主要实现interface目录下的接口定义。服务端根据set和get属性的方法，分别调用：CALL_SET_AIQ(uAPI接口名)和CALL_SET_AIQ(uAPI的接口名)。</w:t>
      </w:r>
    </w:p>
    <w:p>
      <w:p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比如：</w:t>
      </w:r>
    </w:p>
    <w:p>
      <w:pPr>
        <w:ind w:left="1680" w:leftChars="200" w:hanging="1260" w:hanging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4229100" cy="16097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客户端：实现uAPI的.h文件接口的实现。服务端根据set和get属性的方法，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分别调用CLIENT_CALL_SET_AIQ(uAPI接口名)和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CLIENT_CALL_SET_AIQ(uAPI).如果参数名不是attr或者sys_ctx.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参数名需要做下转换，比如：</w:t>
      </w:r>
    </w:p>
    <w:p>
      <w:pPr>
        <w:ind w:firstLine="1890" w:firstLineChars="900"/>
        <w:rPr>
          <w:rFonts w:hint="default"/>
          <w:lang w:val="en-US" w:eastAsia="zh-CN"/>
        </w:rPr>
      </w:pPr>
      <w:r>
        <w:drawing>
          <wp:inline distT="0" distB="0" distL="114300" distR="114300">
            <wp:extent cx="4382770" cy="844550"/>
            <wp:effectExtent l="0" t="0" r="1778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  <w:rPr>
          <w:rFonts w:hint="eastAsia"/>
          <w:lang w:val="en-US" w:eastAsia="zh-CN"/>
        </w:rPr>
      </w:pPr>
      <w:bookmarkStart w:id="12" w:name="_Toc17063"/>
      <w:r>
        <w:rPr>
          <w:rStyle w:val="37"/>
          <w:rFonts w:hint="eastAsia"/>
          <w:lang w:val="en-US" w:eastAsia="zh-CN"/>
        </w:rPr>
        <w:t>2.2 接口层规范</w:t>
      </w:r>
      <w:r>
        <w:rPr>
          <w:rFonts w:hint="eastAsia"/>
          <w:lang w:val="en-US" w:eastAsia="zh-CN"/>
        </w:rPr>
        <w:t>：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定义规范：uAPI接口名+_ipc+(void *args)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void* args:共享内存结构体指针。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比如：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181475" cy="13335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客户端：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直接采用uAPI接口进行实现，不要进行任何修改。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4702810" cy="1797685"/>
            <wp:effectExtent l="0" t="0" r="2540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  <w:rPr>
          <w:rFonts w:hint="eastAsia"/>
          <w:lang w:val="en-US" w:eastAsia="zh-CN"/>
        </w:rPr>
      </w:pPr>
      <w:bookmarkStart w:id="13" w:name="_Toc4763"/>
      <w:r>
        <w:rPr>
          <w:rStyle w:val="37"/>
          <w:rFonts w:hint="eastAsia"/>
          <w:lang w:val="en-US" w:eastAsia="zh-CN"/>
        </w:rPr>
        <w:t>2.3 协议层的规范</w:t>
      </w:r>
      <w:r>
        <w:rPr>
          <w:rFonts w:hint="eastAsia"/>
          <w:lang w:val="en-US" w:eastAsia="zh-CN"/>
        </w:rPr>
        <w:t>：</w:t>
      </w:r>
      <w:bookmarkEnd w:id="13"/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协议层主要根据接口的参数进行定义的。定义协议的时候，不能出现指针（除rk_aiq_sys_ctx_t* sys_ctx）。如果有返回值需要添加返回值定义。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定义规则：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  struct uAPI接口名 {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rk_aiq_sys_ctx_t* sys_ctx；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参数2；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xCamReturn returnvalue;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firstLine="1050" w:firstLineChars="500"/>
      </w:pPr>
      <w:r>
        <w:drawing>
          <wp:inline distT="0" distB="0" distL="114300" distR="114300">
            <wp:extent cx="3020695" cy="1835785"/>
            <wp:effectExtent l="0" t="0" r="8255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注意：每个接口定义一个协议文件。</w:t>
      </w:r>
    </w:p>
    <w:p>
      <w:pPr>
        <w:ind w:firstLine="420"/>
        <w:outlineLvl w:val="1"/>
        <w:rPr>
          <w:rFonts w:hint="default"/>
          <w:lang w:val="en-US" w:eastAsia="zh-CN"/>
        </w:rPr>
      </w:pPr>
      <w:bookmarkStart w:id="14" w:name="_Toc15959"/>
      <w:r>
        <w:rPr>
          <w:rStyle w:val="37"/>
          <w:rFonts w:hint="eastAsia"/>
          <w:lang w:val="en-US" w:eastAsia="zh-CN"/>
        </w:rPr>
        <w:t>2.4  uAPI层的规范</w:t>
      </w:r>
      <w:r>
        <w:rPr>
          <w:rFonts w:hint="eastAsia"/>
          <w:lang w:val="en-US" w:eastAsia="zh-CN"/>
        </w:rPr>
        <w:t>：</w:t>
      </w:r>
      <w:bookmarkEnd w:id="1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uAPI层提供出来的参数结构体不能是指针。如果是指针共享内存拷贝会存在问题。。      </w:t>
      </w:r>
    </w:p>
    <w:p/>
    <w:p>
      <w:pPr>
        <w:pStyle w:val="2"/>
        <w:widowControl/>
        <w:numPr>
          <w:ilvl w:val="0"/>
          <w:numId w:val="2"/>
        </w:numPr>
      </w:pPr>
      <w:bookmarkStart w:id="15" w:name="_Toc30542"/>
      <w:bookmarkStart w:id="16" w:name="_Toc16479046"/>
      <w:r>
        <w:rPr>
          <w:rFonts w:hint="eastAsia"/>
          <w:lang w:val="en-US" w:eastAsia="zh-CN"/>
        </w:rPr>
        <w:t>源码说明：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源码主要由两部分组成，isp2-ipc和CallFunIpc.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Isp2-ipc主要是rkaiq的IPC实现。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CallFunIpc主要是共享内存和DBUS的接口封装。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7" w:name="_Toc11032"/>
      <w:r>
        <w:rPr>
          <w:rStyle w:val="37"/>
          <w:rFonts w:hint="eastAsia"/>
          <w:lang w:val="en-US" w:eastAsia="zh-CN"/>
        </w:rPr>
        <w:t>3.1  Isp2-ipc源码结构说明</w:t>
      </w:r>
      <w:r>
        <w:rPr>
          <w:rFonts w:hint="eastAsia"/>
          <w:lang w:val="en-US" w:eastAsia="zh-CN"/>
        </w:rPr>
        <w:t>：</w:t>
      </w:r>
      <w:bookmarkEnd w:id="17"/>
    </w:p>
    <w:p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638425" cy="23812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Client: 客户端uAPI接口实现，编译将生成libispclient.so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Common:存放公共文件。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Demo：客户端的demo实现，主要原来libispclient.so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Doc: 存放相关文档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interface：服务端的接口定义。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Libs:依赖的库文件，比如librkaiq.so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Protocol:存放协议文件，每个接口一个协议文件。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Server:服务端的接口实现。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源码地址： ssh://10.10.10.29:29418/linux/external/isp2-ipc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8" w:name="_Toc31260"/>
      <w:r>
        <w:rPr>
          <w:rStyle w:val="37"/>
          <w:rFonts w:hint="eastAsia"/>
          <w:lang w:val="en-US" w:eastAsia="zh-CN"/>
        </w:rPr>
        <w:t>3.2  CallFunIpc源码结构体说明</w:t>
      </w:r>
      <w:r>
        <w:rPr>
          <w:rFonts w:hint="eastAsia"/>
          <w:lang w:val="en-US" w:eastAsia="zh-CN"/>
        </w:rPr>
        <w:t>：</w:t>
      </w:r>
      <w:bookmarkEnd w:id="18"/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4.后续还需解决的问题：</w:t>
      </w:r>
    </w:p>
    <w:p>
      <w:pPr>
        <w:numPr>
          <w:ilvl w:val="0"/>
          <w:numId w:val="5"/>
        </w:numPr>
        <w:ind w:left="420" w:leftChars="0" w:hanging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第三方算法库的加载接口需要重新定义。</w:t>
      </w:r>
      <w:bookmarkStart w:id="19" w:name="_GoBack"/>
      <w:bookmarkEnd w:id="19"/>
    </w:p>
    <w:p>
      <w:pPr>
        <w:numPr>
          <w:ilvl w:val="0"/>
          <w:numId w:val="5"/>
        </w:numPr>
        <w:ind w:left="42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部分算法库文件还存在指针，需要做重新定义。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18" w:right="1418" w:bottom="1418" w:left="1588" w:header="851" w:footer="851" w:gutter="0"/>
      <w:cols w:space="720" w:num="1"/>
      <w:docGrid w:type="line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  <w:r>
      <w:rPr>
        <w:i/>
      </w:rPr>
      <w:t xml:space="preserve">Copyright © 2019 Fuzhou Rockchip Electronics Co., Ltd.                                                   </w:t>
    </w:r>
    <w:r>
      <w:rPr>
        <w:i/>
      </w:rPr>
      <w:fldChar w:fldCharType="begin"/>
    </w:r>
    <w:r>
      <w:rPr>
        <w:i/>
      </w:rPr>
      <w:instrText xml:space="preserve">PAGE   \* MERGEFORMAT</w:instrText>
    </w:r>
    <w:r>
      <w:rPr>
        <w:i/>
      </w:rPr>
      <w:fldChar w:fldCharType="separate"/>
    </w:r>
    <w:r>
      <w:rPr>
        <w:i/>
        <w:lang w:val="zh-CN"/>
      </w:rPr>
      <w:t>1</w:t>
    </w:r>
    <w:r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ordWrap w:val="0"/>
      <w:ind w:right="90"/>
      <w:jc w:val="right"/>
    </w:pPr>
    <w:r>
      <w:rPr>
        <w:rFonts w:hint="eastAsia"/>
        <w:kern w:val="0"/>
        <w:szCs w:val="21"/>
      </w:rPr>
      <w:t xml:space="preserve">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6" w:space="0"/>
      </w:pBdr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标题  \* MERGEFORMAT</w:instrText>
    </w:r>
    <w:r>
      <w:instrText xml:space="preserve"> </w:instrText>
    </w:r>
    <w:r>
      <w:fldChar w:fldCharType="separate"/>
    </w:r>
    <w:r>
      <w:rPr>
        <w:rFonts w:hint="eastAsia"/>
      </w:rPr>
      <w:t>文档标题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EA778"/>
    <w:multiLevelType w:val="singleLevel"/>
    <w:tmpl w:val="DC3EA77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1463529"/>
    <w:multiLevelType w:val="multilevel"/>
    <w:tmpl w:val="E1463529"/>
    <w:lvl w:ilvl="0" w:tentative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upperLetter"/>
      <w:lvlText w:val="附录 %7 "/>
      <w:lvlJc w:val="left"/>
      <w:pPr>
        <w:tabs>
          <w:tab w:val="left" w:pos="0"/>
        </w:tabs>
        <w:ind w:left="431" w:hanging="431"/>
      </w:pPr>
    </w:lvl>
    <w:lvl w:ilvl="7" w:tentative="0">
      <w:start w:val="1"/>
      <w:numFmt w:val="decimal"/>
      <w:lvlText w:val="附录 %7-%8 "/>
      <w:lvlJc w:val="left"/>
      <w:pPr>
        <w:tabs>
          <w:tab w:val="left" w:pos="0"/>
        </w:tabs>
        <w:ind w:left="578" w:hanging="57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2">
    <w:nsid w:val="4ACD679E"/>
    <w:multiLevelType w:val="multilevel"/>
    <w:tmpl w:val="4ACD67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upperLetter"/>
      <w:pStyle w:val="8"/>
      <w:lvlText w:val="附录 %7 "/>
      <w:lvlJc w:val="left"/>
      <w:pPr>
        <w:ind w:left="431" w:hanging="431"/>
      </w:pPr>
      <w:rPr>
        <w:rFonts w:hint="eastAsia"/>
      </w:rPr>
    </w:lvl>
    <w:lvl w:ilvl="7" w:tentative="0">
      <w:start w:val="1"/>
      <w:numFmt w:val="decimal"/>
      <w:pStyle w:val="9"/>
      <w:lvlText w:val="附录 %7-%8 "/>
      <w:lvlJc w:val="left"/>
      <w:pPr>
        <w:ind w:left="578" w:hanging="578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6CF2FAF6"/>
    <w:multiLevelType w:val="singleLevel"/>
    <w:tmpl w:val="6CF2FAF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12"/>
  <w:drawingGridVerticalSpacing w:val="175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83A29"/>
    <w:rsid w:val="00012459"/>
    <w:rsid w:val="000521A9"/>
    <w:rsid w:val="000624DB"/>
    <w:rsid w:val="000766A8"/>
    <w:rsid w:val="00081BC2"/>
    <w:rsid w:val="00097FEE"/>
    <w:rsid w:val="00101246"/>
    <w:rsid w:val="001549B1"/>
    <w:rsid w:val="00154A8F"/>
    <w:rsid w:val="00172A27"/>
    <w:rsid w:val="001977C0"/>
    <w:rsid w:val="00225020"/>
    <w:rsid w:val="00246236"/>
    <w:rsid w:val="00266CF2"/>
    <w:rsid w:val="002A61D4"/>
    <w:rsid w:val="002C285D"/>
    <w:rsid w:val="002C2F0A"/>
    <w:rsid w:val="002D16C8"/>
    <w:rsid w:val="0030510A"/>
    <w:rsid w:val="00305D61"/>
    <w:rsid w:val="003161A9"/>
    <w:rsid w:val="00372E88"/>
    <w:rsid w:val="003B7ADA"/>
    <w:rsid w:val="003C2DEB"/>
    <w:rsid w:val="003C4F92"/>
    <w:rsid w:val="003E3A65"/>
    <w:rsid w:val="0047286B"/>
    <w:rsid w:val="004D1F86"/>
    <w:rsid w:val="004D2598"/>
    <w:rsid w:val="004E45D9"/>
    <w:rsid w:val="004F1146"/>
    <w:rsid w:val="00515069"/>
    <w:rsid w:val="0053538B"/>
    <w:rsid w:val="00551417"/>
    <w:rsid w:val="005934DD"/>
    <w:rsid w:val="005B6039"/>
    <w:rsid w:val="005D587F"/>
    <w:rsid w:val="00656A8A"/>
    <w:rsid w:val="006571E0"/>
    <w:rsid w:val="00812F24"/>
    <w:rsid w:val="0081453A"/>
    <w:rsid w:val="00827D57"/>
    <w:rsid w:val="0084532C"/>
    <w:rsid w:val="0084796A"/>
    <w:rsid w:val="00850F42"/>
    <w:rsid w:val="00876CDE"/>
    <w:rsid w:val="00877022"/>
    <w:rsid w:val="009226B6"/>
    <w:rsid w:val="00927E0D"/>
    <w:rsid w:val="009821D7"/>
    <w:rsid w:val="0098589B"/>
    <w:rsid w:val="0099734C"/>
    <w:rsid w:val="009B381A"/>
    <w:rsid w:val="009C32F1"/>
    <w:rsid w:val="009D15B3"/>
    <w:rsid w:val="00A200CD"/>
    <w:rsid w:val="00A44EE7"/>
    <w:rsid w:val="00AD4D7A"/>
    <w:rsid w:val="00B14A7B"/>
    <w:rsid w:val="00B23CCB"/>
    <w:rsid w:val="00B31F15"/>
    <w:rsid w:val="00B3330E"/>
    <w:rsid w:val="00B62007"/>
    <w:rsid w:val="00B734B8"/>
    <w:rsid w:val="00B964E8"/>
    <w:rsid w:val="00BA63DB"/>
    <w:rsid w:val="00BE52F1"/>
    <w:rsid w:val="00C10AE3"/>
    <w:rsid w:val="00C40AEE"/>
    <w:rsid w:val="00C77598"/>
    <w:rsid w:val="00C93163"/>
    <w:rsid w:val="00CE0CC5"/>
    <w:rsid w:val="00D25824"/>
    <w:rsid w:val="00DD1C38"/>
    <w:rsid w:val="00DF240F"/>
    <w:rsid w:val="00E438F6"/>
    <w:rsid w:val="00E564B4"/>
    <w:rsid w:val="00E8176A"/>
    <w:rsid w:val="00F32E86"/>
    <w:rsid w:val="00F3501C"/>
    <w:rsid w:val="00F43175"/>
    <w:rsid w:val="00F5315E"/>
    <w:rsid w:val="00F64C70"/>
    <w:rsid w:val="00F955A4"/>
    <w:rsid w:val="00FA2B33"/>
    <w:rsid w:val="00FA4E56"/>
    <w:rsid w:val="00FD5C04"/>
    <w:rsid w:val="00FF16B0"/>
    <w:rsid w:val="02886E4A"/>
    <w:rsid w:val="04846059"/>
    <w:rsid w:val="08F7408E"/>
    <w:rsid w:val="093531B9"/>
    <w:rsid w:val="095E7D75"/>
    <w:rsid w:val="0A4154CB"/>
    <w:rsid w:val="0A623C75"/>
    <w:rsid w:val="0A842E34"/>
    <w:rsid w:val="0AC741F6"/>
    <w:rsid w:val="0B867D1E"/>
    <w:rsid w:val="0C64328B"/>
    <w:rsid w:val="0DC013D3"/>
    <w:rsid w:val="0EA323F4"/>
    <w:rsid w:val="0FFE1959"/>
    <w:rsid w:val="105A75C4"/>
    <w:rsid w:val="10BE5748"/>
    <w:rsid w:val="12770D0D"/>
    <w:rsid w:val="13500CB8"/>
    <w:rsid w:val="13933640"/>
    <w:rsid w:val="14E562D1"/>
    <w:rsid w:val="15376976"/>
    <w:rsid w:val="15DC62BE"/>
    <w:rsid w:val="15E74428"/>
    <w:rsid w:val="186A4369"/>
    <w:rsid w:val="1A624606"/>
    <w:rsid w:val="1A660C09"/>
    <w:rsid w:val="1AD24F57"/>
    <w:rsid w:val="1C387977"/>
    <w:rsid w:val="1C55426F"/>
    <w:rsid w:val="1D934692"/>
    <w:rsid w:val="1E86559B"/>
    <w:rsid w:val="1EB61C5A"/>
    <w:rsid w:val="1EDA266D"/>
    <w:rsid w:val="1F4B57AC"/>
    <w:rsid w:val="20983A29"/>
    <w:rsid w:val="20A80345"/>
    <w:rsid w:val="211731D3"/>
    <w:rsid w:val="21363F74"/>
    <w:rsid w:val="232B303F"/>
    <w:rsid w:val="23527309"/>
    <w:rsid w:val="243B33F0"/>
    <w:rsid w:val="255F607A"/>
    <w:rsid w:val="26543267"/>
    <w:rsid w:val="26615B20"/>
    <w:rsid w:val="279A4638"/>
    <w:rsid w:val="288E5388"/>
    <w:rsid w:val="290C3BCB"/>
    <w:rsid w:val="296D352F"/>
    <w:rsid w:val="2A7951FC"/>
    <w:rsid w:val="2B1359FC"/>
    <w:rsid w:val="2B724094"/>
    <w:rsid w:val="2DA05676"/>
    <w:rsid w:val="2EED0B29"/>
    <w:rsid w:val="2F963D48"/>
    <w:rsid w:val="2FEA72FA"/>
    <w:rsid w:val="301C19BE"/>
    <w:rsid w:val="308C38A3"/>
    <w:rsid w:val="32435DBB"/>
    <w:rsid w:val="341643D5"/>
    <w:rsid w:val="34322C0C"/>
    <w:rsid w:val="346E2E3A"/>
    <w:rsid w:val="34FB7F69"/>
    <w:rsid w:val="35C37494"/>
    <w:rsid w:val="360D4AAB"/>
    <w:rsid w:val="36236247"/>
    <w:rsid w:val="365271BC"/>
    <w:rsid w:val="36827C18"/>
    <w:rsid w:val="37943D54"/>
    <w:rsid w:val="37BA5C39"/>
    <w:rsid w:val="383855AC"/>
    <w:rsid w:val="3A6D2DB9"/>
    <w:rsid w:val="3B4919FF"/>
    <w:rsid w:val="3CC13F91"/>
    <w:rsid w:val="3F085929"/>
    <w:rsid w:val="3F3559BB"/>
    <w:rsid w:val="407D79FF"/>
    <w:rsid w:val="410523DE"/>
    <w:rsid w:val="420111A6"/>
    <w:rsid w:val="42743D03"/>
    <w:rsid w:val="43604313"/>
    <w:rsid w:val="44F153FB"/>
    <w:rsid w:val="45A376BC"/>
    <w:rsid w:val="48014268"/>
    <w:rsid w:val="48527303"/>
    <w:rsid w:val="4B0A5CCB"/>
    <w:rsid w:val="4C3B634F"/>
    <w:rsid w:val="4C4E3C4E"/>
    <w:rsid w:val="4C9C7938"/>
    <w:rsid w:val="4D984BC1"/>
    <w:rsid w:val="4F7C23DD"/>
    <w:rsid w:val="4F822CD9"/>
    <w:rsid w:val="530E4E23"/>
    <w:rsid w:val="535045FE"/>
    <w:rsid w:val="55982231"/>
    <w:rsid w:val="5667532A"/>
    <w:rsid w:val="56C07A0D"/>
    <w:rsid w:val="58781D18"/>
    <w:rsid w:val="595F3153"/>
    <w:rsid w:val="59FB248A"/>
    <w:rsid w:val="5AC24259"/>
    <w:rsid w:val="5C0F7041"/>
    <w:rsid w:val="5C5812C6"/>
    <w:rsid w:val="5CA934A7"/>
    <w:rsid w:val="5CC50179"/>
    <w:rsid w:val="5CF978DA"/>
    <w:rsid w:val="5CFD5733"/>
    <w:rsid w:val="5D8D4143"/>
    <w:rsid w:val="5F01222B"/>
    <w:rsid w:val="60E27DD4"/>
    <w:rsid w:val="61414E30"/>
    <w:rsid w:val="6184566A"/>
    <w:rsid w:val="61F37A14"/>
    <w:rsid w:val="638C20FB"/>
    <w:rsid w:val="64775CCD"/>
    <w:rsid w:val="64F569F9"/>
    <w:rsid w:val="651D59E4"/>
    <w:rsid w:val="687F2108"/>
    <w:rsid w:val="69AD0BD4"/>
    <w:rsid w:val="69C15083"/>
    <w:rsid w:val="6CA61FD6"/>
    <w:rsid w:val="6CCD5CFF"/>
    <w:rsid w:val="6D6F64F5"/>
    <w:rsid w:val="6EE37B16"/>
    <w:rsid w:val="6F0845A5"/>
    <w:rsid w:val="727117F8"/>
    <w:rsid w:val="736D3E76"/>
    <w:rsid w:val="740B2BF8"/>
    <w:rsid w:val="77D32629"/>
    <w:rsid w:val="77D51419"/>
    <w:rsid w:val="7A536940"/>
    <w:rsid w:val="7A704FA5"/>
    <w:rsid w:val="7C447801"/>
    <w:rsid w:val="7E55346A"/>
    <w:rsid w:val="7E760609"/>
    <w:rsid w:val="7F2565B4"/>
    <w:rsid w:val="7F5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keepLines/>
      <w:numPr>
        <w:ilvl w:val="0"/>
        <w:numId w:val="1"/>
      </w:numPr>
      <w:spacing w:before="340" w:after="330"/>
      <w:ind w:left="431" w:hanging="431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numPr>
        <w:ilvl w:val="1"/>
        <w:numId w:val="1"/>
      </w:numPr>
      <w:spacing w:before="260" w:after="260"/>
      <w:ind w:left="578" w:hanging="578"/>
      <w:outlineLvl w:val="1"/>
    </w:pPr>
    <w:rPr>
      <w:b/>
      <w:sz w:val="28"/>
    </w:rPr>
  </w:style>
  <w:style w:type="paragraph" w:styleId="4">
    <w:name w:val="heading 3"/>
    <w:basedOn w:val="1"/>
    <w:next w:val="1"/>
    <w:link w:val="49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b/>
      <w:sz w:val="24"/>
    </w:rPr>
  </w:style>
  <w:style w:type="paragraph" w:styleId="5">
    <w:name w:val="heading 4"/>
    <w:basedOn w:val="1"/>
    <w:next w:val="1"/>
    <w:link w:val="46"/>
    <w:qFormat/>
    <w:uiPriority w:val="0"/>
    <w:pPr>
      <w:keepNext/>
      <w:keepLines/>
      <w:numPr>
        <w:ilvl w:val="3"/>
        <w:numId w:val="1"/>
      </w:numPr>
      <w:spacing w:before="260" w:after="260"/>
      <w:ind w:left="862" w:hanging="862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link w:val="39"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7" w:lineRule="auto"/>
      <w:outlineLvl w:val="4"/>
    </w:pPr>
    <w:rPr>
      <w:rFonts w:ascii="Arial" w:hAnsi="Arial"/>
      <w:b/>
      <w:bCs/>
      <w:sz w:val="24"/>
      <w:szCs w:val="28"/>
    </w:rPr>
  </w:style>
  <w:style w:type="paragraph" w:styleId="7">
    <w:name w:val="heading 6"/>
    <w:basedOn w:val="1"/>
    <w:next w:val="1"/>
    <w:link w:val="41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19" w:lineRule="auto"/>
      <w:outlineLvl w:val="5"/>
    </w:pPr>
    <w:rPr>
      <w:rFonts w:ascii="Arial"/>
      <w:b/>
      <w:bCs/>
    </w:rPr>
  </w:style>
  <w:style w:type="paragraph" w:styleId="8">
    <w:name w:val="heading 7"/>
    <w:basedOn w:val="2"/>
    <w:next w:val="9"/>
    <w:link w:val="40"/>
    <w:qFormat/>
    <w:uiPriority w:val="0"/>
    <w:pPr>
      <w:numPr>
        <w:ilvl w:val="6"/>
      </w:numPr>
      <w:tabs>
        <w:tab w:val="left" w:pos="432"/>
      </w:tabs>
      <w:outlineLvl w:val="6"/>
    </w:pPr>
    <w:rPr>
      <w:bCs/>
    </w:rPr>
  </w:style>
  <w:style w:type="paragraph" w:styleId="9">
    <w:name w:val="heading 8"/>
    <w:basedOn w:val="3"/>
    <w:next w:val="10"/>
    <w:link w:val="45"/>
    <w:qFormat/>
    <w:uiPriority w:val="0"/>
    <w:pPr>
      <w:numPr>
        <w:ilvl w:val="7"/>
      </w:numPr>
      <w:tabs>
        <w:tab w:val="left" w:pos="432"/>
      </w:tabs>
      <w:outlineLvl w:val="7"/>
    </w:pPr>
  </w:style>
  <w:style w:type="paragraph" w:styleId="10">
    <w:name w:val="heading 9"/>
    <w:basedOn w:val="1"/>
    <w:next w:val="1"/>
    <w:link w:val="36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19" w:lineRule="auto"/>
      <w:outlineLvl w:val="8"/>
    </w:pPr>
    <w:rPr>
      <w:rFonts w:ascii="Arial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1260"/>
      <w:jc w:val="left"/>
    </w:pPr>
    <w:rPr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rPr>
      <w:sz w:val="18"/>
      <w:szCs w:val="20"/>
    </w:rPr>
  </w:style>
  <w:style w:type="paragraph" w:styleId="13">
    <w:name w:val="Document Map"/>
    <w:basedOn w:val="1"/>
    <w:link w:val="35"/>
    <w:uiPriority w:val="0"/>
    <w:rPr>
      <w:rFonts w:ascii="宋体"/>
      <w:sz w:val="18"/>
      <w:szCs w:val="18"/>
    </w:rPr>
  </w:style>
  <w:style w:type="paragraph" w:styleId="14">
    <w:name w:val="Body Text"/>
    <w:basedOn w:val="1"/>
    <w:qFormat/>
    <w:uiPriority w:val="0"/>
  </w:style>
  <w:style w:type="paragraph" w:styleId="15">
    <w:name w:val="toc 5"/>
    <w:basedOn w:val="14"/>
    <w:next w:val="1"/>
    <w:qFormat/>
    <w:uiPriority w:val="0"/>
    <w:pPr>
      <w:ind w:left="840"/>
      <w:jc w:val="left"/>
    </w:pPr>
    <w:rPr>
      <w:sz w:val="18"/>
      <w:szCs w:val="18"/>
    </w:rPr>
  </w:style>
  <w:style w:type="paragraph" w:styleId="16">
    <w:name w:val="toc 3"/>
    <w:basedOn w:val="14"/>
    <w:next w:val="1"/>
    <w:uiPriority w:val="39"/>
    <w:pPr>
      <w:ind w:left="420"/>
      <w:jc w:val="left"/>
    </w:pPr>
    <w:rPr>
      <w:iCs/>
      <w:szCs w:val="20"/>
    </w:rPr>
  </w:style>
  <w:style w:type="paragraph" w:styleId="17">
    <w:name w:val="toc 8"/>
    <w:basedOn w:val="1"/>
    <w:next w:val="1"/>
    <w:uiPriority w:val="0"/>
    <w:pPr>
      <w:ind w:left="1470"/>
      <w:jc w:val="left"/>
    </w:pPr>
    <w:rPr>
      <w:sz w:val="18"/>
      <w:szCs w:val="18"/>
    </w:rPr>
  </w:style>
  <w:style w:type="paragraph" w:styleId="18">
    <w:name w:val="Balloon Text"/>
    <w:basedOn w:val="1"/>
    <w:link w:val="44"/>
    <w:uiPriority w:val="0"/>
    <w:rPr>
      <w:sz w:val="18"/>
      <w:szCs w:val="18"/>
    </w:rPr>
  </w:style>
  <w:style w:type="paragraph" w:styleId="19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21">
    <w:name w:val="toc 1"/>
    <w:basedOn w:val="14"/>
    <w:next w:val="1"/>
    <w:uiPriority w:val="39"/>
    <w:pPr>
      <w:jc w:val="left"/>
    </w:pPr>
    <w:rPr>
      <w:b/>
      <w:bCs/>
      <w:caps/>
      <w:szCs w:val="20"/>
    </w:rPr>
  </w:style>
  <w:style w:type="paragraph" w:styleId="22">
    <w:name w:val="toc 4"/>
    <w:basedOn w:val="14"/>
    <w:next w:val="1"/>
    <w:uiPriority w:val="0"/>
    <w:pPr>
      <w:ind w:left="629"/>
      <w:jc w:val="left"/>
    </w:pPr>
    <w:rPr>
      <w:szCs w:val="18"/>
    </w:rPr>
  </w:style>
  <w:style w:type="paragraph" w:styleId="23">
    <w:name w:val="Subtitle"/>
    <w:basedOn w:val="1"/>
    <w:next w:val="1"/>
    <w:link w:val="4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4">
    <w:name w:val="toc 6"/>
    <w:basedOn w:val="1"/>
    <w:next w:val="1"/>
    <w:qFormat/>
    <w:uiPriority w:val="0"/>
    <w:pPr>
      <w:ind w:left="1050"/>
      <w:jc w:val="left"/>
    </w:pPr>
    <w:rPr>
      <w:sz w:val="18"/>
      <w:szCs w:val="18"/>
    </w:rPr>
  </w:style>
  <w:style w:type="paragraph" w:styleId="25">
    <w:name w:val="toc 2"/>
    <w:basedOn w:val="14"/>
    <w:next w:val="1"/>
    <w:uiPriority w:val="39"/>
    <w:pPr>
      <w:ind w:left="210"/>
      <w:jc w:val="left"/>
    </w:pPr>
    <w:rPr>
      <w:smallCaps/>
      <w:szCs w:val="20"/>
    </w:rPr>
  </w:style>
  <w:style w:type="paragraph" w:styleId="26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paragraph" w:styleId="27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28">
    <w:name w:val="Title"/>
    <w:basedOn w:val="1"/>
    <w:next w:val="2"/>
    <w:qFormat/>
    <w:uiPriority w:val="0"/>
    <w:pPr>
      <w:spacing w:before="240" w:after="60"/>
      <w:jc w:val="center"/>
      <w:outlineLvl w:val="0"/>
    </w:pPr>
    <w:rPr>
      <w:b/>
      <w:sz w:val="44"/>
    </w:rPr>
  </w:style>
  <w:style w:type="table" w:styleId="30">
    <w:name w:val="Table Grid"/>
    <w:basedOn w:val="29"/>
    <w:uiPriority w:val="39"/>
    <w:rPr>
      <w:rFonts w:ascii="宋体" w:hAnsi="宋体"/>
      <w:bCs/>
      <w:sz w:val="30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FollowedHyperlink"/>
    <w:qFormat/>
    <w:uiPriority w:val="0"/>
    <w:rPr>
      <w:color w:val="800080"/>
      <w:u w:val="single"/>
    </w:rPr>
  </w:style>
  <w:style w:type="character" w:styleId="33">
    <w:name w:val="HTML Typewriter"/>
    <w:unhideWhenUsed/>
    <w:uiPriority w:val="99"/>
    <w:rPr>
      <w:rFonts w:ascii="Courier New" w:hAnsi="Courier New"/>
      <w:sz w:val="20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customStyle="1" w:styleId="35">
    <w:name w:val="文档结构图 字符"/>
    <w:link w:val="13"/>
    <w:uiPriority w:val="0"/>
    <w:rPr>
      <w:rFonts w:ascii="宋体"/>
      <w:kern w:val="2"/>
      <w:sz w:val="18"/>
      <w:szCs w:val="18"/>
    </w:rPr>
  </w:style>
  <w:style w:type="character" w:customStyle="1" w:styleId="36">
    <w:name w:val="标题 9 字符"/>
    <w:link w:val="10"/>
    <w:qFormat/>
    <w:uiPriority w:val="0"/>
    <w:rPr>
      <w:rFonts w:hint="default" w:ascii="Arial" w:hAnsi="Verdana" w:cs="Arial"/>
      <w:kern w:val="2"/>
      <w:sz w:val="21"/>
      <w:szCs w:val="21"/>
    </w:rPr>
  </w:style>
  <w:style w:type="character" w:customStyle="1" w:styleId="37">
    <w:name w:val="标题 2 字符"/>
    <w:link w:val="3"/>
    <w:uiPriority w:val="0"/>
    <w:rPr>
      <w:b/>
      <w:kern w:val="2"/>
      <w:sz w:val="28"/>
      <w:szCs w:val="24"/>
    </w:rPr>
  </w:style>
  <w:style w:type="character" w:customStyle="1" w:styleId="38">
    <w:name w:val="版本信息"/>
    <w:uiPriority w:val="0"/>
    <w:rPr>
      <w:rFonts w:eastAsia="宋体"/>
      <w:sz w:val="28"/>
    </w:rPr>
  </w:style>
  <w:style w:type="character" w:customStyle="1" w:styleId="39">
    <w:name w:val="标题 5 字符"/>
    <w:link w:val="6"/>
    <w:uiPriority w:val="0"/>
    <w:rPr>
      <w:rFonts w:ascii="Arial" w:hAnsi="Arial" w:cs="Arial"/>
      <w:b/>
      <w:kern w:val="2"/>
      <w:sz w:val="24"/>
      <w:szCs w:val="28"/>
    </w:rPr>
  </w:style>
  <w:style w:type="character" w:customStyle="1" w:styleId="40">
    <w:name w:val="标题 7 字符"/>
    <w:link w:val="8"/>
    <w:uiPriority w:val="0"/>
    <w:rPr>
      <w:rFonts w:hint="default" w:ascii="Verdana" w:hAnsi="Verdana" w:cs="Verdana"/>
      <w:b/>
      <w:kern w:val="44"/>
      <w:sz w:val="30"/>
      <w:szCs w:val="24"/>
    </w:rPr>
  </w:style>
  <w:style w:type="character" w:customStyle="1" w:styleId="41">
    <w:name w:val="标题 6 字符"/>
    <w:link w:val="7"/>
    <w:qFormat/>
    <w:uiPriority w:val="0"/>
    <w:rPr>
      <w:rFonts w:hint="default" w:ascii="Arial" w:hAnsi="Verdana" w:cs="Arial"/>
      <w:b/>
      <w:kern w:val="2"/>
      <w:sz w:val="21"/>
      <w:szCs w:val="24"/>
    </w:rPr>
  </w:style>
  <w:style w:type="character" w:customStyle="1" w:styleId="42">
    <w:name w:val="页码1"/>
    <w:basedOn w:val="31"/>
    <w:qFormat/>
    <w:uiPriority w:val="0"/>
  </w:style>
  <w:style w:type="character" w:customStyle="1" w:styleId="43">
    <w:name w:val="标题 1 字符"/>
    <w:link w:val="2"/>
    <w:qFormat/>
    <w:uiPriority w:val="0"/>
    <w:rPr>
      <w:b/>
      <w:kern w:val="44"/>
      <w:sz w:val="30"/>
      <w:szCs w:val="24"/>
    </w:rPr>
  </w:style>
  <w:style w:type="character" w:customStyle="1" w:styleId="44">
    <w:name w:val="批注框文本 字符"/>
    <w:link w:val="18"/>
    <w:qFormat/>
    <w:uiPriority w:val="0"/>
    <w:rPr>
      <w:kern w:val="2"/>
      <w:sz w:val="18"/>
      <w:szCs w:val="18"/>
    </w:rPr>
  </w:style>
  <w:style w:type="character" w:customStyle="1" w:styleId="45">
    <w:name w:val="标题 8 字符"/>
    <w:link w:val="9"/>
    <w:uiPriority w:val="0"/>
    <w:rPr>
      <w:rFonts w:hint="default" w:ascii="Verdana" w:hAnsi="Verdana" w:cs="Verdana"/>
      <w:b/>
      <w:kern w:val="2"/>
      <w:sz w:val="28"/>
      <w:szCs w:val="24"/>
    </w:rPr>
  </w:style>
  <w:style w:type="character" w:customStyle="1" w:styleId="46">
    <w:name w:val="标题 4 字符"/>
    <w:link w:val="5"/>
    <w:uiPriority w:val="0"/>
    <w:rPr>
      <w:b/>
      <w:bCs/>
      <w:kern w:val="2"/>
      <w:sz w:val="24"/>
      <w:szCs w:val="28"/>
    </w:rPr>
  </w:style>
  <w:style w:type="character" w:customStyle="1" w:styleId="47">
    <w:name w:val="副标题 字符"/>
    <w:link w:val="23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48">
    <w:name w:val="页脚 字符"/>
    <w:link w:val="19"/>
    <w:qFormat/>
    <w:uiPriority w:val="99"/>
    <w:rPr>
      <w:kern w:val="2"/>
      <w:sz w:val="18"/>
      <w:szCs w:val="18"/>
    </w:rPr>
  </w:style>
  <w:style w:type="character" w:customStyle="1" w:styleId="49">
    <w:name w:val="标题 3 字符"/>
    <w:link w:val="4"/>
    <w:qFormat/>
    <w:uiPriority w:val="0"/>
    <w:rPr>
      <w:b/>
      <w:kern w:val="2"/>
      <w:sz w:val="24"/>
      <w:szCs w:val="24"/>
    </w:rPr>
  </w:style>
  <w:style w:type="paragraph" w:customStyle="1" w:styleId="50">
    <w:name w:val="正文文本 21"/>
    <w:basedOn w:val="1"/>
    <w:qFormat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customStyle="1" w:styleId="51">
    <w:name w:val="索引 51"/>
    <w:basedOn w:val="1"/>
    <w:next w:val="1"/>
    <w:qFormat/>
    <w:uiPriority w:val="0"/>
    <w:pPr>
      <w:ind w:left="800" w:leftChars="800"/>
    </w:pPr>
    <w:rPr>
      <w:rFonts w:ascii="新宋体" w:hAnsi="Arial" w:eastAsia="新宋体"/>
    </w:rPr>
  </w:style>
  <w:style w:type="paragraph" w:customStyle="1" w:styleId="52">
    <w:name w:val="文档结构图1"/>
    <w:basedOn w:val="1"/>
    <w:qFormat/>
    <w:uiPriority w:val="0"/>
    <w:pPr>
      <w:shd w:val="clear" w:color="auto" w:fill="000080"/>
    </w:pPr>
  </w:style>
  <w:style w:type="paragraph" w:customStyle="1" w:styleId="53">
    <w:name w:val="表格正文"/>
    <w:basedOn w:val="14"/>
    <w:qFormat/>
    <w:uiPriority w:val="0"/>
    <w:rPr>
      <w:i/>
      <w:iCs/>
    </w:rPr>
  </w:style>
  <w:style w:type="paragraph" w:customStyle="1" w:styleId="54">
    <w:name w:val="abstract"/>
    <w:basedOn w:val="1"/>
    <w:next w:val="1"/>
    <w:qFormat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paragraph" w:customStyle="1" w:styleId="55">
    <w:name w:val="正文文本缩进1"/>
    <w:basedOn w:val="1"/>
    <w:uiPriority w:val="0"/>
    <w:pPr>
      <w:tabs>
        <w:tab w:val="left" w:pos="3346"/>
      </w:tabs>
      <w:ind w:firstLine="495"/>
    </w:pPr>
    <w:rPr>
      <w:i/>
      <w:iCs/>
    </w:rPr>
  </w:style>
  <w:style w:type="paragraph" w:customStyle="1" w:styleId="56">
    <w:name w:val="索引 41"/>
    <w:basedOn w:val="1"/>
    <w:next w:val="1"/>
    <w:qFormat/>
    <w:uiPriority w:val="0"/>
    <w:pPr>
      <w:ind w:left="600" w:leftChars="600"/>
    </w:pPr>
    <w:rPr>
      <w:rFonts w:ascii="新宋体" w:hAnsi="Arial" w:eastAsia="新宋体"/>
    </w:rPr>
  </w:style>
  <w:style w:type="paragraph" w:customStyle="1" w:styleId="57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58">
    <w:name w:val="正文文本缩进 31"/>
    <w:basedOn w:val="1"/>
    <w:qFormat/>
    <w:uiPriority w:val="0"/>
    <w:pPr>
      <w:ind w:firstLine="420"/>
    </w:pPr>
    <w:rPr>
      <w:i/>
      <w:iCs/>
      <w:sz w:val="18"/>
    </w:rPr>
  </w:style>
  <w:style w:type="paragraph" w:customStyle="1" w:styleId="59">
    <w:name w:val="目录标题"/>
    <w:basedOn w:val="1"/>
    <w:next w:val="1"/>
    <w:uiPriority w:val="0"/>
    <w:pPr>
      <w:jc w:val="center"/>
    </w:pPr>
    <w:rPr>
      <w:b/>
      <w:sz w:val="32"/>
    </w:rPr>
  </w:style>
  <w:style w:type="paragraph" w:customStyle="1" w:styleId="60">
    <w:name w:val="索引 21"/>
    <w:basedOn w:val="1"/>
    <w:next w:val="1"/>
    <w:qFormat/>
    <w:uiPriority w:val="0"/>
    <w:pPr>
      <w:ind w:left="200" w:leftChars="200"/>
    </w:pPr>
    <w:rPr>
      <w:rFonts w:ascii="新宋体" w:hAnsi="Arial" w:eastAsia="新宋体"/>
    </w:rPr>
  </w:style>
  <w:style w:type="paragraph" w:customStyle="1" w:styleId="61">
    <w:name w:val="索引标题1"/>
    <w:basedOn w:val="1"/>
    <w:next w:val="62"/>
    <w:uiPriority w:val="0"/>
    <w:rPr>
      <w:rFonts w:ascii="新宋体" w:hAnsi="Arial" w:eastAsia="新宋体"/>
    </w:rPr>
  </w:style>
  <w:style w:type="paragraph" w:customStyle="1" w:styleId="62">
    <w:name w:val="索引 11"/>
    <w:basedOn w:val="1"/>
    <w:next w:val="1"/>
    <w:qFormat/>
    <w:uiPriority w:val="0"/>
    <w:rPr>
      <w:rFonts w:ascii="新宋体" w:hAnsi="新宋体" w:eastAsia="新宋体"/>
    </w:rPr>
  </w:style>
  <w:style w:type="paragraph" w:customStyle="1" w:styleId="63">
    <w:name w:val="正文文本缩进 21"/>
    <w:basedOn w:val="1"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customStyle="1" w:styleId="64">
    <w:name w:val="TOC Heading"/>
    <w:basedOn w:val="2"/>
    <w:next w:val="1"/>
    <w:qFormat/>
    <w:uiPriority w:val="39"/>
    <w:pPr>
      <w:keepLines w:val="0"/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65">
    <w:name w:val="索引 31"/>
    <w:basedOn w:val="1"/>
    <w:next w:val="1"/>
    <w:uiPriority w:val="0"/>
    <w:pPr>
      <w:ind w:left="400" w:leftChars="400"/>
    </w:pPr>
    <w:rPr>
      <w:rFonts w:ascii="新宋体" w:hAnsi="Arial" w:eastAsia="新宋体"/>
    </w:rPr>
  </w:style>
  <w:style w:type="paragraph" w:customStyle="1" w:styleId="66">
    <w:name w:val="正文缩进1"/>
    <w:basedOn w:val="1"/>
    <w:qFormat/>
    <w:uiPriority w:val="0"/>
    <w:pPr>
      <w:ind w:firstLine="420" w:firstLineChars="200"/>
    </w:pPr>
  </w:style>
  <w:style w:type="paragraph" w:customStyle="1" w:styleId="67">
    <w:name w:val="首行缩进:  0.74 厘米"/>
    <w:basedOn w:val="1"/>
    <w:qFormat/>
    <w:uiPriority w:val="0"/>
    <w:pPr>
      <w:ind w:firstLine="200" w:firstLineChars="200"/>
    </w:pPr>
    <w:rPr>
      <w:szCs w:val="28"/>
    </w:rPr>
  </w:style>
  <w:style w:type="paragraph" w:customStyle="1" w:styleId="68">
    <w:name w:val="代码"/>
    <w:qFormat/>
    <w:uiPriority w:val="0"/>
    <w:pPr>
      <w:shd w:val="clear" w:color="auto" w:fill="D8D8D8" w:themeFill="background1" w:themeFillShade="D9"/>
      <w:spacing w:line="0" w:lineRule="atLeast"/>
    </w:pPr>
    <w:rPr>
      <w:rFonts w:ascii="Courier New" w:hAnsi="Courier New" w:eastAsia="Courier New" w:cs="Times New Roman"/>
      <w:kern w:val="2"/>
      <w:sz w:val="21"/>
      <w:szCs w:val="28"/>
      <w:lang w:val="en-US" w:eastAsia="zh-CN" w:bidi="ar-SA"/>
    </w:rPr>
  </w:style>
  <w:style w:type="paragraph" w:customStyle="1" w:styleId="69">
    <w:name w:val="正文文本 31"/>
    <w:basedOn w:val="1"/>
    <w:uiPriority w:val="0"/>
    <w:rPr>
      <w:i/>
      <w:iCs/>
    </w:rPr>
  </w:style>
  <w:style w:type="paragraph" w:customStyle="1" w:styleId="70">
    <w:name w:val="Title 2"/>
    <w:basedOn w:val="57"/>
    <w:next w:val="28"/>
    <w:qFormat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7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documents-style-release&#65288;&#20462;&#27491;&#27169;&#26495;&#65289;\&#27169;&#26495;\Rockchip_Software_Common_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0FFF4F-2A58-4868-8BFE-F1EFC79DCC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Rockchip_Software_Common_Template.dotm</Template>
  <Pages>7</Pages>
  <Words>670</Words>
  <Characters>917</Characters>
  <Lines>15</Lines>
  <Paragraphs>4</Paragraphs>
  <TotalTime>4</TotalTime>
  <ScaleCrop>false</ScaleCrop>
  <LinksUpToDate>false</LinksUpToDate>
  <CharactersWithSpaces>1043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2020-04-06T07:22:00Z</dcterms:created>
  <dc:creator>owen</dc:creator>
  <cp:lastModifiedBy>owen</cp:lastModifiedBy>
  <dcterms:modified xsi:type="dcterms:W3CDTF">2020-04-06T09:22:36Z</dcterms:modified>
  <dc:title>需求规格说明书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