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Estudio previo</w:t>
      </w:r>
    </w:p>
    <w:p>
      <w:r>
        <w:t>Proceso de adquisición de insumos médicos para atención primaria.</w:t>
      </w:r>
    </w:p>
    <w:p>
      <w:r>
        <w:t>Lote 1: Elementos de protección personal.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Cantidad</w:t>
            </w:r>
          </w:p>
        </w:tc>
        <w:tc>
          <w:tcPr>
            <w:tcW w:type="dxa" w:w="1728"/>
          </w:tcPr>
          <w:p>
            <w:r>
              <w:t>Unidad</w:t>
            </w:r>
          </w:p>
        </w:tc>
        <w:tc>
          <w:tcPr>
            <w:tcW w:type="dxa" w:w="1728"/>
          </w:tcPr>
          <w:p>
            <w:r>
              <w:t>Valor unitario</w:t>
            </w:r>
          </w:p>
        </w:tc>
        <w:tc>
          <w:tcPr>
            <w:tcW w:type="dxa" w:w="1728"/>
          </w:tcPr>
          <w:p>
            <w:r>
              <w:t>Valor total</w:t>
            </w:r>
          </w:p>
        </w:tc>
      </w:tr>
      <w:tr>
        <w:tc>
          <w:tcPr>
            <w:tcW w:type="dxa" w:w="1728"/>
          </w:tcPr>
          <w:p>
            <w:r>
              <w:t>Guantes de nitrilo talla M caja x 100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caja</w:t>
            </w:r>
          </w:p>
        </w:tc>
        <w:tc>
          <w:tcPr>
            <w:tcW w:type="dxa" w:w="1728"/>
          </w:tcPr>
          <w:p>
            <w:r>
              <w:t>32000</w:t>
            </w:r>
          </w:p>
        </w:tc>
        <w:tc>
          <w:tcPr>
            <w:tcW w:type="dxa" w:w="1728"/>
          </w:tcPr>
          <w:p>
            <w:r>
              <w:t>320000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