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재무(펀더멘탈)가 좋은 기업은 시장대비 outperform 할 것이다 라는 가정으로 연구를 시작.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펀더멘탈의 측정은 다음과 같은 지표를 사용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지표 선정 기준을 생각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&lt;성장성 지표 (최근 7년 평균 변화율)&gt;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매출액 연평균 성장률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영업이익 연평균 성장률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EBITDA 연평균 성장률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EPS 연평균 성장률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&lt;안정성 지표 (최근 3년 평균)&gt;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당좌비율 = (유동자산 - 재고자산) / 유동부채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매출채권회전율 = 매출액 / 매출채권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자산회전율 = 매출액 / 자산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부채비율 = 자기자본 / 부채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&lt;수익성 지표 (최근 3년 평균)&gt;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매출액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영업이익 = 매출액 - 매출원가 - 간접비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영업이익 마진 = 영업이익 / 매출액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EBITDA = (당기순이익 - 이자비용 - 법인세 - 감가상각비) / 매출액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EBITDA 마진 = EBITDA / 매출액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ROE = 당기순이익 / 자기자본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CFO to Earnings = 영업현금흐름 / 당기순이익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&lt;가치평가 지표 (최근 1년)&gt;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 = 주가 / EPS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&lt;주주환원 지표 (최근 3년 평균)&gt;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주주환원율 = (배당금 + 자사주매입금) / 당기순이익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시장대비 성과측정은 다음과 같은 지표를 사용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Jensen’s Alpha : 주로 펀드의 성과 측정에 사용하며 benchmark(S&amp;P500, KOSPI 등) 대비 얼마나 많은 수익을 거뒀는지를 나타낸다.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Jensen’s Alpha = 자산수익률 - (무위험수익률 + beta * (benchmark수익률 - 무위험수익률)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Jensen’s Alpha의 분기별 평균을 사용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펀더멘탈 지표를 feature(2012/01/01 ~ 2018/12/31), 젠센알파를 target(2019/01/01 ~ 2019/03/31) 으로하여 EDA 및 상관분석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&lt;상관분석 결과&gt;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기술적 지표 활용 주가 예측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EDA 및 상관분석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단순 공모전 참여로 바뀌어서 고객에게 무엇을 제공하려 하는지에 대한 의미가 모호해진 부분 생각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모델링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1~2일 까지의 데이터는 선형식 (선형회귀, 엘라스틱넷) 기반 모델이 성능이 좋음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3일 이후의 데이터에 대해서는 선형식 기반 모델의 성능은 급격하게 떨어지고 boosting 이나 knn 모델의 성능이 좋아짐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lightgbm rf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lightgbm goss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551.181102362204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