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D4FD" w14:textId="20076FF1" w:rsidR="00554659" w:rsidRPr="00C12F19" w:rsidRDefault="00554659">
      <w:pPr>
        <w:rPr>
          <w:rFonts w:ascii="KoPub돋움체 Light" w:eastAsia="KoPub돋움체 Light" w:hAnsi="KoPub돋움체 Light"/>
          <w:sz w:val="30"/>
          <w:szCs w:val="30"/>
        </w:rPr>
      </w:pPr>
      <w:r w:rsidRPr="00C12F19">
        <w:rPr>
          <w:rFonts w:ascii="KoPub돋움체 Light" w:eastAsia="KoPub돋움체 Light" w:hAnsi="KoPub돋움체 Light" w:hint="eastAsia"/>
          <w:sz w:val="30"/>
          <w:szCs w:val="30"/>
        </w:rPr>
        <w:t>재무비율정보에</w:t>
      </w:r>
      <w:r w:rsidR="00A542C6" w:rsidRPr="00C12F19">
        <w:rPr>
          <w:rFonts w:ascii="KoPub돋움체 Light" w:eastAsia="KoPub돋움체 Light" w:hAnsi="KoPub돋움체 Light" w:hint="eastAsia"/>
          <w:sz w:val="30"/>
          <w:szCs w:val="30"/>
        </w:rPr>
        <w:t xml:space="preserve"> </w:t>
      </w:r>
      <w:r w:rsidRPr="00C12F19">
        <w:rPr>
          <w:rFonts w:ascii="KoPub돋움체 Light" w:eastAsia="KoPub돋움체 Light" w:hAnsi="KoPub돋움체 Light" w:hint="eastAsia"/>
          <w:sz w:val="30"/>
          <w:szCs w:val="30"/>
        </w:rPr>
        <w:t>기초한</w:t>
      </w:r>
      <w:r w:rsidR="00A542C6" w:rsidRPr="00C12F19">
        <w:rPr>
          <w:rFonts w:ascii="KoPub돋움체 Light" w:eastAsia="KoPub돋움체 Light" w:hAnsi="KoPub돋움체 Light" w:hint="eastAsia"/>
          <w:sz w:val="30"/>
          <w:szCs w:val="30"/>
        </w:rPr>
        <w:t xml:space="preserve"> </w:t>
      </w:r>
      <w:r w:rsidRPr="00C12F19">
        <w:rPr>
          <w:rFonts w:ascii="KoPub돋움체 Light" w:eastAsia="KoPub돋움체 Light" w:hAnsi="KoPub돋움체 Light" w:hint="eastAsia"/>
          <w:sz w:val="30"/>
          <w:szCs w:val="30"/>
        </w:rPr>
        <w:t>기업가치평가와</w:t>
      </w:r>
      <w:r w:rsidR="00A542C6" w:rsidRPr="00C12F19">
        <w:rPr>
          <w:rFonts w:ascii="KoPub돋움체 Light" w:eastAsia="KoPub돋움체 Light" w:hAnsi="KoPub돋움체 Light" w:hint="eastAsia"/>
          <w:sz w:val="30"/>
          <w:szCs w:val="30"/>
        </w:rPr>
        <w:t xml:space="preserve"> </w:t>
      </w:r>
      <w:r w:rsidRPr="00C12F19">
        <w:rPr>
          <w:rFonts w:ascii="KoPub돋움체 Light" w:eastAsia="KoPub돋움체 Light" w:hAnsi="KoPub돋움체 Light" w:hint="eastAsia"/>
          <w:sz w:val="30"/>
          <w:szCs w:val="30"/>
        </w:rPr>
        <w:t>이익정보의</w:t>
      </w:r>
      <w:r w:rsidR="00A542C6" w:rsidRPr="00C12F19">
        <w:rPr>
          <w:rFonts w:ascii="KoPub돋움체 Light" w:eastAsia="KoPub돋움체 Light" w:hAnsi="KoPub돋움체 Light" w:hint="eastAsia"/>
          <w:sz w:val="30"/>
          <w:szCs w:val="30"/>
        </w:rPr>
        <w:t xml:space="preserve"> </w:t>
      </w:r>
      <w:r w:rsidRPr="00C12F19">
        <w:rPr>
          <w:rFonts w:ascii="KoPub돋움체 Light" w:eastAsia="KoPub돋움체 Light" w:hAnsi="KoPub돋움체 Light" w:hint="eastAsia"/>
          <w:sz w:val="30"/>
          <w:szCs w:val="30"/>
        </w:rPr>
        <w:t>질적차이</w:t>
      </w:r>
    </w:p>
    <w:p w14:paraId="058C941F" w14:textId="08B382DF" w:rsidR="00554659" w:rsidRPr="00C12F19" w:rsidRDefault="00554659">
      <w:pPr>
        <w:rPr>
          <w:rFonts w:ascii="KoPub돋움체 Light" w:eastAsia="KoPub돋움체 Light" w:hAnsi="KoPub돋움체 Light"/>
          <w:b/>
          <w:bCs/>
        </w:rPr>
      </w:pPr>
      <w:r w:rsidRPr="00C12F19">
        <w:rPr>
          <w:rFonts w:ascii="KoPub돋움체 Light" w:eastAsia="KoPub돋움체 Light" w:hAnsi="KoPub돋움체 Light" w:hint="eastAsia"/>
          <w:b/>
          <w:bCs/>
        </w:rPr>
        <w:t>요약</w:t>
      </w:r>
    </w:p>
    <w:p w14:paraId="36BEA9B7" w14:textId="702663F8" w:rsidR="00554659" w:rsidRPr="00C12F19" w:rsidRDefault="00554659">
      <w:pPr>
        <w:rPr>
          <w:rFonts w:ascii="KoPub돋움체 Light" w:eastAsia="KoPub돋움체 Light" w:hAnsi="KoPub돋움체 Light" w:hint="eastAsia"/>
        </w:rPr>
      </w:pPr>
      <w:r w:rsidRPr="00C12F19">
        <w:rPr>
          <w:rFonts w:ascii="KoPub돋움체 Light" w:eastAsia="KoPub돋움체 Light" w:hAnsi="KoPub돋움체 Light"/>
        </w:rPr>
        <w:tab/>
      </w:r>
      <w:r w:rsidRPr="00C12F19">
        <w:rPr>
          <w:rFonts w:ascii="KoPub돋움체 Light" w:eastAsia="KoPub돋움체 Light" w:hAnsi="KoPub돋움체 Light" w:hint="eastAsia"/>
        </w:rPr>
        <w:t>순장부가치와 순이익</w:t>
      </w:r>
      <w:r w:rsidRPr="00C12F19">
        <w:rPr>
          <w:rFonts w:ascii="KoPub돋움체 Light" w:eastAsia="KoPub돋움체 Light" w:hAnsi="KoPub돋움체 Light" w:hint="eastAsia"/>
        </w:rPr>
        <w:t>의 정보가치를 평가하기 위해 기업 가치 결정에 있어서 이들 두 가지 정보가 어떤 역할을 하는지를 실증적으로 검증한다.</w:t>
      </w:r>
      <w:r w:rsidRPr="00C12F19">
        <w:rPr>
          <w:rFonts w:ascii="KoPub돋움체 Light" w:eastAsia="KoPub돋움체 Light" w:hAnsi="KoPub돋움체 Light"/>
        </w:rPr>
        <w:t xml:space="preserve"> </w:t>
      </w:r>
      <w:r w:rsidRPr="00C12F19">
        <w:rPr>
          <w:rFonts w:ascii="KoPub돋움체 Light" w:eastAsia="KoPub돋움체 Light" w:hAnsi="KoPub돋움체 Light" w:hint="eastAsia"/>
        </w:rPr>
        <w:t xml:space="preserve">이를 위해 특정 시점 재무제표에서 얻을 수 있는 </w:t>
      </w:r>
      <w:r w:rsidRPr="00C12F19">
        <w:rPr>
          <w:rFonts w:ascii="KoPub돋움체 Light" w:eastAsia="KoPub돋움체 Light" w:hAnsi="KoPub돋움체 Light" w:hint="eastAsia"/>
        </w:rPr>
        <w:t>순장부가치와 순이익</w:t>
      </w:r>
      <w:r w:rsidRPr="00C12F19">
        <w:rPr>
          <w:rFonts w:ascii="KoPub돋움체 Light" w:eastAsia="KoPub돋움체 Light" w:hAnsi="KoPub돋움체 Light" w:hint="eastAsia"/>
        </w:rPr>
        <w:t xml:space="preserve"> 및 시장에서 투자자들이 평가한 주가를 기초로 포트폴리오를 형성하고 이후 이 포트폴리오의 초과수익률을 관찰한다.</w:t>
      </w:r>
    </w:p>
    <w:p w14:paraId="2BF1142F" w14:textId="77777777" w:rsidR="00B324EA" w:rsidRPr="00C12F19" w:rsidRDefault="00554659">
      <w:pPr>
        <w:rPr>
          <w:rFonts w:ascii="KoPub돋움체 Light" w:eastAsia="KoPub돋움체 Light" w:hAnsi="KoPub돋움체 Light"/>
        </w:rPr>
      </w:pPr>
      <w:r w:rsidRPr="00C12F19">
        <w:rPr>
          <w:rFonts w:ascii="KoPub돋움체 Light" w:eastAsia="KoPub돋움체 Light" w:hAnsi="KoPub돋움체 Light"/>
          <w:noProof/>
        </w:rPr>
        <w:drawing>
          <wp:inline distT="0" distB="0" distL="0" distR="0" wp14:anchorId="47D4E35A" wp14:editId="5C5C38AC">
            <wp:extent cx="29813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F19">
        <w:rPr>
          <w:rFonts w:ascii="KoPub돋움체 Light" w:eastAsia="KoPub돋움체 Light" w:hAnsi="KoPub돋움체 Light"/>
        </w:rPr>
        <w:t xml:space="preserve"> </w:t>
      </w:r>
    </w:p>
    <w:p w14:paraId="2FE7D917" w14:textId="77777777" w:rsidR="00B324EA" w:rsidRPr="00C12F19" w:rsidRDefault="00B324EA">
      <w:pPr>
        <w:rPr>
          <w:rFonts w:ascii="KoPub돋움체 Light" w:eastAsia="KoPub돋움체 Light" w:hAnsi="KoPub돋움체 Light"/>
        </w:rPr>
      </w:pPr>
      <w:r w:rsidRPr="00C12F19">
        <w:rPr>
          <w:rFonts w:ascii="KoPub돋움체 Light" w:eastAsia="KoPub돋움체 Light" w:hAnsi="KoPub돋움체 Light"/>
          <w:noProof/>
        </w:rPr>
        <w:drawing>
          <wp:inline distT="0" distB="0" distL="0" distR="0" wp14:anchorId="46E28FAA" wp14:editId="25CCCD2E">
            <wp:extent cx="5731510" cy="1761490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61CE" w14:textId="77777777" w:rsidR="00B324EA" w:rsidRPr="00C12F19" w:rsidRDefault="00B324EA">
      <w:pPr>
        <w:rPr>
          <w:rFonts w:ascii="KoPub돋움체 Light" w:eastAsia="KoPub돋움체 Light" w:hAnsi="KoPub돋움체 Light"/>
        </w:rPr>
      </w:pPr>
      <w:r w:rsidRPr="00C12F19">
        <w:rPr>
          <w:rFonts w:ascii="KoPub돋움체 Light" w:eastAsia="KoPub돋움체 Light" w:hAnsi="KoPub돋움체 Light"/>
          <w:noProof/>
        </w:rPr>
        <w:lastRenderedPageBreak/>
        <w:drawing>
          <wp:inline distT="0" distB="0" distL="0" distR="0" wp14:anchorId="2F0DAD80" wp14:editId="63970ADE">
            <wp:extent cx="5731510" cy="2552065"/>
            <wp:effectExtent l="0" t="0" r="2540" b="635"/>
            <wp:docPr id="3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D56" w14:textId="2782F0BF" w:rsidR="000E346A" w:rsidRPr="00C12F19" w:rsidRDefault="00B324EA">
      <w:pPr>
        <w:rPr>
          <w:rFonts w:ascii="KoPub돋움체 Light" w:eastAsia="KoPub돋움체 Light" w:hAnsi="KoPub돋움체 Light"/>
        </w:rPr>
      </w:pPr>
      <w:r w:rsidRPr="00C12F19">
        <w:rPr>
          <w:rFonts w:ascii="KoPub돋움체 Light" w:eastAsia="KoPub돋움체 Light" w:hAnsi="KoPub돋움체 Light"/>
          <w:noProof/>
        </w:rPr>
        <w:drawing>
          <wp:inline distT="0" distB="0" distL="0" distR="0" wp14:anchorId="655A87F5" wp14:editId="0EB94538">
            <wp:extent cx="5731510" cy="3266440"/>
            <wp:effectExtent l="0" t="0" r="2540" b="0"/>
            <wp:docPr id="5" name="그림 5" descr="텍스트, 영수증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장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F19">
        <w:rPr>
          <w:rFonts w:ascii="KoPub돋움체 Light" w:eastAsia="KoPub돋움체 Light" w:hAnsi="KoPub돋움체 Light" w:hint="eastAsia"/>
        </w:rPr>
        <w:t xml:space="preserve"> </w:t>
      </w:r>
      <w:r w:rsidR="00554659" w:rsidRPr="00C12F19">
        <w:rPr>
          <w:rFonts w:ascii="KoPub돋움체 Light" w:eastAsia="KoPub돋움체 Light" w:hAnsi="KoPub돋움체 Light" w:hint="eastAsia"/>
        </w:rPr>
        <w:t xml:space="preserve">분석결과 주가 대 장부가치 비율과 자기자본 순이익률 정보를 결합하여 포트폴리오를 형성하는 경우 저평가 기업과 </w:t>
      </w:r>
      <w:proofErr w:type="spellStart"/>
      <w:r w:rsidR="00554659" w:rsidRPr="00C12F19">
        <w:rPr>
          <w:rFonts w:ascii="KoPub돋움체 Light" w:eastAsia="KoPub돋움체 Light" w:hAnsi="KoPub돋움체 Light" w:hint="eastAsia"/>
        </w:rPr>
        <w:t>고평가</w:t>
      </w:r>
      <w:proofErr w:type="spellEnd"/>
      <w:r w:rsidR="00554659" w:rsidRPr="00C12F19">
        <w:rPr>
          <w:rFonts w:ascii="KoPub돋움체 Light" w:eastAsia="KoPub돋움체 Light" w:hAnsi="KoPub돋움체 Light" w:hint="eastAsia"/>
        </w:rPr>
        <w:t xml:space="preserve"> 기업을 식별할 수 </w:t>
      </w:r>
      <w:proofErr w:type="spellStart"/>
      <w:r w:rsidR="00554659" w:rsidRPr="00C12F19">
        <w:rPr>
          <w:rFonts w:ascii="KoPub돋움체 Light" w:eastAsia="KoPub돋움체 Light" w:hAnsi="KoPub돋움체 Light" w:hint="eastAsia"/>
        </w:rPr>
        <w:t>있는것으로</w:t>
      </w:r>
      <w:proofErr w:type="spellEnd"/>
      <w:r w:rsidR="00554659" w:rsidRPr="00C12F19">
        <w:rPr>
          <w:rFonts w:ascii="KoPub돋움체 Light" w:eastAsia="KoPub돋움체 Light" w:hAnsi="KoPub돋움체 Light" w:hint="eastAsia"/>
        </w:rPr>
        <w:t xml:space="preserve"> 나타났다.</w:t>
      </w:r>
      <w:r w:rsidR="00554659" w:rsidRPr="00C12F19">
        <w:rPr>
          <w:rFonts w:ascii="KoPub돋움체 Light" w:eastAsia="KoPub돋움체 Light" w:hAnsi="KoPub돋움체 Light"/>
        </w:rPr>
        <w:t xml:space="preserve"> </w:t>
      </w:r>
      <w:r w:rsidR="00554659" w:rsidRPr="00C12F19">
        <w:rPr>
          <w:rFonts w:ascii="KoPub돋움체 Light" w:eastAsia="KoPub돋움체 Light" w:hAnsi="KoPub돋움체 Light" w:hint="eastAsia"/>
        </w:rPr>
        <w:t>또한,</w:t>
      </w:r>
      <w:r w:rsidR="00554659" w:rsidRPr="00C12F19">
        <w:rPr>
          <w:rFonts w:ascii="KoPub돋움체 Light" w:eastAsia="KoPub돋움체 Light" w:hAnsi="KoPub돋움체 Light"/>
        </w:rPr>
        <w:t xml:space="preserve"> </w:t>
      </w:r>
      <w:r w:rsidR="00554659" w:rsidRPr="00C12F19">
        <w:rPr>
          <w:rFonts w:ascii="KoPub돋움체 Light" w:eastAsia="KoPub돋움체 Light" w:hAnsi="KoPub돋움체 Light" w:hint="eastAsia"/>
        </w:rPr>
        <w:t>이들 기업군 간에 이익이 주가수익률에 영향을 주는 정도도 차이가 있는 것으로 나타나고 있다</w:t>
      </w:r>
    </w:p>
    <w:p w14:paraId="77539EBB" w14:textId="270CC393" w:rsidR="00554659" w:rsidRPr="00C12F19" w:rsidRDefault="00554659">
      <w:pPr>
        <w:rPr>
          <w:rFonts w:ascii="KoPub돋움체 Light" w:eastAsia="KoPub돋움체 Light" w:hAnsi="KoPub돋움체 Light"/>
        </w:rPr>
      </w:pPr>
      <w:proofErr w:type="spellStart"/>
      <w:r w:rsidRPr="00C12F19">
        <w:rPr>
          <w:rFonts w:ascii="KoPub돋움체 Light" w:eastAsia="KoPub돋움체 Light" w:hAnsi="KoPub돋움체 Light" w:hint="eastAsia"/>
        </w:rPr>
        <w:t>이허한</w:t>
      </w:r>
      <w:proofErr w:type="spellEnd"/>
      <w:r w:rsidRPr="00C12F19">
        <w:rPr>
          <w:rFonts w:ascii="KoPub돋움체 Light" w:eastAsia="KoPub돋움체 Light" w:hAnsi="KoPub돋움체 Light" w:hint="eastAsia"/>
        </w:rPr>
        <w:t xml:space="preserve"> 결과 투자자들이 기업가치를 평가하고 투자전략을 형성하는데 있어서 순장부가치와 순이익을 중요한 정보 원천으로 사용하고 있고 </w:t>
      </w:r>
      <w:r w:rsidR="00B324EA" w:rsidRPr="00C12F19">
        <w:rPr>
          <w:rFonts w:ascii="KoPub돋움체 Light" w:eastAsia="KoPub돋움체 Light" w:hAnsi="KoPub돋움체 Light" w:hint="eastAsia"/>
        </w:rPr>
        <w:t>투자자들이 단순이 이익의 크기가 아닌 평가된 포트폴리오에 따라 크기를 달리 평가함</w:t>
      </w:r>
    </w:p>
    <w:p w14:paraId="2FB7B864" w14:textId="1548E79F" w:rsidR="00B324EA" w:rsidRPr="00C12F19" w:rsidRDefault="00B324EA">
      <w:pPr>
        <w:pBdr>
          <w:bottom w:val="thinThickThinMediumGap" w:sz="18" w:space="1" w:color="auto"/>
        </w:pBdr>
        <w:rPr>
          <w:rFonts w:ascii="KoPub돋움체 Light" w:eastAsia="KoPub돋움체 Light" w:hAnsi="KoPub돋움체 Light"/>
        </w:rPr>
      </w:pPr>
      <w:r w:rsidRPr="00C12F19">
        <w:rPr>
          <w:rFonts w:ascii="KoPub돋움체 Light" w:eastAsia="KoPub돋움체 Light" w:hAnsi="KoPub돋움체 Light" w:hint="eastAsia"/>
          <w:noProof/>
        </w:rPr>
        <w:drawing>
          <wp:inline distT="0" distB="0" distL="0" distR="0" wp14:anchorId="04745A35" wp14:editId="79E566F0">
            <wp:extent cx="2981739" cy="8843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72" cy="8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F19">
        <w:rPr>
          <w:rFonts w:ascii="KoPub돋움체 Light" w:eastAsia="KoPub돋움체 Light" w:hAnsi="KoPub돋움체 Light" w:hint="eastAsia"/>
        </w:rPr>
        <w:t xml:space="preserve"> </w:t>
      </w:r>
      <w:r w:rsidRPr="00C12F19">
        <w:rPr>
          <w:rFonts w:ascii="KoPub돋움체 Light" w:eastAsia="KoPub돋움체 Light" w:hAnsi="KoPub돋움체 Light"/>
        </w:rPr>
        <w:t>(</w:t>
      </w:r>
      <w:proofErr w:type="spellStart"/>
      <w:r w:rsidRPr="00C12F19">
        <w:rPr>
          <w:rFonts w:ascii="KoPub돋움체 Light" w:eastAsia="KoPub돋움체 Light" w:hAnsi="KoPub돋움체 Light" w:hint="eastAsia"/>
        </w:rPr>
        <w:t>코로나로인한</w:t>
      </w:r>
      <w:proofErr w:type="spellEnd"/>
      <w:r w:rsidRPr="00C12F19">
        <w:rPr>
          <w:rFonts w:ascii="KoPub돋움체 Light" w:eastAsia="KoPub돋움체 Light" w:hAnsi="KoPub돋움체 Light" w:hint="eastAsia"/>
        </w:rPr>
        <w:t xml:space="preserve"> 경제 경동 시기를 거침)</w:t>
      </w:r>
    </w:p>
    <w:p w14:paraId="28EA734A" w14:textId="77777777" w:rsidR="00A542C6" w:rsidRPr="00C12F19" w:rsidRDefault="00A542C6">
      <w:pPr>
        <w:pBdr>
          <w:bottom w:val="thinThickThinMediumGap" w:sz="18" w:space="1" w:color="auto"/>
        </w:pBdr>
        <w:rPr>
          <w:rFonts w:ascii="KoPub돋움체 Light" w:eastAsia="KoPub돋움체 Light" w:hAnsi="KoPub돋움체 Light"/>
        </w:rPr>
      </w:pPr>
    </w:p>
    <w:p w14:paraId="596BBD45" w14:textId="77777777" w:rsidR="00A542C6" w:rsidRPr="00C12F19" w:rsidRDefault="00A542C6" w:rsidP="00A542C6">
      <w:pPr>
        <w:rPr>
          <w:rFonts w:ascii="KoPub돋움체 Light" w:eastAsia="KoPub돋움체 Light" w:hAnsi="KoPub돋움체 Light" w:hint="eastAsia"/>
        </w:rPr>
      </w:pPr>
    </w:p>
    <w:p w14:paraId="3CC4C683" w14:textId="5A1ACE51" w:rsidR="00A542C6" w:rsidRPr="00C12F19" w:rsidRDefault="00A542C6" w:rsidP="00A542C6">
      <w:pPr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</w:pPr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기술적</w:t>
      </w:r>
      <w:r w:rsidRPr="00C12F19"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  <w:t xml:space="preserve"> </w:t>
      </w:r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분석지표와</w:t>
      </w:r>
      <w:r w:rsidRPr="00C12F19"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  <w:t xml:space="preserve"> </w:t>
      </w:r>
      <w:proofErr w:type="spellStart"/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딥러닝을</w:t>
      </w:r>
      <w:proofErr w:type="spellEnd"/>
      <w:r w:rsidRPr="00C12F19"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  <w:t xml:space="preserve"> </w:t>
      </w:r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활용한</w:t>
      </w:r>
      <w:r w:rsidRPr="00C12F19"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  <w:t xml:space="preserve"> </w:t>
      </w:r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주가</w:t>
      </w:r>
      <w:r w:rsidRPr="00C12F19"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  <w:t xml:space="preserve"> </w:t>
      </w:r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예측</w:t>
      </w:r>
      <w:r w:rsidRPr="00C12F19">
        <w:rPr>
          <w:rFonts w:ascii="KoPub돋움체 Light" w:eastAsia="KoPub돋움체 Light" w:hAnsi="KoPub돋움체 Light" w:cs="KoPubBatangBold"/>
          <w:b/>
          <w:bCs/>
          <w:kern w:val="0"/>
          <w:sz w:val="34"/>
          <w:szCs w:val="34"/>
        </w:rPr>
        <w:t xml:space="preserve"> </w:t>
      </w:r>
      <w:r w:rsidRPr="00C12F19">
        <w:rPr>
          <w:rFonts w:ascii="KoPub돋움체 Light" w:eastAsia="KoPub돋움체 Light" w:hAnsi="KoPub돋움체 Light" w:cs="KoPubBatangBold" w:hint="eastAsia"/>
          <w:b/>
          <w:bCs/>
          <w:kern w:val="0"/>
          <w:sz w:val="34"/>
          <w:szCs w:val="34"/>
        </w:rPr>
        <w:t>기법</w:t>
      </w:r>
    </w:p>
    <w:p w14:paraId="6C388638" w14:textId="204A47D9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TimesNewRomanPSM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사용되는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분석방법으로는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크게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기본적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(fundamental analysis)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기술적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(technical analysis)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으로 나뉨</w:t>
      </w:r>
    </w:p>
    <w:p w14:paraId="5169F163" w14:textId="2F3BD23A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Bold"/>
          <w:b/>
          <w:bCs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기본적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기업의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내재가치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통해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종목을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선정하는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방법으로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경제흐름의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대세를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판단하지만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내재가치로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수렴하는데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어느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정도의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시간이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걸릴지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알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수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없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음</w:t>
      </w:r>
    </w:p>
    <w:p w14:paraId="04A5619D" w14:textId="12895FEE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Bold"/>
          <w:b/>
          <w:bCs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기술적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분석이란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전통적인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증권분석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방법으로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과거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주식의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가격이나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거래량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같은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자료를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이용하여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변화의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추세를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발견해내어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미래의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주가를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방법</w:t>
      </w:r>
    </w:p>
    <w:p w14:paraId="735085CC" w14:textId="7329D1A0" w:rsidR="00A542C6" w:rsidRPr="00C12F19" w:rsidRDefault="00A542C6" w:rsidP="00A542C6">
      <w:pPr>
        <w:rPr>
          <w:rFonts w:ascii="KoPub돋움체 Light" w:eastAsia="KoPub돋움체 Light" w:hAnsi="KoPub돋움체 Light" w:cs="KoPubBatangBold"/>
          <w:b/>
          <w:bCs/>
          <w:kern w:val="0"/>
          <w:szCs w:val="20"/>
        </w:rPr>
      </w:pPr>
    </w:p>
    <w:p w14:paraId="5FDEA3E3" w14:textId="10BDB3F4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기술적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지표와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proofErr w:type="spellStart"/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딥러닝의</w:t>
      </w:r>
      <w:proofErr w:type="spellEnd"/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LSTM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(Long-Short Term Memory)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모델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[4]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결합하여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일부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종</w:t>
      </w:r>
    </w:p>
    <w:p w14:paraId="265BE455" w14:textId="7120596D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Bold" w:hint="eastAsia"/>
          <w:b/>
          <w:bCs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목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주식자료에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대한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모델을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개발하고자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가지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연구를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진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행</w:t>
      </w:r>
    </w:p>
    <w:p w14:paraId="4E748612" w14:textId="67484205" w:rsidR="00A542C6" w:rsidRPr="00C12F19" w:rsidRDefault="00A542C6" w:rsidP="00A542C6">
      <w:pPr>
        <w:rPr>
          <w:rFonts w:ascii="KoPub돋움체 Light" w:eastAsia="KoPub돋움체 Light" w:hAnsi="KoPub돋움체 Light" w:cs="KoPubBatangBold"/>
          <w:b/>
          <w:bCs/>
          <w:kern w:val="0"/>
          <w:szCs w:val="20"/>
        </w:rPr>
      </w:pPr>
    </w:p>
    <w:p w14:paraId="5A199FB8" w14:textId="52B44BC8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Bold"/>
          <w:b/>
          <w:bCs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첫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번째로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, </w:t>
      </w:r>
      <w:proofErr w:type="spellStart"/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딥러닝에서</w:t>
      </w:r>
      <w:proofErr w:type="spellEnd"/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RNN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변형인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LSTM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모델을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이용해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데이터를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생성</w:t>
      </w:r>
    </w:p>
    <w:p w14:paraId="428D1C2D" w14:textId="3A7ECE87" w:rsidR="00A542C6" w:rsidRPr="00C12F19" w:rsidRDefault="00A542C6" w:rsidP="00A542C6">
      <w:pPr>
        <w:rPr>
          <w:rFonts w:ascii="KoPub돋움체 Light" w:eastAsia="KoPub돋움체 Light" w:hAnsi="KoPub돋움체 Light" w:cs="KoPubBatangBold"/>
          <w:b/>
          <w:bCs/>
          <w:kern w:val="0"/>
          <w:szCs w:val="20"/>
        </w:rPr>
      </w:pPr>
    </w:p>
    <w:p w14:paraId="73127D80" w14:textId="70351C99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번째로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, </w:t>
      </w:r>
      <w:proofErr w:type="spellStart"/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딥러닝에서</w:t>
      </w:r>
      <w:proofErr w:type="spellEnd"/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LSTM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모델을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이용해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데이터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 xml:space="preserve">를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대상으로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지도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학습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방법인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분류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(Classification)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이용해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그래프를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생성하여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해당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종목의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다음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한달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주식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상</w:t>
      </w:r>
    </w:p>
    <w:p w14:paraId="3E9FCC85" w14:textId="5E8C71D3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황이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상승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또는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하강하는지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실제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값과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비교해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모델의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효율성을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확인하고자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함</w:t>
      </w:r>
    </w:p>
    <w:p w14:paraId="4CF79EF7" w14:textId="77777777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Bold" w:hint="eastAsia"/>
          <w:b/>
          <w:bCs/>
          <w:kern w:val="0"/>
          <w:szCs w:val="20"/>
        </w:rPr>
      </w:pPr>
    </w:p>
    <w:p w14:paraId="09FD5857" w14:textId="77777777" w:rsidR="00C12F19" w:rsidRPr="00C12F19" w:rsidRDefault="00C12F19" w:rsidP="00C12F19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DotumMedium,Bold"/>
          <w:kern w:val="0"/>
          <w:sz w:val="22"/>
        </w:rPr>
      </w:pPr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 xml:space="preserve">2. </w:t>
      </w:r>
      <w:r w:rsidRPr="00C12F19">
        <w:rPr>
          <w:rFonts w:ascii="KoPub돋움체 Light" w:eastAsia="KoPub돋움체 Light" w:hAnsi="KoPub돋움체 Light" w:cs="KoPubDotumMedium,Bold" w:hint="eastAsia"/>
          <w:kern w:val="0"/>
          <w:sz w:val="22"/>
        </w:rPr>
        <w:t>제안하는</w:t>
      </w:r>
      <w:r w:rsidRPr="00C12F19">
        <w:rPr>
          <w:rFonts w:ascii="KoPub돋움체 Light" w:eastAsia="KoPub돋움체 Light" w:hAnsi="KoPub돋움체 Light" w:cs="KoPubDotumMedium,Bold"/>
          <w:kern w:val="0"/>
          <w:sz w:val="22"/>
        </w:rPr>
        <w:t xml:space="preserve"> </w:t>
      </w:r>
      <w:r w:rsidRPr="00C12F19">
        <w:rPr>
          <w:rFonts w:ascii="KoPub돋움체 Light" w:eastAsia="KoPub돋움체 Light" w:hAnsi="KoPub돋움체 Light" w:cs="KoPubDotumMedium,Bold" w:hint="eastAsia"/>
          <w:kern w:val="0"/>
          <w:sz w:val="22"/>
        </w:rPr>
        <w:t>모델</w:t>
      </w:r>
    </w:p>
    <w:p w14:paraId="2C8AE688" w14:textId="5FC4BC8F" w:rsidR="00A542C6" w:rsidRPr="00C12F19" w:rsidRDefault="00C12F19" w:rsidP="00C12F19">
      <w:pPr>
        <w:rPr>
          <w:rFonts w:ascii="KoPub돋움체 Light" w:eastAsia="KoPub돋움체 Light" w:hAnsi="KoPub돋움체 Light" w:cs="TimesNewRomanPS-BoldMT"/>
          <w:kern w:val="0"/>
          <w:sz w:val="22"/>
        </w:rPr>
      </w:pPr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 xml:space="preserve">2.1 Deep </w:t>
      </w:r>
      <w:proofErr w:type="gramStart"/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>Learning(</w:t>
      </w:r>
      <w:proofErr w:type="gramEnd"/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>LSTM</w:t>
      </w:r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>)</w:t>
      </w:r>
    </w:p>
    <w:p w14:paraId="1982A0D4" w14:textId="6ADDAD79" w:rsidR="00C12F19" w:rsidRPr="00C12F19" w:rsidRDefault="00C12F19" w:rsidP="00C12F19">
      <w:pPr>
        <w:rPr>
          <w:rFonts w:ascii="KoPub돋움체 Light" w:eastAsia="KoPub돋움체 Light" w:hAnsi="KoPub돋움체 Light" w:cs="TimesNewRomanPS-BoldMT"/>
          <w:kern w:val="0"/>
          <w:sz w:val="22"/>
        </w:rPr>
      </w:pPr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 xml:space="preserve">2.2 </w:t>
      </w:r>
      <w:proofErr w:type="gramStart"/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>SVM(</w:t>
      </w:r>
      <w:proofErr w:type="gramEnd"/>
      <w:r w:rsidRPr="00C12F19">
        <w:rPr>
          <w:rFonts w:ascii="KoPub돋움체 Light" w:eastAsia="KoPub돋움체 Light" w:hAnsi="KoPub돋움체 Light" w:cs="TimesNewRomanPS-BoldMT"/>
          <w:kern w:val="0"/>
          <w:sz w:val="22"/>
        </w:rPr>
        <w:t>Support Vector Machine)</w:t>
      </w:r>
    </w:p>
    <w:p w14:paraId="5554DCF6" w14:textId="2AB95321" w:rsidR="00C12F19" w:rsidRPr="00C12F19" w:rsidRDefault="00C12F19" w:rsidP="00C12F19">
      <w:pPr>
        <w:ind w:left="1600" w:firstLine="800"/>
        <w:rPr>
          <w:rFonts w:ascii="KoPub돋움체 Light" w:eastAsia="KoPub돋움체 Light" w:hAnsi="KoPub돋움체 Light" w:cs="TimesNewRomanPS-BoldMT"/>
          <w:kern w:val="0"/>
          <w:sz w:val="22"/>
        </w:rPr>
      </w:pP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(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그림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1) </w:t>
      </w:r>
      <w:proofErr w:type="spellStart"/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미래에셋대우의</w:t>
      </w:r>
      <w:proofErr w:type="spellEnd"/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원본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및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데이터</w:t>
      </w:r>
    </w:p>
    <w:p w14:paraId="0F7A7B45" w14:textId="77777777" w:rsidR="00C12F19" w:rsidRPr="00C12F19" w:rsidRDefault="00C12F19" w:rsidP="00C12F19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Bold"/>
          <w:kern w:val="0"/>
          <w:szCs w:val="20"/>
        </w:rPr>
      </w:pPr>
      <w:r w:rsidRPr="00C12F19">
        <w:rPr>
          <w:rFonts w:ascii="KoPub돋움체 Light" w:eastAsia="KoPub돋움체 Light" w:hAnsi="KoPub돋움체 Light" w:cs="KoPubBatangBold"/>
          <w:noProof/>
          <w:kern w:val="0"/>
          <w:szCs w:val="20"/>
        </w:rPr>
        <w:drawing>
          <wp:inline distT="0" distB="0" distL="0" distR="0" wp14:anchorId="1B8EACF9" wp14:editId="22A68F8C">
            <wp:extent cx="5731510" cy="27965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4DED" w14:textId="399E7851" w:rsidR="00C12F19" w:rsidRPr="00C12F19" w:rsidRDefault="00C12F19" w:rsidP="00C12F19">
      <w:pPr>
        <w:wordWrap/>
        <w:adjustRightInd w:val="0"/>
        <w:spacing w:after="0" w:line="240" w:lineRule="auto"/>
        <w:ind w:left="800" w:firstLine="800"/>
        <w:jc w:val="left"/>
        <w:rPr>
          <w:rFonts w:ascii="KoPub돋움체 Light" w:eastAsia="KoPub돋움체 Light" w:hAnsi="KoPub돋움체 Light" w:cs="TimesNewRomanPSMT"/>
          <w:kern w:val="0"/>
          <w:szCs w:val="20"/>
        </w:rPr>
      </w:pP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(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그림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2) 2011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1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월의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proofErr w:type="spellStart"/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미래에셋대우</w:t>
      </w:r>
      <w:proofErr w:type="spellEnd"/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주가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움직임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>.</w:t>
      </w:r>
    </w:p>
    <w:p w14:paraId="34873BEE" w14:textId="454C5BBB" w:rsidR="00C12F19" w:rsidRPr="00C12F19" w:rsidRDefault="00C12F19" w:rsidP="00C12F19">
      <w:pPr>
        <w:ind w:left="1600" w:firstLine="800"/>
        <w:rPr>
          <w:rFonts w:ascii="KoPub돋움체 Light" w:eastAsia="KoPub돋움체 Light" w:hAnsi="KoPub돋움체 Light" w:cs="KoPubBatangBold"/>
          <w:kern w:val="0"/>
          <w:szCs w:val="20"/>
        </w:rPr>
      </w:pP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(a)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그래프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TimesNewRomanPSMT"/>
          <w:kern w:val="0"/>
          <w:szCs w:val="20"/>
        </w:rPr>
        <w:t xml:space="preserve">(b)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실제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그래프</w:t>
      </w:r>
    </w:p>
    <w:p w14:paraId="5E2FD077" w14:textId="5A5E9566" w:rsidR="00C12F19" w:rsidRPr="00C12F19" w:rsidRDefault="00C12F19" w:rsidP="00C12F19">
      <w:pPr>
        <w:rPr>
          <w:rFonts w:ascii="KoPub돋움체 Light" w:eastAsia="KoPub돋움체 Light" w:hAnsi="KoPub돋움체 Light" w:cs="KoPubBatangBold" w:hint="eastAsia"/>
          <w:kern w:val="0"/>
          <w:szCs w:val="20"/>
        </w:rPr>
      </w:pPr>
      <w:r w:rsidRPr="00C12F19">
        <w:rPr>
          <w:rFonts w:ascii="KoPub돋움체 Light" w:eastAsia="KoPub돋움체 Light" w:hAnsi="KoPub돋움체 Light" w:cs="KoPubBatangBold" w:hint="eastAsia"/>
          <w:noProof/>
          <w:kern w:val="0"/>
          <w:szCs w:val="20"/>
        </w:rPr>
        <w:lastRenderedPageBreak/>
        <w:drawing>
          <wp:inline distT="0" distB="0" distL="0" distR="0" wp14:anchorId="2BF8D75D" wp14:editId="5EB82B36">
            <wp:extent cx="5398770" cy="247269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BE11" w14:textId="218E1A2C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정확도 수치는 없음</w:t>
      </w:r>
    </w:p>
    <w:p w14:paraId="638EC04E" w14:textId="77777777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 w:hint="eastAsia"/>
          <w:kern w:val="0"/>
          <w:szCs w:val="20"/>
        </w:rPr>
      </w:pPr>
    </w:p>
    <w:p w14:paraId="786DD926" w14:textId="1E41D637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결론:</w:t>
      </w:r>
    </w:p>
    <w:p w14:paraId="0C5C8C5F" w14:textId="68D7B040" w:rsidR="00A542C6" w:rsidRPr="00C12F19" w:rsidRDefault="00A542C6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많은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금융시장의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변수와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불규칙적으로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변하는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상황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때문에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기술적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분석과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기계학습을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이용하더라도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정확한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데이터를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것은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한계가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있어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금융시장의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상황을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예측하고자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종가에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대한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미래의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등락을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예측하는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모델을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만들어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금융시장의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미래에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대한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상황을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예측할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수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있는</w:t>
      </w:r>
      <w:r w:rsidRPr="00C12F19">
        <w:rPr>
          <w:rFonts w:ascii="KoPub돋움체 Light" w:eastAsia="KoPub돋움체 Light" w:hAnsi="KoPub돋움체 Light" w:cs="KoPubBatangLight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방안들을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 xml:space="preserve"> </w:t>
      </w:r>
      <w:r w:rsidRPr="00C12F19">
        <w:rPr>
          <w:rFonts w:ascii="KoPub돋움체 Light" w:eastAsia="KoPub돋움체 Light" w:hAnsi="KoPub돋움체 Light" w:cs="KoPubBatangLight" w:hint="eastAsia"/>
          <w:kern w:val="0"/>
          <w:szCs w:val="20"/>
        </w:rPr>
        <w:t>제안</w:t>
      </w:r>
    </w:p>
    <w:p w14:paraId="35916B35" w14:textId="26CA8F92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</w:p>
    <w:p w14:paraId="43F29A2C" w14:textId="4D11646C" w:rsidR="00C12F19" w:rsidRPr="00C12F19" w:rsidRDefault="00C12F19" w:rsidP="00A542C6">
      <w:pPr>
        <w:pBdr>
          <w:bottom w:val="thinThickThinMediumGap" w:sz="18" w:space="1" w:color="auto"/>
        </w:pBd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</w:p>
    <w:p w14:paraId="650CCD11" w14:textId="3723F652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</w:p>
    <w:p w14:paraId="79AD65E7" w14:textId="0C2B3F04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kern w:val="0"/>
          <w:szCs w:val="20"/>
        </w:rPr>
      </w:pPr>
    </w:p>
    <w:p w14:paraId="721D25BC" w14:textId="2051BABA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cs="KoPubBatangLight"/>
          <w:b/>
          <w:bCs/>
          <w:kern w:val="0"/>
          <w:sz w:val="34"/>
          <w:szCs w:val="34"/>
        </w:rPr>
      </w:pPr>
      <w:r w:rsidRPr="00C12F19">
        <w:rPr>
          <w:rFonts w:ascii="KoPub돋움체 Light" w:eastAsia="KoPub돋움체 Light" w:hAnsi="KoPub돋움체 Light" w:cs="KoPubBatangLight" w:hint="eastAsia"/>
          <w:b/>
          <w:bCs/>
          <w:kern w:val="0"/>
          <w:sz w:val="34"/>
          <w:szCs w:val="34"/>
        </w:rPr>
        <w:t>인공지능 시스템을 이용한 주가예측에 대한 연구</w:t>
      </w:r>
    </w:p>
    <w:p w14:paraId="7A752425" w14:textId="21E20107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764E3AEA" w14:textId="4C284BAD" w:rsidR="00C12F1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1</w:t>
      </w:r>
      <w:r>
        <w:rPr>
          <w:rFonts w:ascii="KoPub돋움체 Light" w:eastAsia="KoPub돋움체 Light" w:hAnsi="KoPub돋움체 Light"/>
        </w:rPr>
        <w:t xml:space="preserve">. </w:t>
      </w:r>
      <w:proofErr w:type="spellStart"/>
      <w:r>
        <w:rPr>
          <w:rFonts w:ascii="KoPub돋움체 Light" w:eastAsia="KoPub돋움체 Light" w:hAnsi="KoPub돋움체 Light" w:hint="eastAsia"/>
        </w:rPr>
        <w:t>변수들간의</w:t>
      </w:r>
      <w:proofErr w:type="spellEnd"/>
      <w:r>
        <w:rPr>
          <w:rFonts w:ascii="KoPub돋움체 Light" w:eastAsia="KoPub돋움체 Light" w:hAnsi="KoPub돋움체 Light" w:hint="eastAsia"/>
        </w:rPr>
        <w:t xml:space="preserve"> 선형관계를 전제로 하지 않는 인공지능 시스템의 하나인 인공신경망을 이용한 평가모형을 구축하여 상장기업의 주가를 예측</w:t>
      </w:r>
    </w:p>
    <w:p w14:paraId="53273B7A" w14:textId="34806EB6" w:rsid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2</w:t>
      </w:r>
      <w:r>
        <w:rPr>
          <w:rFonts w:ascii="KoPub돋움체 Light" w:eastAsia="KoPub돋움체 Light" w:hAnsi="KoPub돋움체 Light"/>
        </w:rPr>
        <w:t xml:space="preserve">. </w:t>
      </w:r>
      <w:r>
        <w:rPr>
          <w:rFonts w:ascii="KoPub돋움체 Light" w:eastAsia="KoPub돋움체 Light" w:hAnsi="KoPub돋움체 Light" w:hint="eastAsia"/>
        </w:rPr>
        <w:t xml:space="preserve">회계정보를 이용하여 기업 가치를 평가라는 </w:t>
      </w:r>
      <w:proofErr w:type="spellStart"/>
      <w:r>
        <w:rPr>
          <w:rFonts w:ascii="KoPub돋움체 Light" w:eastAsia="KoPub돋움체 Light" w:hAnsi="KoPub돋움체 Light"/>
        </w:rPr>
        <w:t>ohlson</w:t>
      </w:r>
      <w:proofErr w:type="spellEnd"/>
      <w:r>
        <w:rPr>
          <w:rFonts w:ascii="KoPub돋움체 Light" w:eastAsia="KoPub돋움체 Light" w:hAnsi="KoPub돋움체 Light" w:hint="eastAsia"/>
        </w:rPr>
        <w:t xml:space="preserve"> 모형을 이용하여 상잔기업의 주가를 예측</w:t>
      </w:r>
    </w:p>
    <w:p w14:paraId="3E241BBA" w14:textId="0A487FB9" w:rsid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1A5884D2" w14:textId="615BDCAA" w:rsid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이를 토대로 </w:t>
      </w:r>
      <w:r>
        <w:rPr>
          <w:rFonts w:ascii="KoPub돋움체 Light" w:eastAsia="KoPub돋움체 Light" w:hAnsi="KoPub돋움체 Light"/>
        </w:rPr>
        <w:t>2001</w:t>
      </w:r>
      <w:r>
        <w:rPr>
          <w:rFonts w:ascii="KoPub돋움체 Light" w:eastAsia="KoPub돋움체 Light" w:hAnsi="KoPub돋움체 Light" w:hint="eastAsia"/>
        </w:rPr>
        <w:t>년~</w:t>
      </w:r>
      <w:r>
        <w:rPr>
          <w:rFonts w:ascii="KoPub돋움체 Light" w:eastAsia="KoPub돋움체 Light" w:hAnsi="KoPub돋움체 Light"/>
        </w:rPr>
        <w:t>2004</w:t>
      </w:r>
      <w:r>
        <w:rPr>
          <w:rFonts w:ascii="KoPub돋움체 Light" w:eastAsia="KoPub돋움체 Light" w:hAnsi="KoPub돋움체 Light" w:hint="eastAsia"/>
        </w:rPr>
        <w:t xml:space="preserve">년의 데이트를 가지고 </w:t>
      </w:r>
      <w:r>
        <w:rPr>
          <w:rFonts w:ascii="KoPub돋움체 Light" w:eastAsia="KoPub돋움체 Light" w:hAnsi="KoPub돋움체 Light"/>
        </w:rPr>
        <w:t>2002년부처 2005</w:t>
      </w:r>
      <w:r>
        <w:rPr>
          <w:rFonts w:ascii="KoPub돋움체 Light" w:eastAsia="KoPub돋움체 Light" w:hAnsi="KoPub돋움체 Light" w:hint="eastAsia"/>
        </w:rPr>
        <w:t xml:space="preserve">년까지 추정주가 산출 후, 어느 방법이 더 주가예측의 적정성이 </w:t>
      </w:r>
      <w:proofErr w:type="spellStart"/>
      <w:r>
        <w:rPr>
          <w:rFonts w:ascii="KoPub돋움체 Light" w:eastAsia="KoPub돋움체 Light" w:hAnsi="KoPub돋움체 Light" w:hint="eastAsia"/>
        </w:rPr>
        <w:t>높은지</w:t>
      </w:r>
      <w:proofErr w:type="spellEnd"/>
      <w:r>
        <w:rPr>
          <w:rFonts w:ascii="KoPub돋움체 Light" w:eastAsia="KoPub돋움체 Light" w:hAnsi="KoPub돋움체 Light" w:hint="eastAsia"/>
        </w:rPr>
        <w:t xml:space="preserve"> 평가</w:t>
      </w:r>
    </w:p>
    <w:p w14:paraId="5D6779E1" w14:textId="65BB871A" w:rsidR="00822729" w:rsidRP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663ACC88" w14:textId="43156254" w:rsid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선행연구의 검토</w:t>
      </w:r>
    </w:p>
    <w:p w14:paraId="266A04E3" w14:textId="4C4A402C" w:rsid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3F40899D" w14:textId="2887E055" w:rsidR="00C12F1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첫 번째는 동종의 산업에서 주식이 시장에서 거래되고 있는 공개기업 중에서 등록 기업과 기업규모,</w:t>
      </w:r>
      <w:r>
        <w:rPr>
          <w:rFonts w:ascii="KoPub돋움체 Light" w:eastAsia="KoPub돋움체 Light" w:hAnsi="KoPub돋움체 Light"/>
        </w:rPr>
        <w:t xml:space="preserve"> </w:t>
      </w:r>
      <w:r>
        <w:rPr>
          <w:rFonts w:ascii="KoPub돋움체 Light" w:eastAsia="KoPub돋움체 Light" w:hAnsi="KoPub돋움체 Light" w:hint="eastAsia"/>
        </w:rPr>
        <w:t>사업내용</w:t>
      </w:r>
      <w:r>
        <w:rPr>
          <w:rFonts w:ascii="KoPub돋움체 Light" w:eastAsia="KoPub돋움체 Light" w:hAnsi="KoPub돋움체 Light"/>
        </w:rPr>
        <w:t xml:space="preserve"> </w:t>
      </w:r>
      <w:r>
        <w:rPr>
          <w:rFonts w:ascii="KoPub돋움체 Light" w:eastAsia="KoPub돋움체 Light" w:hAnsi="KoPub돋움체 Light" w:hint="eastAsia"/>
        </w:rPr>
        <w:t>등이 유사한기업을 벤치마크로 사용하여 가격을 산정하는 방법이다. 이 방법은 이론적인 배경이 빈약하나 다른 기업과 비교</w:t>
      </w:r>
      <w:r>
        <w:rPr>
          <w:rFonts w:ascii="KoPub돋움체 Light" w:eastAsia="KoPub돋움체 Light" w:hAnsi="KoPub돋움체 Light"/>
        </w:rPr>
        <w:t>하므로</w:t>
      </w:r>
      <w:r>
        <w:rPr>
          <w:rFonts w:ascii="KoPub돋움체 Light" w:eastAsia="KoPub돋움체 Light" w:hAnsi="KoPub돋움체 Light" w:hint="eastAsia"/>
        </w:rPr>
        <w:t xml:space="preserve"> 가격 결정에 있어 오류의 발생여부가 적으며 오류가 발생하더라도 그 차이가 적다는 장점이 있다</w:t>
      </w:r>
    </w:p>
    <w:p w14:paraId="7FB5D8BE" w14:textId="019AB910" w:rsidR="00822729" w:rsidRDefault="0082272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hint="eastAsia"/>
        </w:rPr>
      </w:pPr>
      <w:r>
        <w:rPr>
          <w:rFonts w:ascii="KoPub돋움체 Light" w:eastAsia="KoPub돋움체 Light" w:hAnsi="KoPub돋움체 Light" w:hint="eastAsia"/>
        </w:rPr>
        <w:t>여기에는 주가수익비율(</w:t>
      </w:r>
      <w:r>
        <w:rPr>
          <w:rFonts w:ascii="KoPub돋움체 Light" w:eastAsia="KoPub돋움체 Light" w:hAnsi="KoPub돋움체 Light"/>
        </w:rPr>
        <w:t>PER)</w:t>
      </w:r>
      <w:r>
        <w:rPr>
          <w:rFonts w:ascii="KoPub돋움체 Light" w:eastAsia="KoPub돋움체 Light" w:hAnsi="KoPub돋움체 Light" w:hint="eastAsia"/>
        </w:rPr>
        <w:t>법,</w:t>
      </w:r>
      <w:r>
        <w:rPr>
          <w:rFonts w:ascii="KoPub돋움체 Light" w:eastAsia="KoPub돋움체 Light" w:hAnsi="KoPub돋움체 Light"/>
        </w:rPr>
        <w:t xml:space="preserve"> </w:t>
      </w:r>
      <w:r>
        <w:rPr>
          <w:rFonts w:ascii="KoPub돋움체 Light" w:eastAsia="KoPub돋움체 Light" w:hAnsi="KoPub돋움체 Light" w:hint="eastAsia"/>
        </w:rPr>
        <w:t>기업가치 대 영업활동이익비율</w:t>
      </w:r>
      <w:r w:rsidR="00FD4639">
        <w:rPr>
          <w:rFonts w:ascii="KoPub돋움체 Light" w:eastAsia="KoPub돋움체 Light" w:hAnsi="KoPub돋움체 Light" w:hint="eastAsia"/>
        </w:rPr>
        <w:t>(</w:t>
      </w:r>
      <w:r w:rsidR="00FD4639">
        <w:rPr>
          <w:rFonts w:ascii="KoPub돋움체 Light" w:eastAsia="KoPub돋움체 Light" w:hAnsi="KoPub돋움체 Light"/>
        </w:rPr>
        <w:t>EV/EBITDA)</w:t>
      </w:r>
      <w:r>
        <w:rPr>
          <w:rFonts w:ascii="KoPub돋움체 Light" w:eastAsia="KoPub돋움체 Light" w:hAnsi="KoPub돋움체 Light" w:hint="eastAsia"/>
        </w:rPr>
        <w:t>법,</w:t>
      </w:r>
      <w:r>
        <w:rPr>
          <w:rFonts w:ascii="KoPub돋움체 Light" w:eastAsia="KoPub돋움체 Light" w:hAnsi="KoPub돋움체 Light"/>
        </w:rPr>
        <w:t xml:space="preserve"> </w:t>
      </w:r>
      <w:r>
        <w:rPr>
          <w:rFonts w:ascii="KoPub돋움체 Light" w:eastAsia="KoPub돋움체 Light" w:hAnsi="KoPub돋움체 Light" w:hint="eastAsia"/>
        </w:rPr>
        <w:t>주가순자산비율</w:t>
      </w:r>
      <w:r w:rsidR="00FD4639">
        <w:rPr>
          <w:rFonts w:ascii="KoPub돋움체 Light" w:eastAsia="KoPub돋움체 Light" w:hAnsi="KoPub돋움체 Light" w:hint="eastAsia"/>
        </w:rPr>
        <w:t>(</w:t>
      </w:r>
      <w:r w:rsidR="00FD4639">
        <w:rPr>
          <w:rFonts w:ascii="KoPub돋움체 Light" w:eastAsia="KoPub돋움체 Light" w:hAnsi="KoPub돋움체 Light"/>
        </w:rPr>
        <w:t>PBR)</w:t>
      </w:r>
      <w:r>
        <w:rPr>
          <w:rFonts w:ascii="KoPub돋움체 Light" w:eastAsia="KoPub돋움체 Light" w:hAnsi="KoPub돋움체 Light" w:hint="eastAsia"/>
        </w:rPr>
        <w:t>법,</w:t>
      </w:r>
      <w:r>
        <w:rPr>
          <w:rFonts w:ascii="KoPub돋움체 Light" w:eastAsia="KoPub돋움체 Light" w:hAnsi="KoPub돋움체 Light"/>
        </w:rPr>
        <w:t xml:space="preserve"> </w:t>
      </w:r>
      <w:r>
        <w:rPr>
          <w:rFonts w:ascii="KoPub돋움체 Light" w:eastAsia="KoPub돋움체 Light" w:hAnsi="KoPub돋움체 Light" w:hint="eastAsia"/>
        </w:rPr>
        <w:t>주가매출액비율</w:t>
      </w:r>
      <w:r w:rsidR="00FD4639">
        <w:rPr>
          <w:rFonts w:ascii="KoPub돋움체 Light" w:eastAsia="KoPub돋움체 Light" w:hAnsi="KoPub돋움체 Light" w:hint="eastAsia"/>
        </w:rPr>
        <w:t>(</w:t>
      </w:r>
      <w:r w:rsidR="00FD4639">
        <w:rPr>
          <w:rFonts w:ascii="KoPub돋움체 Light" w:eastAsia="KoPub돋움체 Light" w:hAnsi="KoPub돋움체 Light"/>
        </w:rPr>
        <w:t>PSR)</w:t>
      </w:r>
      <w:r>
        <w:rPr>
          <w:rFonts w:ascii="KoPub돋움체 Light" w:eastAsia="KoPub돋움체 Light" w:hAnsi="KoPub돋움체 Light" w:hint="eastAsia"/>
        </w:rPr>
        <w:t>법 등이 있다.</w:t>
      </w:r>
    </w:p>
    <w:p w14:paraId="6150CCBF" w14:textId="73CBA8A1" w:rsidR="00C12F19" w:rsidRPr="00FD463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32C27A1F" w14:textId="4F4B484B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162155B7" w14:textId="0CECFCC5" w:rsidR="00FD4639" w:rsidRDefault="00FD463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두번째는 절대가치 평가방법으로 </w:t>
      </w:r>
      <w:r w:rsidR="00E7522A">
        <w:rPr>
          <w:rFonts w:ascii="KoPub돋움체 Light" w:eastAsia="KoPub돋움체 Light" w:hAnsi="KoPub돋움체 Light" w:hint="eastAsia"/>
        </w:rPr>
        <w:t>해당기업의 내재가치를 중심으로 평가하기 때문에 유사기업의 존재유무는 관계없이 적용될 수 있으며 비교가치 평가방법에 비해 이론적인 배경이 존재한다</w:t>
      </w:r>
      <w:r w:rsidR="00E7522A">
        <w:rPr>
          <w:rFonts w:ascii="KoPub돋움체 Light" w:eastAsia="KoPub돋움체 Light" w:hAnsi="KoPub돋움체 Light"/>
        </w:rPr>
        <w:t xml:space="preserve">. </w:t>
      </w:r>
    </w:p>
    <w:p w14:paraId="7AA9D35A" w14:textId="77234549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절대 가치 평가방법에는 </w:t>
      </w:r>
      <w:proofErr w:type="spellStart"/>
      <w:r>
        <w:rPr>
          <w:rFonts w:ascii="KoPub돋움체 Light" w:eastAsia="KoPub돋움체 Light" w:hAnsi="KoPub돋움체 Light" w:hint="eastAsia"/>
        </w:rPr>
        <w:t>현금흐름할인이법과</w:t>
      </w:r>
      <w:proofErr w:type="spellEnd"/>
      <w:r>
        <w:rPr>
          <w:rFonts w:ascii="KoPub돋움체 Light" w:eastAsia="KoPub돋움체 Light" w:hAnsi="KoPub돋움체 Light" w:hint="eastAsia"/>
        </w:rPr>
        <w:t xml:space="preserve"> 자산가치 평가방법이 있다</w:t>
      </w:r>
    </w:p>
    <w:p w14:paraId="1F2609AB" w14:textId="114D9A40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69233468" w14:textId="74C59432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hint="eastAsia"/>
        </w:rPr>
      </w:pPr>
      <w:r>
        <w:rPr>
          <w:noProof/>
        </w:rPr>
        <w:lastRenderedPageBreak/>
        <w:drawing>
          <wp:inline distT="0" distB="0" distL="0" distR="0" wp14:anchorId="5AD341EA" wp14:editId="7594A2AB">
            <wp:extent cx="3686175" cy="9810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4AB" w14:textId="2FB4FA49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4CF2873A" w14:textId="02A648BB" w:rsidR="00C12F19" w:rsidRDefault="00E7522A" w:rsidP="00E7522A">
      <w:pPr>
        <w:tabs>
          <w:tab w:val="left" w:pos="3800"/>
        </w:tabs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noProof/>
        </w:rPr>
        <w:drawing>
          <wp:inline distT="0" distB="0" distL="0" distR="0" wp14:anchorId="4040F15F" wp14:editId="6FDE65CA">
            <wp:extent cx="3330410" cy="184785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637" cy="18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97F1" w14:textId="2C5D101B" w:rsidR="00C12F19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noProof/>
        </w:rPr>
        <w:drawing>
          <wp:inline distT="0" distB="0" distL="0" distR="0" wp14:anchorId="093F944F" wp14:editId="1CEE34CF">
            <wp:extent cx="2692400" cy="1949947"/>
            <wp:effectExtent l="0" t="0" r="0" b="0"/>
            <wp:docPr id="12" name="그림 1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영수증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514" cy="19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BBC1" w14:textId="79CEBA51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0ACEA0BA" w14:textId="1B3A4E2A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noProof/>
        </w:rPr>
        <w:drawing>
          <wp:inline distT="0" distB="0" distL="0" distR="0" wp14:anchorId="26D557A8" wp14:editId="5B653F6F">
            <wp:extent cx="3946196" cy="1841500"/>
            <wp:effectExtent l="0" t="0" r="0" b="635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687" cy="18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DC9" w14:textId="5DDC7B3B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noProof/>
        </w:rPr>
        <w:lastRenderedPageBreak/>
        <w:drawing>
          <wp:inline distT="0" distB="0" distL="0" distR="0" wp14:anchorId="6E705DB9" wp14:editId="076ACB45">
            <wp:extent cx="3923645" cy="3835400"/>
            <wp:effectExtent l="0" t="0" r="127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50" cy="38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A632" w14:textId="19176C29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329D29E1" w14:textId="0C5C938D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noProof/>
        </w:rPr>
        <w:drawing>
          <wp:inline distT="0" distB="0" distL="0" distR="0" wp14:anchorId="569547D6" wp14:editId="470ED321">
            <wp:extent cx="3541223" cy="332740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634" cy="33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A13C" w14:textId="60B4371D" w:rsidR="00E7522A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noProof/>
        </w:rPr>
        <w:drawing>
          <wp:inline distT="0" distB="0" distL="0" distR="0" wp14:anchorId="7CB3317E" wp14:editId="0CCBB3AE">
            <wp:extent cx="3454400" cy="1328792"/>
            <wp:effectExtent l="0" t="0" r="0" b="508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892" cy="13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358" w14:textId="0820B95E" w:rsidR="00E7522A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 w:rsidRPr="00F34453">
        <w:rPr>
          <w:rFonts w:ascii="KoPub돋움체 Light" w:eastAsia="KoPub돋움체 Light" w:hAnsi="KoPub돋움체 Light"/>
          <w:noProof/>
        </w:rPr>
        <w:lastRenderedPageBreak/>
        <w:drawing>
          <wp:inline distT="0" distB="0" distL="0" distR="0" wp14:anchorId="3F68D493" wp14:editId="02845423">
            <wp:extent cx="4622800" cy="2700645"/>
            <wp:effectExtent l="0" t="0" r="635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74" cy="270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980A" w14:textId="50D592F8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2C741E0B" w14:textId="7DB15FB0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18B0DF05" w14:textId="144778C5" w:rsidR="00E7522A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한계점</w:t>
      </w:r>
    </w:p>
    <w:p w14:paraId="14F0E9D9" w14:textId="7947D9DC" w:rsidR="00F34453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547DB752" w14:textId="21410399" w:rsidR="00F34453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상장제조기업으로 한정함</w:t>
      </w:r>
    </w:p>
    <w:p w14:paraId="5633D966" w14:textId="5DFC4134" w:rsidR="00F34453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재무자료이용으로 인한 외부환경요소가 반영되지 않음</w:t>
      </w:r>
    </w:p>
    <w:p w14:paraId="315E5EE1" w14:textId="4C07816A" w:rsidR="00F34453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재무변수 또는 경제변수 등을 반영하여 비상장기업,</w:t>
      </w:r>
      <w:r>
        <w:rPr>
          <w:rFonts w:ascii="KoPub돋움체 Light" w:eastAsia="KoPub돋움체 Light" w:hAnsi="KoPub돋움체 Light"/>
        </w:rPr>
        <w:t xml:space="preserve"> </w:t>
      </w:r>
      <w:r>
        <w:rPr>
          <w:rFonts w:ascii="KoPub돋움체 Light" w:eastAsia="KoPub돋움체 Light" w:hAnsi="KoPub돋움체 Light" w:hint="eastAsia"/>
        </w:rPr>
        <w:t>신규상장기업의 주가를 예측 연구가 수행 되어야함</w:t>
      </w:r>
    </w:p>
    <w:p w14:paraId="56FCA5DC" w14:textId="77777777" w:rsidR="00F34453" w:rsidRDefault="00F34453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hint="eastAsia"/>
        </w:rPr>
      </w:pPr>
    </w:p>
    <w:p w14:paraId="4B23B827" w14:textId="345C9027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5E12F5CB" w14:textId="77777777" w:rsidR="00E7522A" w:rsidRDefault="00E7522A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hint="eastAsia"/>
        </w:rPr>
      </w:pPr>
    </w:p>
    <w:p w14:paraId="4582418B" w14:textId="31195288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337FE780" w14:textId="4CE0E6E7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6B06F7BE" w14:textId="055B2D56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15E6F2B8" w14:textId="57FA3257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346A27F8" w14:textId="678C324D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0872B2AE" w14:textId="333D769B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57FBF764" w14:textId="784EA46C" w:rsid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/>
        </w:rPr>
      </w:pPr>
    </w:p>
    <w:p w14:paraId="7C06AF0E" w14:textId="77777777" w:rsidR="00C12F19" w:rsidRPr="00C12F19" w:rsidRDefault="00C12F19" w:rsidP="00A542C6">
      <w:pPr>
        <w:wordWrap/>
        <w:adjustRightInd w:val="0"/>
        <w:spacing w:after="0" w:line="240" w:lineRule="auto"/>
        <w:jc w:val="left"/>
        <w:rPr>
          <w:rFonts w:ascii="KoPub돋움체 Light" w:eastAsia="KoPub돋움체 Light" w:hAnsi="KoPub돋움체 Light" w:hint="eastAsia"/>
        </w:rPr>
      </w:pPr>
    </w:p>
    <w:sectPr w:rsidR="00C12F19" w:rsidRPr="00C12F19" w:rsidSect="00554659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KoPubBatang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KoPubBatangLigh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KoPubDotumMedium,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4659"/>
    <w:rsid w:val="000E346A"/>
    <w:rsid w:val="00554659"/>
    <w:rsid w:val="00822729"/>
    <w:rsid w:val="00A542C6"/>
    <w:rsid w:val="00B324EA"/>
    <w:rsid w:val="00C12F19"/>
    <w:rsid w:val="00E7522A"/>
    <w:rsid w:val="00F34453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45EA"/>
  <w15:chartTrackingRefBased/>
  <w15:docId w15:val="{3FFFB48E-4ECC-470F-AC2F-99D2EBC0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Jun-Yeon Cho</dc:creator>
  <cp:keywords/>
  <dc:description/>
  <cp:lastModifiedBy>Jun-Yeon Cho</cp:lastModifiedBy>
  <cp:revision>3</cp:revision>
  <dcterms:created xsi:type="dcterms:W3CDTF">2021-10-14T02:42:00Z</dcterms:created>
  <dcterms:modified xsi:type="dcterms:W3CDTF">2021-10-14T04:37:00Z</dcterms:modified>
</cp:coreProperties>
</file>