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210 M고딕OTF 030" w:cs="210 M고딕OTF 030" w:eastAsia="210 M고딕OTF 030" w:hAnsi="210 M고딕OTF 030"/>
          <w:b w:val="1"/>
          <w:sz w:val="36"/>
          <w:szCs w:val="36"/>
        </w:rPr>
      </w:pPr>
      <w:r w:rsidDel="00000000" w:rsidR="00000000" w:rsidRPr="00000000">
        <w:rPr>
          <w:rFonts w:ascii="210 M고딕OTF 030" w:cs="210 M고딕OTF 030" w:eastAsia="210 M고딕OTF 030" w:hAnsi="210 M고딕OTF 030"/>
          <w:b w:val="1"/>
          <w:sz w:val="36"/>
          <w:szCs w:val="36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rFonts w:ascii="210 M고딕OTF 030" w:cs="210 M고딕OTF 030" w:eastAsia="210 M고딕OTF 030" w:hAnsi="210 M고딕OTF 030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210 M고딕OTF 030" w:cs="210 M고딕OTF 030" w:eastAsia="210 M고딕OTF 030" w:hAnsi="210 M고딕OTF 030"/>
          <w:sz w:val="10"/>
          <w:szCs w:val="10"/>
        </w:rPr>
      </w:pPr>
      <w:r w:rsidDel="00000000" w:rsidR="00000000" w:rsidRPr="00000000">
        <w:rPr>
          <w:rFonts w:ascii="210 M고딕OTF 030" w:cs="210 M고딕OTF 030" w:eastAsia="210 M고딕OTF 030" w:hAnsi="210 M고딕OTF 030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0.0" w:type="dxa"/>
        <w:tblBorders>
          <w:top w:color="808080" w:space="0" w:sz="4" w:val="single"/>
          <w:left w:color="70ad47" w:space="0" w:sz="24" w:val="single"/>
          <w:bottom w:color="808080" w:space="0" w:sz="4" w:val="single"/>
          <w:right w:color="70ad47" w:space="0" w:sz="2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2430"/>
        <w:gridCol w:w="6885"/>
        <w:tblGridChange w:id="0">
          <w:tblGrid>
            <w:gridCol w:w="2430"/>
            <w:gridCol w:w="688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210 M고딕OTF 030" w:cs="210 M고딕OTF 030" w:eastAsia="210 M고딕OTF 030" w:hAnsi="210 M고딕OTF 030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b w:val="0"/>
                <w:color w:val="000000"/>
                <w:sz w:val="20"/>
                <w:szCs w:val="20"/>
                <w:rtl w:val="0"/>
              </w:rPr>
              <w:t xml:space="preserve">수요예측미식회 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이지예, 이예주, 김영준, 김남이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 기업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구내식당 식수 인원 예측 AI를 통한 인사이트 도출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4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  <w:rtl w:val="0"/>
              </w:rPr>
              <w:t xml:space="preserve">(주요 기능 설명)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b w:val="1"/>
                <w:color w:val="000000"/>
                <w:rtl w:val="0"/>
              </w:rPr>
              <w:t xml:space="preserve">배경</w:t>
            </w: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: DACON 경진대회 내 참신한 주제 및 AI 모델링에 적합한 주제를 선정 (</w:t>
            </w:r>
            <w:hyperlink r:id="rId7">
              <w:r w:rsidDel="00000000" w:rsidR="00000000" w:rsidRPr="00000000">
                <w:rPr>
                  <w:rFonts w:ascii="210 M고딕OTF 030" w:cs="210 M고딕OTF 030" w:eastAsia="210 M고딕OTF 030" w:hAnsi="210 M고딕OTF 030"/>
                  <w:color w:val="1155cc"/>
                  <w:sz w:val="20"/>
                  <w:szCs w:val="20"/>
                  <w:u w:val="single"/>
                  <w:rtl w:val="0"/>
                </w:rPr>
                <w:t xml:space="preserve">구내식당 식수 인원 예측 AI 경진대회 - DACON</w:t>
              </w:r>
            </w:hyperlink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left="0" w:firstLine="0"/>
              <w:rPr>
                <w:rFonts w:ascii="210 M고딕OTF 030" w:cs="210 M고딕OTF 030" w:eastAsia="210 M고딕OTF 030" w:hAnsi="210 M고딕OTF 030"/>
                <w:b w:val="1"/>
                <w:color w:val="00000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b w:val="1"/>
                <w:color w:val="000000"/>
                <w:rtl w:val="0"/>
              </w:rPr>
              <w:t xml:space="preserve">목적: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구내식당 식수 인원 예측을 통한 효율적인 구내식당 운영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비용절감을 통한 양질의 식사 제공 (직원 만족도 향상, 수요 반영)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환경 문제에 기여하여 기업 브랜드 이미지 제고 (기업 PR 효과 )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210 M고딕OTF 030" w:cs="210 M고딕OTF 030" w:eastAsia="210 M고딕OTF 030" w:hAnsi="210 M고딕OTF 030"/>
                <w:b w:val="1"/>
                <w:color w:val="00000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b w:val="1"/>
                <w:color w:val="000000"/>
                <w:rtl w:val="0"/>
              </w:rPr>
              <w:t xml:space="preserve">필요 작업: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요일별 식수인원 비율 파악 : 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720" w:firstLine="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(식사 가능 인원 수 대비 실제 구내 식당 이용 인원으로 계산)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메뉴와 식수인원 상관관계 파악: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firstLine="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(해당 과정에서 유의미한 상관관계 발견시, 인기 메뉴 추출 후 워드클라우드로 시각화)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반복되는 메뉴 제외 (ex. 쌀밥, 김치 등)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외부 변수 고려(날씨, 공휴일, 연차, 외근, 재택근무 등)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0" w:firstLine="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0" w:firstLine="0"/>
              <w:rPr>
                <w:rFonts w:ascii="210 M고딕OTF 030" w:cs="210 M고딕OTF 030" w:eastAsia="210 M고딕OTF 030" w:hAnsi="210 M고딕OTF 030"/>
                <w:b w:val="1"/>
                <w:color w:val="00000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b w:val="1"/>
                <w:color w:val="000000"/>
                <w:rtl w:val="0"/>
              </w:rPr>
              <w:t xml:space="preserve">작업 상세 계획 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데이터 랭글링 (KNN 알고리즘 활용 결측치 Imputing)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Feature Engineering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- 날짜 파생변수 생성1 (반기, 분기, 계절, 공휴일 전후일여부)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컬럼 : 날짜, 요일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할일1 날짜에서 계절 컬럼 생성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- 날짜 파생변수 생성2 (sin 및 cos 신호주기변환)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  이건 할 지 안 할 지 고려 참고 -&gt; (</w:t>
            </w:r>
            <w:hyperlink r:id="rId8">
              <w:r w:rsidDel="00000000" w:rsidR="00000000" w:rsidRPr="00000000">
                <w:rPr>
                  <w:rFonts w:ascii="210 M고딕OTF 030" w:cs="210 M고딕OTF 030" w:eastAsia="210 M고딕OTF 030" w:hAnsi="210 M고딕OTF 030"/>
                  <w:color w:val="1155cc"/>
                  <w:sz w:val="20"/>
                  <w:szCs w:val="20"/>
                  <w:u w:val="single"/>
                  <w:rtl w:val="0"/>
                </w:rPr>
                <w:t xml:space="preserve">시계열 예측  |  TensorFlow Core</w:t>
              </w:r>
            </w:hyperlink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  스크롤 내려보면 sin, cos 주기신호변환 하는게 있음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  유의미할지 안할지는 해보고 시각화 후 판단해야댈듯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- 메뉴 임베딩 (일반밥 0 덮밥류, 비빔밥류 1 인코딩)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firstLine="0"/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  <w:highlight w:val="yellow"/>
                <w:rtl w:val="0"/>
              </w:rPr>
              <w:t xml:space="preserve">메뉴를 어떻게 인코딩 할 것인지?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  <w:rtl w:val="0"/>
              </w:rPr>
              <w:t xml:space="preserve">             - 밥 국  반찬1,2,3 디저트 김치 (0,1,2,3,4,5,6)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720" w:firstLine="0"/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  <w:rtl w:val="0"/>
              </w:rPr>
              <w:t xml:space="preserve">- 덮밥류(비빔밥류)등에 대한 7번 변수로 추가 -&gt;중식계 비율 측정해서 상관관계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- 식사 가용 인원 파생변수 생성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  <w:rtl w:val="0"/>
              </w:rPr>
              <w:t xml:space="preserve"> 계산식) 본사정원수 - (휴가자수 + 출장자수 + 재택근무자수)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i w:val="1"/>
                <w:color w:val="000000"/>
                <w:sz w:val="20"/>
                <w:szCs w:val="20"/>
                <w:rtl w:val="0"/>
              </w:rPr>
              <w:t xml:space="preserve">중식계/가용인원 , 석식계/가용인원 비율을 측정해서 특정 메뉴에 대한 선호 파악 가능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EDA 및 변수영향파악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요일 변수 (막대그래프): 월~금 실수요와 평균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연휴 변수 ‘1’로 측정된 값들과 요일 평균을 비교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2020 이전/이후 실수요 비교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특식과 중식계 간의 상관관계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신메뉴와 중식계 간의 상관관계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날씨 변수(강수량:max, 기온:mean)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중식 시간대 11시~13시 (석식 17시~19시)) - 산점도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Feature Selection (필요시)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모델링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성능평가 및 모델선택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비즈니스 인사이트 도출 (+ 클러스터링 분석)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left w:color="000000" w:space="0" w:sz="8" w:val="single"/>
              <w:bottom w:color="434343" w:space="0" w:sz="4" w:val="single"/>
              <w:right w:color="666666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210 M고딕OTF 030" w:cs="210 M고딕OTF 030" w:eastAsia="210 M고딕OTF 030" w:hAnsi="210 M고딕OTF 030"/>
                <w:color w:val="00000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66666" w:space="0" w:sz="4" w:val="single"/>
              <w:bottom w:color="434343" w:space="0" w:sz="4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b w:val="1"/>
                <w:color w:val="000000"/>
                <w:rtl w:val="0"/>
              </w:rPr>
              <w:t xml:space="preserve">역할 분담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이지예: 데이터전처리, 시각화, 모델링, 팀장1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이예주: 데이터전처리, 시각화, 모델링, 팀장2,  PPT제작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김영준: 데이터전처리, 시각화, 모델링, 팀장3, 발표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김남이: 데이터전처리, 시각화, 모델링, 팀장4, 발표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210 M고딕OTF 030" w:cs="210 M고딕OTF 030" w:eastAsia="210 M고딕OTF 030" w:hAnsi="210 M고딕OTF 030"/>
                <w:b w:val="1"/>
                <w:color w:val="00000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b w:val="1"/>
                <w:color w:val="000000"/>
                <w:rtl w:val="0"/>
              </w:rPr>
              <w:t xml:space="preserve">일정 :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9/8(수): 주제 선정 및 기획안 작성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9/9(목) ~ 9/10(금): 데이터 전처리 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9/13(월): 시각화, 모델 학습 계획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9/14(화) ~ 9/15(수): 모델 학습 및 인사이트 도출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210 M고딕OTF 030" w:cs="210 M고딕OTF 030" w:eastAsia="210 M고딕OTF 030" w:hAnsi="210 M고딕OTF 03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9/16(목): 발표자료 마무리 및 연습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434343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210 M고딕OTF 030" w:cs="210 M고딕OTF 030" w:eastAsia="210 M고딕OTF 030" w:hAnsi="210 M고딕OTF 030"/>
                <w:b w:val="0"/>
                <w:color w:val="00000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b w:val="1"/>
                <w:color w:val="000000"/>
                <w:sz w:val="20"/>
                <w:szCs w:val="20"/>
                <w:rtl w:val="0"/>
              </w:rPr>
              <w:t xml:space="preserve">&lt;PYTHON&gt;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판다스, 넘파이, Scikit-learn(선형모델 및 KMeans), 머신러닝 패키지 (XGBoost, LightGBM, CatBoost 등), 텐서플로우(MLP), Matplotlib 및 Seaborn(시각화),  statsmodels(시계열 분석)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b w:val="1"/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b w:val="1"/>
                <w:color w:val="000000"/>
                <w:sz w:val="20"/>
                <w:szCs w:val="20"/>
                <w:highlight w:val="green"/>
                <w:rtl w:val="0"/>
              </w:rPr>
              <w:t xml:space="preserve">*Regression (방법 추천)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다항회귀분석, Lasso, Ridge, ElasticNet 등을 이용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딥러닝-선형회귀분석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완전탐색-그리드서치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랜덤포레스트계열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부스트계열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XGBoost, LGBM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210 M고딕OTF 030" w:cs="210 M고딕OTF 030" w:eastAsia="210 M고딕OTF 030" w:hAnsi="210 M고딕OTF 030"/>
                <w:color w:val="000000"/>
                <w:sz w:val="20"/>
                <w:szCs w:val="20"/>
                <w:rtl w:val="0"/>
              </w:rPr>
              <w:t xml:space="preserve">Tensorflow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rFonts w:ascii="210 M고딕OTF 030" w:cs="210 M고딕OTF 030" w:eastAsia="210 M고딕OTF 030" w:hAnsi="210 M고딕OTF 030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210 M고딕OTF 03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26"/>
    <w:qFormat w:val="1"/>
    <w:pPr>
      <w:ind w:left="800" w:leftChars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1f1f1" w:themeFill="background1" w:themeFillShade="0000F1" w:val="clear"/>
      </w:tcPr>
    </w:tblStylePr>
    <w:tblStylePr w:type="band1Horz">
      <w:tblPr/>
      <w:tcPr>
        <w:shd w:color="000000" w:fill="f1f1f1" w:themeFill="background1" w:themeFillShade="0000F1" w:val="clear"/>
      </w:tcPr>
    </w:tblStylePr>
  </w:style>
  <w:style w:type="table" w:styleId="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000000" w:fill="f1f1f1" w:themeFill="background1" w:themeFillShade="0000F1" w:val="clear"/>
      </w:tcPr>
    </w:tblStylePr>
    <w:tblStylePr w:type="band1Horz">
      <w:tblPr/>
      <w:tcPr>
        <w:shd w:color="000000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1f1f1" w:themeFill="background1" w:themeFillShade="0000F1" w:val="clear"/>
      </w:tcPr>
    </w:tblStylePr>
    <w:tblStylePr w:type="band1Horz">
      <w:tblPr/>
      <w:tcPr>
        <w:shd w:color="000000" w:fill="f1f1f1" w:themeFill="background1" w:themeFillShade="0000F1" w:val="clear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000000" w:fill="ffffff" w:themeFill="background1" w:val="clear"/>
      </w:tcPr>
    </w:tblStylePr>
    <w:tblStylePr w:type="band1Vert">
      <w:tblPr/>
      <w:tcPr>
        <w:shd w:color="000000" w:fill="f1f1f1" w:themeFill="background1" w:themeFillShade="0000F1" w:val="clear"/>
      </w:tcPr>
    </w:tblStylePr>
    <w:tblStylePr w:type="band1Horz">
      <w:tblPr/>
      <w:tcPr>
        <w:shd w:color="000000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0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0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</w:style>
  <w:style w:type="table" w:styleId="30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40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000000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000000" w:fill="5b9bd5" w:themeFill="accent1" w:val="clear"/>
      </w:tcPr>
    </w:tblStylePr>
    <w:tblStylePr w:type="lastRow">
      <w:rPr>
        <w:b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000000" w:fill="ed7d31" w:themeFill="accent2" w:val="clear"/>
      </w:tcPr>
    </w:tblStylePr>
    <w:tblStylePr w:type="lastRow">
      <w:rPr>
        <w:b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000000" w:fill="a5a5a5" w:themeFill="accent3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000000" w:fill="ffc000" w:themeFill="accent4" w:val="clear"/>
      </w:tcPr>
    </w:tblStylePr>
    <w:tblStylePr w:type="lastRow">
      <w:rPr>
        <w:b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000000" w:fill="4472c4" w:themeFill="accent5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000000" w:fill="70ad47" w:themeFill="accent6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000000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000000" w:themeFill="text1" w:val="clear"/>
      </w:tcPr>
    </w:tblStylePr>
    <w:tblStylePr w:type="band1Vert">
      <w:tblPr/>
      <w:tcPr>
        <w:shd w:color="000000" w:fill="999999" w:themeFill="text1" w:themeFillTint="000066" w:val="clear"/>
      </w:tcPr>
    </w:tblStylePr>
    <w:tblStylePr w:type="band1Horz">
      <w:tblPr/>
      <w:tcPr>
        <w:shd w:color="000000" w:fill="999999" w:themeFill="text1" w:themeFillTint="000066" w:val="clear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000000" w:fill="deeaf6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5b9bd5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5b9bd5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5b9bd5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5b9bd5" w:themeFill="accent1" w:val="clear"/>
      </w:tcPr>
    </w:tblStylePr>
    <w:tblStylePr w:type="band1Vert">
      <w:tblPr/>
      <w:tcPr>
        <w:shd w:color="000000" w:fill="bdd6ee" w:themeFill="accent1" w:themeFillTint="000066" w:val="clear"/>
      </w:tcPr>
    </w:tblStylePr>
    <w:tblStylePr w:type="band1Horz">
      <w:tblPr/>
      <w:tcPr>
        <w:shd w:color="000000" w:fill="bdd6ee" w:themeFill="accent1" w:themeFillTint="000066" w:val="clear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000000" w:fill="fbe4d5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ed7d31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ed7d31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ed7d31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ed7d31" w:themeFill="accent2" w:val="clear"/>
      </w:tcPr>
    </w:tblStylePr>
    <w:tblStylePr w:type="band1Vert">
      <w:tblPr/>
      <w:tcPr>
        <w:shd w:color="000000" w:fill="f7caac" w:themeFill="accent2" w:themeFillTint="000066" w:val="clear"/>
      </w:tcPr>
    </w:tblStylePr>
    <w:tblStylePr w:type="band1Horz">
      <w:tblPr/>
      <w:tcPr>
        <w:shd w:color="000000" w:fill="f7caac" w:themeFill="accent2" w:themeFillTint="000066" w:val="clear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000000" w:fill="edede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a5a5a5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a5a5a5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a5a5a5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a5a5a5" w:themeFill="accent3" w:val="clear"/>
      </w:tcPr>
    </w:tblStylePr>
    <w:tblStylePr w:type="band1Vert">
      <w:tblPr/>
      <w:tcPr>
        <w:shd w:color="000000" w:fill="dbdbdb" w:themeFill="accent3" w:themeFillTint="000066" w:val="clear"/>
      </w:tcPr>
    </w:tblStylePr>
    <w:tblStylePr w:type="band1Horz">
      <w:tblPr/>
      <w:tcPr>
        <w:shd w:color="000000" w:fill="dbdbdb" w:themeFill="accent3" w:themeFillTint="000066" w:val="clear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000000" w:fill="fff2c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ffc000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ffc000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ffc000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ffc000" w:themeFill="accent4" w:val="clear"/>
      </w:tcPr>
    </w:tblStylePr>
    <w:tblStylePr w:type="band1Vert">
      <w:tblPr/>
      <w:tcPr>
        <w:shd w:color="000000" w:fill="ffe599" w:themeFill="accent4" w:themeFillTint="000066" w:val="clear"/>
      </w:tcPr>
    </w:tblStylePr>
    <w:tblStylePr w:type="band1Horz">
      <w:tblPr/>
      <w:tcPr>
        <w:shd w:color="000000" w:fill="ffe599" w:themeFill="accent4" w:themeFillTint="000066" w:val="clear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000000" w:fill="d9e2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4472c4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4472c4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4472c4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4472c4" w:themeFill="accent5" w:val="clear"/>
      </w:tcPr>
    </w:tblStylePr>
    <w:tblStylePr w:type="band1Vert">
      <w:tblPr/>
      <w:tcPr>
        <w:shd w:color="000000" w:fill="b4c6e7" w:themeFill="accent5" w:themeFillTint="000066" w:val="clear"/>
      </w:tcPr>
    </w:tblStylePr>
    <w:tblStylePr w:type="band1Horz">
      <w:tblPr/>
      <w:tcPr>
        <w:shd w:color="000000" w:fill="b4c6e7" w:themeFill="accent5" w:themeFillTint="000066" w:val="clear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000000" w:fill="e2ef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70ad47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000000" w:fill="70ad47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000000" w:fill="70ad47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000000" w:fill="70ad47" w:themeFill="accent6" w:val="clear"/>
      </w:tcPr>
    </w:tblStylePr>
    <w:tblStylePr w:type="band1Vert">
      <w:tblPr/>
      <w:tcPr>
        <w:shd w:color="000000" w:fill="c5e0b3" w:themeFill="accent6" w:themeFillTint="000066" w:val="clear"/>
      </w:tcPr>
    </w:tblStylePr>
    <w:tblStylePr w:type="band1Horz">
      <w:tblPr/>
      <w:tcPr>
        <w:shd w:color="000000" w:fill="c5e0b3" w:themeFill="accent6" w:themeFillTint="000066" w:val="clear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e74b4" w:themeColor="accent1" w:themeShade="0000BE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0000BE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0000BE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f5395" w:themeColor="accent5" w:themeShade="0000BE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0000BE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e74b4" w:themeColor="accent1" w:themeShade="0000BE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0000BE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0000BE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f5395" w:themeColor="accent5" w:themeShade="0000BE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0000BE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000000" w:fill="ffffff" w:themeFill="background1" w:val="clear"/>
      </w:tc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11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000000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000000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000000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000000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000000" w:fill="5b9bd5" w:themeFill="accent1" w:val="clear"/>
      </w:tcPr>
    </w:tblStylePr>
    <w:tblStylePr w:type="lastRow">
      <w:rPr>
        <w:b w:val="1"/>
      </w:rPr>
      <w:tblPr/>
      <w:tcPr>
        <w:tcBorders>
          <w:top w:color="5b9bd5" w:space="0" w:sz="4" w:themeColor="accent1" w:val="double"/>
        </w:tcBorders>
        <w:shd w:color="000000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000000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000000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000000" w:fill="ed7d31" w:themeFill="accent2" w:val="clear"/>
      </w:tcPr>
    </w:tblStylePr>
    <w:tblStylePr w:type="lastRow">
      <w:rPr>
        <w:b w:val="1"/>
      </w:rPr>
      <w:tblPr/>
      <w:tcPr>
        <w:tcBorders>
          <w:top w:color="ed7d31" w:space="0" w:sz="4" w:themeColor="accent2" w:val="double"/>
        </w:tcBorders>
        <w:shd w:color="000000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000000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000000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000000" w:fill="a5a5a5" w:themeFill="accent3" w:val="clear"/>
      </w:tcPr>
    </w:tblStylePr>
    <w:tblStylePr w:type="lastRow">
      <w:rPr>
        <w:b w:val="1"/>
      </w:rPr>
      <w:tblPr/>
      <w:tcPr>
        <w:tcBorders>
          <w:top w:color="a5a5a5" w:space="0" w:sz="4" w:themeColor="accent3" w:val="double"/>
        </w:tcBorders>
        <w:shd w:color="000000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000000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000000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000000" w:fill="ffc000" w:themeFill="accent4" w:val="clear"/>
      </w:tcPr>
    </w:tblStylePr>
    <w:tblStylePr w:type="lastRow">
      <w:rPr>
        <w:b w:val="1"/>
      </w:rPr>
      <w:tblPr/>
      <w:tcPr>
        <w:tcBorders>
          <w:top w:color="ffc000" w:space="0" w:sz="4" w:themeColor="accent4" w:val="double"/>
        </w:tcBorders>
        <w:shd w:color="000000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000000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000000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000000" w:fill="4472c4" w:themeFill="accent5" w:val="clear"/>
      </w:tcPr>
    </w:tblStylePr>
    <w:tblStylePr w:type="lastRow">
      <w:rPr>
        <w:b w:val="1"/>
      </w:rPr>
      <w:tblPr/>
      <w:tcPr>
        <w:tcBorders>
          <w:top w:color="4472c4" w:space="0" w:sz="4" w:themeColor="accent5" w:val="double"/>
        </w:tcBorders>
        <w:shd w:color="000000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000000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000000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000000" w:fill="70ad47" w:themeFill="accent6" w:val="clear"/>
      </w:tcPr>
    </w:tblStylePr>
    <w:tblStylePr w:type="lastRow">
      <w:rPr>
        <w:b w:val="1"/>
      </w:rPr>
      <w:tblPr/>
      <w:tcPr>
        <w:tcBorders>
          <w:top w:color="70ad47" w:space="0" w:sz="4" w:themeColor="accent6" w:val="double"/>
        </w:tcBorders>
        <w:shd w:color="000000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000000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000000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000000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000000" w:fill="5b9bd5" w:themeFill="accent1" w:val="clear"/>
      </w:tcPr>
    </w:tblStylePr>
    <w:tblStylePr w:type="lastRow">
      <w:rPr>
        <w:b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000000" w:fill="ed7d31" w:themeFill="accent2" w:val="clear"/>
      </w:tcPr>
    </w:tblStylePr>
    <w:tblStylePr w:type="lastRow">
      <w:rPr>
        <w:b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000000" w:fill="a5a5a5" w:themeFill="accent3" w:val="clear"/>
      </w:tcPr>
    </w:tblStylePr>
    <w:tblStylePr w:type="lastRow">
      <w:rPr>
        <w:b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000000" w:fill="ffc000" w:themeFill="accent4" w:val="clear"/>
      </w:tcPr>
    </w:tblStylePr>
    <w:tblStylePr w:type="lastRow">
      <w:rPr>
        <w:b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000000" w:fill="4472c4" w:themeFill="accent5" w:val="clear"/>
      </w:tcPr>
    </w:tblStylePr>
    <w:tblStylePr w:type="lastRow">
      <w:rPr>
        <w:b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000000" w:fill="70ad47" w:themeFill="accent6" w:val="clear"/>
      </w:tcPr>
    </w:tblStylePr>
    <w:tblStylePr w:type="lastRow">
      <w:rPr>
        <w:b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000000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000000" w:fill="5b9bd5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000000" w:fill="ed7d31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000000" w:fill="a5a5a5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000000" w:fill="ffc000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000000" w:fill="4472c4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000000" w:fill="70ad47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e74b4" w:themeColor="accent1" w:themeShade="0000BE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0000BE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0000BE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f5395" w:themeColor="accent5" w:themeShade="0000BE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0000BE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000000" w:fill="ffffff" w:themeFill="background1" w:val="clear"/>
      </w:tcPr>
    </w:tblStylePr>
    <w:tblStylePr w:type="band1Vert">
      <w:tblPr/>
      <w:tcPr>
        <w:shd w:color="000000" w:fill="cccccc" w:themeFill="text1" w:themeFillTint="000033" w:val="clear"/>
      </w:tcPr>
    </w:tblStylePr>
    <w:tblStylePr w:type="band1Horz">
      <w:tblPr/>
      <w:tcPr>
        <w:shd w:color="000000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e74b4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5b9bd5" w:space="0" w:sz="4" w:themeColor="accent1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5b9bd5" w:space="0" w:sz="4" w:themeColor="accent1" w:val="single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5b9bd5" w:space="0" w:sz="4" w:themeColor="accent1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5b9bd5" w:space="0" w:sz="4" w:themeColor="accent1" w:val="single"/>
        </w:tcBorders>
        <w:shd w:color="000000" w:fill="ffffff" w:themeFill="background1" w:val="clear"/>
      </w:tcPr>
    </w:tblStylePr>
    <w:tblStylePr w:type="band1Vert">
      <w:tblPr/>
      <w:tcPr>
        <w:shd w:color="000000" w:fill="deeaf6" w:themeFill="accent1" w:themeFillTint="000033" w:val="clear"/>
      </w:tcPr>
    </w:tblStylePr>
    <w:tblStylePr w:type="band1Horz">
      <w:tblPr/>
      <w:tcPr>
        <w:shd w:color="000000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ed7d31" w:space="0" w:sz="4" w:themeColor="accent2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ed7d31" w:space="0" w:sz="4" w:themeColor="accent2" w:val="single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ed7d31" w:space="0" w:sz="4" w:themeColor="accent2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ed7d31" w:space="0" w:sz="4" w:themeColor="accent2" w:val="single"/>
        </w:tcBorders>
        <w:shd w:color="000000" w:fill="ffffff" w:themeFill="background1" w:val="clear"/>
      </w:tcPr>
    </w:tblStylePr>
    <w:tblStylePr w:type="band1Vert">
      <w:tblPr/>
      <w:tcPr>
        <w:shd w:color="000000" w:fill="fbe4d5" w:themeFill="accent2" w:themeFillTint="000033" w:val="clear"/>
      </w:tcPr>
    </w:tblStylePr>
    <w:tblStylePr w:type="band1Horz">
      <w:tblPr/>
      <w:tcPr>
        <w:shd w:color="000000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a5a5a5" w:space="0" w:sz="4" w:themeColor="accent3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a5a5a5" w:space="0" w:sz="4" w:themeColor="accent3" w:val="single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a5a5a5" w:space="0" w:sz="4" w:themeColor="accent3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a5a5a5" w:space="0" w:sz="4" w:themeColor="accent3" w:val="single"/>
        </w:tcBorders>
        <w:shd w:color="000000" w:fill="ffffff" w:themeFill="background1" w:val="clear"/>
      </w:tcPr>
    </w:tblStylePr>
    <w:tblStylePr w:type="band1Vert">
      <w:tblPr/>
      <w:tcPr>
        <w:shd w:color="000000" w:fill="ededed" w:themeFill="accent3" w:themeFillTint="000033" w:val="clear"/>
      </w:tcPr>
    </w:tblStylePr>
    <w:tblStylePr w:type="band1Horz">
      <w:tblPr/>
      <w:tcPr>
        <w:shd w:color="000000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fc000" w:space="0" w:sz="4" w:themeColor="accent4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fc000" w:space="0" w:sz="4" w:themeColor="accent4" w:val="single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fc000" w:space="0" w:sz="4" w:themeColor="accent4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fc000" w:space="0" w:sz="4" w:themeColor="accent4" w:val="single"/>
        </w:tcBorders>
        <w:shd w:color="000000" w:fill="ffffff" w:themeFill="background1" w:val="clear"/>
      </w:tcPr>
    </w:tblStylePr>
    <w:tblStylePr w:type="band1Vert">
      <w:tblPr/>
      <w:tcPr>
        <w:shd w:color="000000" w:fill="fff2cc" w:themeFill="accent4" w:themeFillTint="000033" w:val="clear"/>
      </w:tcPr>
    </w:tblStylePr>
    <w:tblStylePr w:type="band1Horz">
      <w:tblPr/>
      <w:tcPr>
        <w:shd w:color="000000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f5395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472c4" w:space="0" w:sz="4" w:themeColor="accent5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472c4" w:space="0" w:sz="4" w:themeColor="accent5" w:val="single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472c4" w:space="0" w:sz="4" w:themeColor="accent5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472c4" w:space="0" w:sz="4" w:themeColor="accent5" w:val="single"/>
        </w:tcBorders>
        <w:shd w:color="000000" w:fill="ffffff" w:themeFill="background1" w:val="clear"/>
      </w:tcPr>
    </w:tblStylePr>
    <w:tblStylePr w:type="band1Vert">
      <w:tblPr/>
      <w:tcPr>
        <w:shd w:color="000000" w:fill="d9e2f3" w:themeFill="accent5" w:themeFillTint="000033" w:val="clear"/>
      </w:tcPr>
    </w:tblStylePr>
    <w:tblStylePr w:type="band1Horz">
      <w:tblPr/>
      <w:tcPr>
        <w:shd w:color="000000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70ad47" w:space="0" w:sz="4" w:themeColor="accent6" w:val="single"/>
        </w:tcBorders>
        <w:shd w:color="000000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70ad47" w:space="0" w:sz="4" w:themeColor="accent6" w:val="single"/>
        </w:tcBorders>
        <w:shd w:color="000000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70ad47" w:space="0" w:sz="4" w:themeColor="accent6" w:val="single"/>
        </w:tcBorders>
        <w:shd w:color="000000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70ad47" w:space="0" w:sz="4" w:themeColor="accent6" w:val="single"/>
        </w:tcBorders>
        <w:shd w:color="000000" w:fill="ffffff" w:themeFill="background1" w:val="clear"/>
      </w:tcPr>
    </w:tblStylePr>
    <w:tblStylePr w:type="band1Vert">
      <w:tblPr/>
      <w:tcPr>
        <w:shd w:color="000000" w:fill="e2efd9" w:themeFill="accent6" w:themeFillTint="000033" w:val="clear"/>
      </w:tcPr>
    </w:tblStylePr>
    <w:tblStylePr w:type="band1Horz">
      <w:tblPr/>
      <w:tcPr>
        <w:shd w:color="000000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paragraph" w:styleId="a6">
    <w:name w:val="footer"/>
    <w:basedOn w:val="a"/>
    <w:link w:val="Char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6"/>
    <w:rPr>
      <w:rFonts w:ascii="맑은 고딕" w:cs="Times New Roman" w:eastAsia="맑은 고딕" w:hAnsi="맑은 고딕"/>
    </w:rPr>
  </w:style>
  <w:style w:type="paragraph" w:styleId="a7">
    <w:name w:val="header"/>
    <w:basedOn w:val="a"/>
    <w:link w:val="Char0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7"/>
    <w:rPr>
      <w:rFonts w:ascii="맑은 고딕" w:cs="Times New Roman" w:eastAsia="맑은 고딕" w:hAnsi="맑은 고딕"/>
    </w:rPr>
  </w:style>
  <w:style w:type="table" w:styleId="210" w:customStyle="1">
    <w:name w:val="일반 표 21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paragraph" w:styleId="a8">
    <w:name w:val="Balloon Text"/>
    <w:basedOn w:val="a"/>
    <w:link w:val="Char1"/>
    <w:semiHidden w:val="1"/>
    <w:unhideWhenUsed w:val="1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semiHidden w:val="1"/>
    <w:rPr>
      <w:rFonts w:asciiTheme="majorHAnsi" w:cstheme="majorBidi" w:eastAsiaTheme="majorEastAsia" w:hAnsiTheme="majorHAnsi"/>
      <w:sz w:val="18"/>
      <w:szCs w:val="18"/>
    </w:rPr>
  </w:style>
  <w:style w:type="character" w:styleId="a9">
    <w:name w:val="Placeholder Text"/>
    <w:basedOn w:val="a0"/>
    <w:semiHidden w:val="1"/>
    <w:rPr>
      <w:color w:val="808080"/>
    </w:rPr>
  </w:style>
  <w:style w:type="paragraph" w:styleId="aa">
    <w:name w:val="Normal (Web)"/>
    <w:basedOn w:val="a"/>
    <w:semiHidden w:val="1"/>
    <w:unhideWhenUsed w:val="1"/>
    <w:pPr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md-end-block" w:customStyle="1">
    <w:name w:val="md-end-block"/>
    <w:basedOn w:val="a"/>
    <w:pPr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md-plain" w:customStyle="1">
    <w:name w:val="md-plain"/>
    <w:basedOn w:val="a0"/>
  </w:style>
  <w:style w:type="character" w:styleId="ab">
    <w:name w:val="Hyperlink"/>
    <w:basedOn w:val="a0"/>
    <w:uiPriority w:val="99"/>
    <w:unhideWhenUsed w:val="1"/>
    <w:rsid w:val="00625F53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625F5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70ad47" w:val="clear"/>
    </w:tcPr>
    <w:tblStylePr w:type="band1Horz">
      <w:tcPr>
        <w:tcBorders>
          <w:top w:color="808080" w:space="0" w:sz="4" w:val="single"/>
          <w:bottom w:color="808080" w:space="0" w:sz="4" w:val="single"/>
        </w:tcBorders>
      </w:tcPr>
    </w:tblStylePr>
    <w:tblStylePr w:type="band1Vert">
      <w:tcPr>
        <w:tcBorders>
          <w:left w:color="808080" w:space="0" w:sz="4" w:val="single"/>
          <w:right w:color="808080" w:space="0" w:sz="4" w:val="single"/>
        </w:tcBorders>
      </w:tcPr>
    </w:tblStylePr>
    <w:tblStylePr w:type="band2Vert">
      <w:tcPr>
        <w:tcBorders>
          <w:left w:color="808080" w:space="0" w:sz="4" w:val="single"/>
          <w:right w:color="808080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08080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0808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70ad47" w:val="clear"/>
    </w:tcPr>
    <w:tblStylePr w:type="band1Horz">
      <w:tcPr>
        <w:tcBorders>
          <w:top w:color="808080" w:space="0" w:sz="4" w:val="single"/>
          <w:bottom w:color="808080" w:space="0" w:sz="4" w:val="single"/>
        </w:tcBorders>
      </w:tcPr>
    </w:tblStylePr>
    <w:tblStylePr w:type="band1Vert">
      <w:tcPr>
        <w:tcBorders>
          <w:left w:color="808080" w:space="0" w:sz="4" w:val="single"/>
          <w:right w:color="808080" w:space="0" w:sz="4" w:val="single"/>
        </w:tcBorders>
      </w:tcPr>
    </w:tblStylePr>
    <w:tblStylePr w:type="band2Vert">
      <w:tcPr>
        <w:tcBorders>
          <w:left w:color="808080" w:space="0" w:sz="4" w:val="single"/>
          <w:right w:color="808080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08080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0808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con.io/competitions/official/235743/overview/description" TargetMode="External"/><Relationship Id="rId8" Type="http://schemas.openxmlformats.org/officeDocument/2006/relationships/hyperlink" Target="https://www.tensorflow.org/tutorials/structured_data/time_series?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c42KmgEaIRU0suQyjvLGpaEJsg==">AMUW2mUWSaL/rxdOksp9CVgQmxKOSqRLRAbqiq3k++xIxbeg0Mc2egUWfP2bD3FU2W2dhy3QSV0M/aMQlddxfrQWeWE88pbB2GpOPK+pMJDHEbaV66rc7hNC0eL8I6KZGajASv8CFfp9axJWg3OdzWUZ0iAdsiNvN/6ZEH1u5QzIrpoPMTuOO1A=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2021-07-23T09:13:00Z</dcterms:created>
  <dc:creator>Windows 사용자</dc:creator>
</cp:coreProperties>
</file>