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rPr>
          <w:rFonts w:ascii="Times New Roman" w:hAnsi="Times New Roman"/>
          <w:sz w:val="24"/>
        </w:rPr>
        <w:t>True CAISO net load from EIA fuel-type data reveals a 55 GW duck curve depth.</w:t>
      </w:r>
    </w:p>
    <w:p>
      <w:pPr>
        <w:pStyle w:val="ListBullet"/>
      </w:pPr>
      <w:r>
        <w:rPr>
          <w:rFonts w:ascii="Times New Roman" w:hAnsi="Times New Roman"/>
          <w:sz w:val="24"/>
        </w:rPr>
        <w:t>XGBoost day-ahead forecast: R2 = 0.854, +18.5% skill over persistence.</w:t>
      </w:r>
    </w:p>
    <w:p>
      <w:pPr>
        <w:pStyle w:val="ListBullet"/>
      </w:pPr>
      <w:r>
        <w:rPr>
          <w:rFonts w:ascii="Times New Roman" w:hAnsi="Times New Roman"/>
          <w:sz w:val="24"/>
        </w:rPr>
        <w:t>CQR-robust MILP matches stochastic programming with 40% fewer binary variables.</w:t>
      </w:r>
    </w:p>
    <w:p>
      <w:pPr>
        <w:pStyle w:val="ListBullet"/>
      </w:pPr>
      <w:r>
        <w:rPr>
          <w:rFonts w:ascii="Times New Roman" w:hAnsi="Times New Roman"/>
          <w:sz w:val="24"/>
        </w:rPr>
        <w:t>Nuclear premium is 13% in typical weeks but reaches 210% under capacity stress.</w:t>
      </w:r>
    </w:p>
    <w:p>
      <w:pPr>
        <w:pStyle w:val="ListBullet"/>
      </w:pPr>
      <w:r>
        <w:rPr>
          <w:rFonts w:ascii="Times New Roman" w:hAnsi="Times New Roman"/>
          <w:sz w:val="24"/>
        </w:rPr>
        <w:t>Robust dispatch trades +4.2% cost for +21.8% CO2, an emissions-abatement lever.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