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ind w:left="1134" w:right="1134"/>
        <w:jc w:val="center"/>
      </w:pPr>
      <w:r>
        <w:rPr>
          <w:rFonts w:ascii="Times New Roman" w:hAnsi="Times New Roman" w:eastAsia="Times New Roman"/>
          <w:b/>
          <w:sz w:val="28"/>
        </w:rPr>
        <w:t>Взаимная торговля Казахстана с Бразилией за январь-февраль 2025 года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/>
          <w:sz w:val="28"/>
        </w:rPr>
        <w:t>Товарооборот между Казахстаном и Бразилией за январь-февраль 2025 год вырос на 110.8% и составил 42.3 млн. долл. США.</w:t>
      </w:r>
    </w:p>
    <w:p>
      <w:pPr>
        <w:spacing w:after="0" w:line="240" w:lineRule="auto"/>
        <w:jc w:val="center"/>
      </w:pPr>
      <w:r>
        <w:rPr>
          <w:rFonts w:ascii="Times New Roman" w:hAnsi="Times New Roman" w:eastAsia="Times New Roman"/>
          <w:b/>
          <w:sz w:val="28"/>
        </w:rPr>
        <w:t>Показатели взаимной торговли Казахстана с Бразилией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22"/>
        <w:gridCol w:w="2422"/>
        <w:gridCol w:w="2422"/>
        <w:gridCol w:w="2422"/>
      </w:tblGrid>
      <w:tr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млн. долл. США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январь-февраль 2024 год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январь-февраль 2025 год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Прирост 2025/2024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Товарооборот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20.1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42.3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+110.8%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Экспорт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8.6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26.8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+210.1%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Импорт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11.4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15.5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+35.8%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Торговый баланс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-2.8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11.3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улучшился</w:t>
            </w:r>
          </w:p>
        </w:tc>
      </w:tr>
    </w:tbl>
    <w:p>
      <w:pPr>
        <w:spacing w:after="200"/>
      </w:pP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Импорт</w:t>
      </w:r>
      <w:r>
        <w:rPr>
          <w:rFonts w:ascii="Times New Roman" w:hAnsi="Times New Roman" w:eastAsia="Times New Roman"/>
          <w:sz w:val="28"/>
        </w:rPr>
        <w:t xml:space="preserve"> в Казахстан из Бразилии за январь-февраль 2025 год вырос на 35.8% и составил </w:t>
      </w:r>
      <w:r>
        <w:rPr>
          <w:rFonts w:ascii="Times New Roman" w:hAnsi="Times New Roman" w:eastAsia="Times New Roman"/>
          <w:b/>
          <w:sz w:val="28"/>
        </w:rPr>
        <w:t>15.5 млн. долл. США.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Сокращение импорта из Бразилии обосновывается снижением ввоза таких товаров, как: табачное сырье - на 83.2% или на 4.2 млн. долл. США (с 5 до 0.8 млн. долл. США), кофе - на 64.6% или на 1.6 млн. долл. США (с 2.5 до 0.9 млн. долл. США), двигатели и генераторы электрические - на 55.7% или на 651.9 тыс. долл. США (с 1 170.2 до 518.3 тыс. долл. США), мясо и пищевые субпродукты домашней птицы - на 100% или на 517.8 тыс. долл. США (с 517.8 до 0 тыс. долл. США), приборы и устройства, применяемые в медицине - на 98.1% или на 359.2 тыс. долл. США (с 366.1 до 6.9 тыс. долл. США), винты, болты, гайки, заклепки из черных металлов - на 36.8% или на 250.3 тыс. долл. США (с 679.5 до 429.2 тыс. долл. США), лекарственные средства, расфасованные для розничной продажи - на 99.9% или на 104.7 тыс. долл. США (с 104.7 до 0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Вместе с тем, наблюдается рост импорта таких товаров, как: табачное сырье - рост в 5.9 р. или на 4.2 млн. долл. США (с 0.8 до 5 млн. долл. США), кофе - рост в 2.8 р. или на 1.6 млн. долл. США (с 0.9 до 2.5 млн. долл. США), двигатели и генераторы электрические - рост в 2.3 р. или на 0.7 млн. долл. США (с 0.5 до 1.2 млн. долл. США), мясо и пищевые субпродукты домашней птицы - на 100% или на 517.8 тыс. долл. США (с 0 до 517.8 тыс. долл. США), приборы и устройства, применяемые в медицине - рост в 53.4 р. или на 359.2 тыс. долл. США (с 6.9 до 366.1 тыс. долл. США), винты, болты, гайки, заклепки из черных металлов - на 58.3% или на 250.3 тыс. долл. США (с 429.2 до 679.5 тыс. долл. США), лекарственные средства, расфасованные для розничной продажи - на 100% или на 104.7 тыс. долл. США (с 0 до 104.7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Основными товарами импорта в Казахстан из Бразилии являются:</w:t>
      </w:r>
      <w:r>
        <w:rPr>
          <w:rFonts w:ascii="Times New Roman" w:hAnsi="Times New Roman" w:eastAsia="Times New Roman"/>
          <w:sz w:val="28"/>
        </w:rPr>
        <w:t xml:space="preserve"> табачное сырье – 5 млн. долл. США (с долей 32.5%), кофе – 2,5 млн. долл. США (с долей 16.2%), двигатели и генераторы электрические – 1,2 млн. долл. США (с долей 7.5%), части и принадлежности для автомобилей и тракторов – 993,5 тыс. долл. США (с долей 6.4%), кузова для автомобилей – 867,6 тыс. долл. США (с долей 5.6%), винты, болты, гайки, заклепки из черных металлов – 679,5 тыс. долл. США (с долей 4.4%), двигатели внутреннего сгорания поршневые – 526,2 тыс. долл. США (с долей 3.4%)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sz w:val="28"/>
        </w:rPr>
        <w:t>Более подробная информация по основным импортируемым товарам из Бразилии за январь-февраль 2025 года показана в Таблице №2.</w:t>
      </w:r>
    </w:p>
    <w:p>
      <w:pPr>
        <w:spacing w:after="200"/>
      </w:pP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Экспорт</w:t>
      </w:r>
      <w:r>
        <w:rPr>
          <w:rFonts w:ascii="Times New Roman" w:hAnsi="Times New Roman" w:eastAsia="Times New Roman"/>
          <w:sz w:val="28"/>
        </w:rPr>
        <w:t xml:space="preserve"> из Казахстана в Бразилию за январь-февраль 2025 год вырос на 210.1% и составил </w:t>
      </w:r>
      <w:r>
        <w:rPr>
          <w:rFonts w:ascii="Times New Roman" w:hAnsi="Times New Roman" w:eastAsia="Times New Roman"/>
          <w:b/>
          <w:sz w:val="28"/>
        </w:rPr>
        <w:t>26.8 млн. долл. США.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Сокращение экспорта в Казахстан обосновывается снижением поставок таких товаров, как: удобрения минеральные смешанные - на 69.4% или на 17.2 млн. долл. США (с 24.8 до 7.6 млн. долл. США), сера, кроме серы сублимированной, осажденной или коллоидной - на 56.2% или на 1 млн. долл. США (с 1.8 до 0.8 млн. долл. США), ферросплавы - на 100% или на 226.5 тыс. долл. США (с 226.5 до 0 тыс. долл. США), инструменты ручные прочие - на 66.7% или на 0.3 тыс. долл. США (с 0.3 до 0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Вместе с тем, наблюдается рост поставок таких товаров, как: удобрения минеральные смешанные - рост в 3.3 р. или на 17.2 млн. долл. США (с 7.6 до 24.8 млн. долл. США), сера, кроме серы сублимированной, осажденной или коллоидной - рост в 2.3 р. или на 1 млн. долл. США (с 0.8 до 1.8 млн. долл. США), ферросплавы - на 100% или на 226.5 тыс. долл. США (с 0 до 226.5 тыс. долл. США), инструменты ручные прочие - на 100% или на 0.3 тыс. долл. США (с 0 до 0.3 тыс. долл. США), закупорочные и упаковочные принадлежности из недрагоценных металлов - на 100% или на 0 тыс. долл. США (с 0 до 0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Основными товарами экспорта в Казахстан из Бразилии являются:</w:t>
      </w:r>
      <w:r>
        <w:rPr>
          <w:rFonts w:ascii="Times New Roman" w:hAnsi="Times New Roman" w:eastAsia="Times New Roman"/>
          <w:sz w:val="28"/>
        </w:rPr>
        <w:t xml:space="preserve"> удобрения минеральные смешанные – 24,8 млн. долл. США (с долей 92.5%), сера, кроме серы сублимированной, осажденной или коллоидной – 1,8 млн. долл. США (с долей 6.7%), ферросплавы – 226,5 тыс. долл. США (с долей 0.84%), инструменты ручные прочие – 0,3 тыс. долл. США (с долей 0%), закупорочные и упаковочные принадлежности из недрагоценных металлов – 0 тыс. долл. США (с долей 0%)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sz w:val="28"/>
        </w:rPr>
        <w:t>Более подробная информация по основным экспортируемым товарам в Бразилию за январь-февраль 2025 года показана в Таблице №1.</w:t>
      </w:r>
    </w:p>
    <w:p>
      <w:pPr>
        <w:spacing w:after="0"/>
      </w:pPr>
    </w:p>
    <w:p>
      <w:pPr>
        <w:spacing w:after="0"/>
        <w:jc w:val="center"/>
      </w:pPr>
      <w:r>
        <w:rPr>
          <w:rFonts w:ascii="Times New Roman" w:hAnsi="Times New Roman"/>
          <w:b/>
          <w:sz w:val="28"/>
        </w:rPr>
        <w:t>Таблица 1 – Основные товары экспорта Казахстана в Бразилию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blHeader/>
        </w:trPr>
        <w:tc>
          <w:tcPr>
            <w:tcW w:type="dxa" w:w="3600"/>
            <w:vMerge w:val="restart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Товары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2024 года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2025 года</w:t>
            </w:r>
          </w:p>
        </w:tc>
        <w:tc>
          <w:tcPr>
            <w:tcW w:type="dxa" w:w="2154"/>
            <w:gridSpan w:val="2"/>
            <w:shd w:val="clear" w:color="auto" w:fill="D9D9D9"/>
            <w:vAlign w:val="center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Прирост</w:t>
              <w:br/>
              <w:t>2025/2024</w:t>
            </w:r>
          </w:p>
        </w:tc>
      </w:tr>
      <w:tr>
        <w:trPr>
          <w:tblHeader/>
        </w:trPr>
        <w:tc>
          <w:tcPr>
            <w:tcW w:type="dxa" w:w="3600"/>
            <w:vMerge/>
          </w:tcPr>
          <w:p/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Всего экспорта в Бразилия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8 648.3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26 814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рост в 3.1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 Удобрения минеральные смешанные (код 3105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19 950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7 581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87.7%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54 686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24 804.1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92.5%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2.7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3.3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 Сера, кроме серы сублимированной, осажденной или коллоидной (код 2503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8 108.8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781.7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34 029.3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1 783.3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6.7%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4.2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2.3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 Ферросплавы (код 7202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109.1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226.5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0.84%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 Инструменты ручные прочие (код 8205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 Закупорочные и упаковочные принадлежности из недрагоценных металлов (код 8309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</w:tbl>
    <w:p>
      <w:pPr>
        <w:spacing w:after="0"/>
      </w:pPr>
    </w:p>
    <w:p>
      <w:pPr>
        <w:spacing w:after="0"/>
        <w:jc w:val="center"/>
      </w:pPr>
      <w:r>
        <w:rPr>
          <w:rFonts w:ascii="Times New Roman" w:hAnsi="Times New Roman"/>
          <w:b/>
          <w:sz w:val="28"/>
        </w:rPr>
        <w:t>Таблица 2 – Основные товары импорта Казахстана в Бразилию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blHeader/>
        </w:trPr>
        <w:tc>
          <w:tcPr>
            <w:tcW w:type="dxa" w:w="3600"/>
            <w:vMerge w:val="restart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Товары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2024 года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2025 года</w:t>
            </w:r>
          </w:p>
        </w:tc>
        <w:tc>
          <w:tcPr>
            <w:tcW w:type="dxa" w:w="2154"/>
            <w:gridSpan w:val="2"/>
            <w:shd w:val="clear" w:color="auto" w:fill="D9D9D9"/>
            <w:vAlign w:val="center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Прирост</w:t>
              <w:br/>
              <w:t>2025/2024</w:t>
            </w:r>
          </w:p>
        </w:tc>
      </w:tr>
      <w:tr>
        <w:trPr>
          <w:tblHeader/>
        </w:trPr>
        <w:tc>
          <w:tcPr>
            <w:tcW w:type="dxa" w:w="3600"/>
            <w:vMerge/>
          </w:tcPr>
          <w:p/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Всего импорта в Бразилия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11 433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15 522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+35.8%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 Табачное сырье (код 2401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142.4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849.8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757.6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5 049.1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32.5%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5.3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5.9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 Кофе (код 0901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191.5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887.5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378.4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2 508.3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16.2%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+97.6%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2.8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 Двигатели и генераторы электрические (код 8501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618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518.3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1 161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1 170.2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+87.9%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2.3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 Части и принадлежности для автомобилей и тракторов (код 8708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129.5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897.3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131.3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993.5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6.4%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+1.4%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+10.7%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 Кузова для автомобилей (код 8707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1 045.3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867.6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-17%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6. Винты, болты, гайки, заклепки из черных металлов (код 7318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9.6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429.2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14.1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679.5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+47%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+58.3%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7. Двигатели внутреннего сгорания поршневые (код 8408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497.8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526.2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+20.8%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+5.7%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8. Мясо и пищевые субпродукты домашней птицы (код 0207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332.7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517.8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9. Пищевые продукты прочие (код 2106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54.7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822.7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25.8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407.3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-52.8%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-50.5%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10. Приборы и устройства, применяемые в медицине (код 9018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366.1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25.5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53.4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11. Арахис (код 1202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125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223.8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125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248.8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+11.2%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12. Соки фруктовые и овощные (код 2009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74.3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310.5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36.8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247.2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-50.5%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-20.4%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13. Передаточные механизмы для машин, оборудования и транспортных средств (код 8483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193.1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7.7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232.2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+9.9%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+20.2%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14. Ножи и лезвия для них (код 8211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7.5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184.2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11.1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228.4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+47.9%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+24%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15. Фрукты, орехи, приготовленные или консервированные иным способом (код 2008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126.7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404.8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63.4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208.2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-50%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-48.6%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16. Лекарственные средства, расфасованные для розничной продажи (код 3004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104.7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0.67%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17. Приспособления ортопедические для лечения переломов, протезы (код 9021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170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104.5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0.67%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-3.9%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-38.5%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18. Арматура, крепления из недрагоценных металлов, используемые для мебели, дверей (код 8302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75.6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0.66%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93.1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-1.6%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+23.2%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19. Машины сельскохозяйственные для подготовки и обработки почвы (код 8432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8.2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66.7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0.43%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20. Обувь с верхом из натуральной кожи (код 6403 ТНВЭД), пара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7 501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164.7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2 990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65.7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0.42%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-60.1%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-60.1%</w:t>
            </w:r>
          </w:p>
        </w:tc>
      </w:tr>
    </w:tbl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