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ASSIP-ERP — V008-V009 Catálogos Globales y Enriquecidos</w:t>
      </w:r>
    </w:p>
    <w:p>
      <w:r>
        <w:t>ERP ASSIP SOLIDARIA Y FINANCIERA — Sistema ASSIP‑ERP</w:t>
      </w:r>
    </w:p>
    <w:p>
      <w:r>
        <w:t>Fecha: 24/10/2025</w:t>
        <w:br/>
        <w:t>Autor: Equipo de Desarrollo</w:t>
        <w:br/>
        <w:t>Versión: 1.0</w:t>
      </w:r>
    </w:p>
    <w:p>
      <w:pPr>
        <w:pStyle w:val="Heading2"/>
      </w:pPr>
      <w:r>
        <w:t>1. Resumen Ejecutivo</w:t>
      </w:r>
    </w:p>
    <w:p>
      <w:r>
        <w:t>Este documento consolida la estructura, objetivos y definición SQL de los archivos V008__catalogos_globales.sql y V009__catalogos_enriquecidos.sql, que forman la base de catálogos transversales y vistas compartidas para el sistema ASSIP‑ERP. Su propósito es centralizar la información común entre módulos y permitir reportes globales sin duplicar consultas en el backend.</w:t>
      </w:r>
    </w:p>
    <w:p>
      <w:pPr>
        <w:pStyle w:val="Heading2"/>
      </w:pPr>
      <w:r>
        <w:t>2. Esquema Shared y Filosofía de Diseño</w:t>
      </w:r>
    </w:p>
    <w:p>
      <w:r>
        <w:t>El esquema `shared` agrupa todas las vistas reutilizables para los módulos del ERP. Los catálogos se exponen con campos estandarizados (`id`, `codigo`, `nombre`, `activo`), facilitando su uso en formularios, autocompletados y reportes de cualquier esquema. Las vistas enriquecidas combinan datos de diferentes esquemas (catalogos, general, hoja_vida) para formar estructuras preparadas para análisis o exportación.</w:t>
      </w:r>
    </w:p>
    <w:p>
      <w:pPr>
        <w:pStyle w:val="Heading2"/>
      </w:pPr>
      <w:r>
        <w:t>3. V008__catalogos_globales.sql</w:t>
      </w:r>
    </w:p>
    <w:p>
      <w:r>
        <w:t>Crea las vistas base del esquema `shared` a partir de tablas de `catalogos` y `general`. Su función es exponer catálogos limpios, consistentes y unificados. También define índices estratégicos para mejorar el rendimiento de búsquedas.</w:t>
      </w:r>
    </w:p>
    <w:p>
      <w:pPr>
        <w:pStyle w:val="Heading2"/>
      </w:pPr>
      <w:r>
        <w:t>4. V009__catalogos_enriquecidos.sql</w:t>
      </w:r>
    </w:p>
    <w:p>
      <w:r>
        <w:t>Amplía la estructura con vistas combinadas que relacionan jerarquías o integran campos clave para informes: ciudades con departamentos, zonas con subzonas, agencias con ubicación, y resúmenes integrados de personas (vw_personas_resumen).</w:t>
      </w:r>
    </w:p>
    <w:p>
      <w:pPr>
        <w:pStyle w:val="Heading2"/>
      </w:pPr>
      <w:r>
        <w:t>5. Campos Estandarizados</w:t>
      </w:r>
    </w:p>
    <w:p>
      <w:r>
        <w:t>Cada vista mantiene la estructura común:</w:t>
        <w:br/>
        <w:t>• id — identificador único o equivalente.</w:t>
        <w:br/>
        <w:t>• codigo — campo corto de referencia.</w:t>
        <w:br/>
        <w:t>• nombre — texto principal.</w:t>
        <w:br/>
        <w:t>• activo — indicador lógico estándar (TRUE por defecto).</w:t>
        <w:br/>
        <w:t>Esto permite unificar componentes del frontend y reduce la carga en el backend.</w:t>
      </w:r>
    </w:p>
    <w:p>
      <w:pPr>
        <w:pStyle w:val="Heading2"/>
      </w:pPr>
      <w:r>
        <w:t>6. Ejemplo de Reporte Global</w:t>
      </w:r>
    </w:p>
    <w:p>
      <w:r>
        <w:t>SELECT genero, nombre_ciudad, SUM(valor_salario) AS total_salarios</w:t>
        <w:br/>
        <w:t>FROM shared.vw_personas_resumen</w:t>
        <w:br/>
        <w:t>GROUP BY genero, nombre_ciudad</w:t>
        <w:br/>
        <w:t>ORDER BY total_salarios DESC;</w:t>
      </w:r>
    </w:p>
    <w:p>
      <w:pPr>
        <w:pStyle w:val="Heading2"/>
      </w:pPr>
      <w:r>
        <w:t>7. Validación con Flyway</w:t>
      </w:r>
    </w:p>
    <w:p>
      <w:r>
        <w:t>Ambos archivos deben ubicarse en el directorio:</w:t>
        <w:br/>
        <w:t>src/main/resources/db/migration</w:t>
        <w:br/>
        <w:br/>
        <w:t>Flyway los aplicará en orden tras V007 (triggers globales). Puedes verificar su correcta ejecución con:</w:t>
        <w:br/>
        <w:t>SELECT version, description, success FROM seguridad.flyway_schema_history;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